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Default Extension="jpeg" ContentType="image/jpeg"/>
  <Override PartName="/word/header20.xml" ContentType="application/vnd.openxmlformats-officedocument.wordprocessingml.header+xml"/>
  <Override PartName="/word/header21.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9.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10.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11.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12.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13.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14.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15.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16.xml" ContentType="application/vnd.openxmlformats-officedocument.wordprocessingml.footer+xml"/>
  <Override PartName="/word/header38.xml" ContentType="application/vnd.openxmlformats-officedocument.wordprocessingml.head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spacing w:before="6"/>
        <w:rPr>
          <w:sz w:val="26"/>
        </w:rPr>
      </w:pPr>
    </w:p>
    <w:p>
      <w:pPr>
        <w:pStyle w:val="Heading2"/>
        <w:spacing w:line="259" w:lineRule="auto"/>
        <w:ind w:right="457"/>
      </w:pPr>
      <w:r>
        <w:rPr/>
        <w:t>Projet de mémoire de fin de cycle en vue de l’obtention du diplôme de Master-Start-Up</w:t>
      </w:r>
    </w:p>
    <w:p>
      <w:pPr>
        <w:pStyle w:val="Heading3"/>
        <w:spacing w:before="160"/>
        <w:ind w:right="439"/>
        <w:rPr>
          <w:b w:val="0"/>
        </w:rPr>
      </w:pPr>
      <w:r>
        <w:rPr/>
        <w:t>Spécialités </w:t>
      </w:r>
      <w:r>
        <w:rPr>
          <w:b w:val="0"/>
        </w:rPr>
        <w:t>:</w:t>
      </w:r>
    </w:p>
    <w:p>
      <w:pPr>
        <w:pStyle w:val="Heading4"/>
        <w:spacing w:before="187"/>
        <w:ind w:left="825" w:right="443"/>
        <w:jc w:val="center"/>
      </w:pPr>
      <w:r>
        <w:rPr/>
        <w:t>Audit et contrôle de gestion et E-business</w:t>
      </w:r>
    </w:p>
    <w:p>
      <w:pPr>
        <w:spacing w:before="183"/>
        <w:ind w:left="825" w:right="434" w:firstLine="0"/>
        <w:jc w:val="center"/>
        <w:rPr>
          <w:b/>
          <w:sz w:val="32"/>
        </w:rPr>
      </w:pPr>
      <w:r>
        <w:rPr/>
        <w:pict>
          <v:shape style="position:absolute;margin-left:284.019989pt;margin-top:37.598412pt;width:69.2pt;height:17.850pt;mso-position-horizontal-relative:page;mso-position-vertical-relative:paragraph;z-index:-259002368" type="#_x0000_t202" filled="false" stroked="false">
            <v:textbox inset="0,0,0,0">
              <w:txbxContent>
                <w:p>
                  <w:pPr>
                    <w:spacing w:line="356" w:lineRule="exact" w:before="0"/>
                    <w:ind w:left="0" w:right="0" w:firstLine="0"/>
                    <w:jc w:val="left"/>
                    <w:rPr>
                      <w:b/>
                      <w:sz w:val="32"/>
                    </w:rPr>
                  </w:pPr>
                  <w:r>
                    <w:rPr>
                      <w:b/>
                      <w:sz w:val="32"/>
                    </w:rPr>
                    <w:t>THEME :</w:t>
                  </w:r>
                </w:p>
              </w:txbxContent>
            </v:textbox>
            <w10:wrap type="none"/>
          </v:shape>
        </w:pict>
      </w:r>
      <w:r>
        <w:rPr/>
        <w:pict>
          <v:rect style="position:absolute;margin-left:116.449997pt;margin-top:40.687511pt;width:410.25pt;height:115.8pt;mso-position-horizontal-relative:page;mso-position-vertical-relative:paragraph;z-index:-259001344" filled="true" fillcolor="#ffffff" stroked="false">
            <v:fill type="solid"/>
            <w10:wrap type="none"/>
          </v:rect>
        </w:pict>
      </w:r>
      <w:r>
        <w:rPr>
          <w:b/>
          <w:sz w:val="32"/>
          <w:u w:val="thick"/>
        </w:rPr>
        <w:t>THEME :</w:t>
      </w:r>
    </w:p>
    <w:p>
      <w:pPr>
        <w:pStyle w:val="BodyText"/>
        <w:spacing w:before="8"/>
        <w:rPr>
          <w:b/>
          <w:sz w:val="17"/>
        </w:rPr>
      </w:pPr>
      <w:r>
        <w:rPr/>
        <w:pict>
          <v:shape style="position:absolute;margin-left:116.449997pt;margin-top:13.166895pt;width:410.25pt;height:115.8pt;mso-position-horizontal-relative:page;mso-position-vertical-relative:paragraph;z-index:-251657216;mso-wrap-distance-left:0;mso-wrap-distance-right:0" type="#_x0000_t202" filled="false" stroked="true" strokeweight="2pt" strokecolor="#000000">
            <v:textbox inset="0,0,0,0">
              <w:txbxContent>
                <w:p>
                  <w:pPr>
                    <w:spacing w:before="71"/>
                    <w:ind w:left="122" w:right="133" w:firstLine="0"/>
                    <w:jc w:val="center"/>
                    <w:rPr>
                      <w:b/>
                      <w:sz w:val="40"/>
                    </w:rPr>
                  </w:pPr>
                  <w:r>
                    <w:rPr>
                      <w:b/>
                      <w:sz w:val="40"/>
                    </w:rPr>
                    <w:t>Amélioration des services de paiement digital</w:t>
                  </w:r>
                </w:p>
                <w:p>
                  <w:pPr>
                    <w:spacing w:line="264" w:lineRule="auto" w:before="35"/>
                    <w:ind w:left="125" w:right="133" w:firstLine="0"/>
                    <w:jc w:val="center"/>
                    <w:rPr>
                      <w:b/>
                      <w:sz w:val="40"/>
                    </w:rPr>
                  </w:pPr>
                  <w:r>
                    <w:rPr>
                      <w:b/>
                      <w:sz w:val="40"/>
                    </w:rPr>
                    <w:t>« BaridiMob » pour une meilleure satisfaction client</w:t>
                  </w:r>
                </w:p>
                <w:p>
                  <w:pPr>
                    <w:spacing w:before="145"/>
                    <w:ind w:left="126" w:right="126" w:firstLine="0"/>
                    <w:jc w:val="center"/>
                    <w:rPr>
                      <w:b/>
                      <w:sz w:val="40"/>
                    </w:rPr>
                  </w:pPr>
                  <w:r>
                    <w:rPr>
                      <w:b/>
                      <w:sz w:val="40"/>
                    </w:rPr>
                    <w:t>CAS: Algérie Poste</w:t>
                  </w:r>
                </w:p>
              </w:txbxContent>
            </v:textbox>
            <v:stroke dashstyle="solid"/>
            <w10:wrap type="topAndBottom"/>
          </v:shape>
        </w:pict>
      </w:r>
    </w:p>
    <w:p>
      <w:pPr>
        <w:spacing w:before="134"/>
        <w:ind w:left="825" w:right="439" w:firstLine="0"/>
        <w:jc w:val="center"/>
        <w:rPr>
          <w:b/>
          <w:sz w:val="32"/>
        </w:rPr>
      </w:pPr>
      <w:r>
        <w:rPr>
          <w:b/>
          <w:sz w:val="32"/>
          <w:u w:val="thick"/>
        </w:rPr>
        <w:t>Projet :</w:t>
      </w:r>
    </w:p>
    <w:p>
      <w:pPr>
        <w:pStyle w:val="BodyText"/>
        <w:spacing w:before="11"/>
        <w:rPr>
          <w:b/>
          <w:sz w:val="12"/>
        </w:rPr>
      </w:pPr>
      <w:r>
        <w:rPr/>
        <w:pict>
          <v:shape style="position:absolute;margin-left:117pt;margin-top:10.401563pt;width:410.25pt;height:57pt;mso-position-horizontal-relative:page;mso-position-vertical-relative:paragraph;z-index:-251656192;mso-wrap-distance-left:0;mso-wrap-distance-right:0" type="#_x0000_t202" filled="false" stroked="true" strokeweight="2pt" strokecolor="#000000">
            <v:textbox inset="0,0,0,0">
              <w:txbxContent>
                <w:p>
                  <w:pPr>
                    <w:spacing w:before="232"/>
                    <w:ind w:left="126" w:right="128" w:firstLine="0"/>
                    <w:jc w:val="center"/>
                    <w:rPr>
                      <w:b/>
                      <w:sz w:val="40"/>
                    </w:rPr>
                  </w:pPr>
                  <w:r>
                    <w:rPr>
                      <w:b/>
                      <w:sz w:val="40"/>
                    </w:rPr>
                    <w:t>GO-FRIHA</w:t>
                  </w:r>
                </w:p>
              </w:txbxContent>
            </v:textbox>
            <v:stroke dashstyle="solid"/>
            <w10:wrap type="topAndBottom"/>
          </v:shape>
        </w:pict>
      </w:r>
    </w:p>
    <w:p>
      <w:pPr>
        <w:pStyle w:val="BodyText"/>
        <w:rPr>
          <w:b/>
          <w:sz w:val="20"/>
        </w:rPr>
      </w:pPr>
    </w:p>
    <w:p>
      <w:pPr>
        <w:pStyle w:val="BodyText"/>
        <w:spacing w:before="6" w:after="1"/>
        <w:rPr>
          <w:b/>
          <w:sz w:val="12"/>
        </w:rPr>
      </w:pPr>
    </w:p>
    <w:tbl>
      <w:tblPr>
        <w:tblW w:w="0" w:type="auto"/>
        <w:jc w:val="left"/>
        <w:tblInd w:w="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773"/>
        <w:gridCol w:w="4506"/>
      </w:tblGrid>
      <w:tr>
        <w:trPr>
          <w:trHeight w:val="335" w:hRule="atLeast"/>
        </w:trPr>
        <w:tc>
          <w:tcPr>
            <w:tcW w:w="4773" w:type="dxa"/>
          </w:tcPr>
          <w:p>
            <w:pPr>
              <w:pStyle w:val="TableParagraph"/>
              <w:spacing w:line="309" w:lineRule="exact"/>
              <w:ind w:left="200"/>
              <w:jc w:val="left"/>
              <w:rPr>
                <w:b/>
                <w:sz w:val="28"/>
              </w:rPr>
            </w:pPr>
            <w:r>
              <w:rPr>
                <w:b/>
                <w:sz w:val="28"/>
                <w:u w:val="thick"/>
              </w:rPr>
              <w:t>Présenté par :</w:t>
            </w:r>
          </w:p>
        </w:tc>
        <w:tc>
          <w:tcPr>
            <w:tcW w:w="4506" w:type="dxa"/>
          </w:tcPr>
          <w:p>
            <w:pPr>
              <w:pStyle w:val="TableParagraph"/>
              <w:spacing w:line="309" w:lineRule="exact"/>
              <w:ind w:left="1568"/>
              <w:jc w:val="left"/>
              <w:rPr>
                <w:b/>
                <w:sz w:val="28"/>
              </w:rPr>
            </w:pPr>
            <w:r>
              <w:rPr>
                <w:b/>
                <w:sz w:val="28"/>
                <w:u w:val="thick"/>
              </w:rPr>
              <w:t>Encadré par : </w:t>
            </w:r>
          </w:p>
        </w:tc>
      </w:tr>
      <w:tr>
        <w:trPr>
          <w:trHeight w:val="780" w:hRule="atLeast"/>
        </w:trPr>
        <w:tc>
          <w:tcPr>
            <w:tcW w:w="4773" w:type="dxa"/>
          </w:tcPr>
          <w:p>
            <w:pPr>
              <w:pStyle w:val="TableParagraph"/>
              <w:numPr>
                <w:ilvl w:val="0"/>
                <w:numId w:val="1"/>
              </w:numPr>
              <w:tabs>
                <w:tab w:pos="560" w:val="left" w:leader="none"/>
                <w:tab w:pos="561" w:val="left" w:leader="none"/>
              </w:tabs>
              <w:spacing w:line="240" w:lineRule="auto" w:before="19" w:after="0"/>
              <w:ind w:left="560" w:right="0" w:hanging="361"/>
              <w:jc w:val="left"/>
              <w:rPr>
                <w:sz w:val="22"/>
              </w:rPr>
            </w:pPr>
            <w:r>
              <w:rPr>
                <w:sz w:val="22"/>
              </w:rPr>
              <w:t>ADDER Sid</w:t>
            </w:r>
            <w:r>
              <w:rPr>
                <w:spacing w:val="4"/>
                <w:sz w:val="22"/>
              </w:rPr>
              <w:t> </w:t>
            </w:r>
            <w:r>
              <w:rPr>
                <w:spacing w:val="-2"/>
                <w:sz w:val="22"/>
              </w:rPr>
              <w:t>Ali</w:t>
            </w:r>
          </w:p>
          <w:p>
            <w:pPr>
              <w:pStyle w:val="TableParagraph"/>
              <w:numPr>
                <w:ilvl w:val="0"/>
                <w:numId w:val="1"/>
              </w:numPr>
              <w:tabs>
                <w:tab w:pos="560" w:val="left" w:leader="none"/>
                <w:tab w:pos="561" w:val="left" w:leader="none"/>
              </w:tabs>
              <w:spacing w:line="240" w:lineRule="auto" w:before="1" w:after="0"/>
              <w:ind w:left="560" w:right="0" w:hanging="361"/>
              <w:jc w:val="left"/>
              <w:rPr>
                <w:sz w:val="22"/>
              </w:rPr>
            </w:pPr>
            <w:r>
              <w:rPr>
                <w:sz w:val="22"/>
              </w:rPr>
              <w:t>HACEHLAF</w:t>
            </w:r>
            <w:r>
              <w:rPr>
                <w:spacing w:val="3"/>
                <w:sz w:val="22"/>
              </w:rPr>
              <w:t> </w:t>
            </w:r>
            <w:r>
              <w:rPr>
                <w:sz w:val="22"/>
              </w:rPr>
              <w:t>Sonia</w:t>
            </w:r>
          </w:p>
          <w:p>
            <w:pPr>
              <w:pStyle w:val="TableParagraph"/>
              <w:numPr>
                <w:ilvl w:val="0"/>
                <w:numId w:val="1"/>
              </w:numPr>
              <w:tabs>
                <w:tab w:pos="560" w:val="left" w:leader="none"/>
                <w:tab w:pos="561" w:val="left" w:leader="none"/>
              </w:tabs>
              <w:spacing w:line="233" w:lineRule="exact" w:before="1" w:after="0"/>
              <w:ind w:left="560" w:right="0" w:hanging="361"/>
              <w:jc w:val="left"/>
              <w:rPr>
                <w:sz w:val="22"/>
              </w:rPr>
            </w:pPr>
            <w:r>
              <w:rPr>
                <w:sz w:val="22"/>
              </w:rPr>
              <w:t>RAMDANI Fouad Abderaouf</w:t>
            </w:r>
          </w:p>
        </w:tc>
        <w:tc>
          <w:tcPr>
            <w:tcW w:w="4506" w:type="dxa"/>
          </w:tcPr>
          <w:p>
            <w:pPr>
              <w:pStyle w:val="TableParagraph"/>
              <w:numPr>
                <w:ilvl w:val="0"/>
                <w:numId w:val="2"/>
              </w:numPr>
              <w:tabs>
                <w:tab w:pos="1928" w:val="left" w:leader="none"/>
                <w:tab w:pos="1929" w:val="left" w:leader="none"/>
              </w:tabs>
              <w:spacing w:line="240" w:lineRule="auto" w:before="19" w:after="0"/>
              <w:ind w:left="1928" w:right="0" w:hanging="361"/>
              <w:jc w:val="left"/>
              <w:rPr>
                <w:sz w:val="22"/>
              </w:rPr>
            </w:pPr>
            <w:r>
              <w:rPr>
                <w:sz w:val="22"/>
              </w:rPr>
              <w:t>Mme CHADLIA</w:t>
            </w:r>
            <w:r>
              <w:rPr>
                <w:spacing w:val="-6"/>
                <w:sz w:val="22"/>
              </w:rPr>
              <w:t> </w:t>
            </w:r>
            <w:r>
              <w:rPr>
                <w:sz w:val="22"/>
              </w:rPr>
              <w:t>Amel</w:t>
            </w:r>
          </w:p>
          <w:p>
            <w:pPr>
              <w:pStyle w:val="TableParagraph"/>
              <w:numPr>
                <w:ilvl w:val="0"/>
                <w:numId w:val="2"/>
              </w:numPr>
              <w:tabs>
                <w:tab w:pos="1928" w:val="left" w:leader="none"/>
                <w:tab w:pos="1929" w:val="left" w:leader="none"/>
              </w:tabs>
              <w:spacing w:line="240" w:lineRule="auto" w:before="39" w:after="0"/>
              <w:ind w:left="1928" w:right="0" w:hanging="361"/>
              <w:jc w:val="left"/>
              <w:rPr>
                <w:sz w:val="22"/>
              </w:rPr>
            </w:pPr>
            <w:r>
              <w:rPr>
                <w:sz w:val="22"/>
              </w:rPr>
              <w:t>Mr DERAHMOUNE</w:t>
            </w:r>
            <w:r>
              <w:rPr>
                <w:spacing w:val="-2"/>
                <w:sz w:val="22"/>
              </w:rPr>
              <w:t> </w:t>
            </w:r>
            <w:r>
              <w:rPr>
                <w:sz w:val="22"/>
              </w:rPr>
              <w:t>Hilal</w:t>
            </w:r>
          </w:p>
        </w:tc>
      </w:tr>
    </w:tbl>
    <w:p>
      <w:pPr>
        <w:pStyle w:val="BodyText"/>
        <w:spacing w:before="6"/>
        <w:rPr>
          <w:b/>
          <w:sz w:val="26"/>
        </w:rPr>
      </w:pPr>
    </w:p>
    <w:p>
      <w:pPr>
        <w:spacing w:line="379" w:lineRule="auto" w:before="87"/>
        <w:ind w:left="4659" w:right="4281" w:firstLine="0"/>
        <w:jc w:val="center"/>
        <w:rPr>
          <w:b/>
          <w:sz w:val="28"/>
        </w:rPr>
      </w:pPr>
      <w:r>
        <w:rPr>
          <w:b/>
          <w:sz w:val="28"/>
        </w:rPr>
        <w:t>Promotion : Juin / 2025</w:t>
      </w:r>
    </w:p>
    <w:p>
      <w:pPr>
        <w:spacing w:after="0" w:line="379" w:lineRule="auto"/>
        <w:jc w:val="center"/>
        <w:rPr>
          <w:sz w:val="28"/>
        </w:rPr>
        <w:sectPr>
          <w:headerReference w:type="default" r:id="rId5"/>
          <w:type w:val="continuous"/>
          <w:pgSz w:w="12240" w:h="15840"/>
          <w:pgMar w:header="1432" w:top="3140" w:bottom="280" w:left="1000" w:right="820"/>
        </w:sectPr>
      </w:pPr>
    </w:p>
    <w:p>
      <w:pPr>
        <w:pStyle w:val="BodyText"/>
        <w:spacing w:before="4"/>
        <w:rPr>
          <w:b/>
          <w:sz w:val="17"/>
        </w:rPr>
      </w:pPr>
    </w:p>
    <w:p>
      <w:pPr>
        <w:spacing w:after="0"/>
        <w:rPr>
          <w:sz w:val="17"/>
        </w:rPr>
        <w:sectPr>
          <w:headerReference w:type="even" r:id="rId6"/>
          <w:pgSz w:w="12240" w:h="15840"/>
          <w:pgMar w:header="0" w:footer="0" w:top="1500" w:bottom="280" w:left="1000" w:right="820"/>
        </w:sectPr>
      </w:pPr>
    </w:p>
    <w:p>
      <w:pPr>
        <w:pStyle w:val="BodyText"/>
        <w:rPr>
          <w:b/>
          <w:sz w:val="20"/>
        </w:rPr>
      </w:pPr>
    </w:p>
    <w:p>
      <w:pPr>
        <w:pStyle w:val="BodyText"/>
        <w:rPr>
          <w:b/>
          <w:sz w:val="20"/>
        </w:rPr>
      </w:pPr>
    </w:p>
    <w:p>
      <w:pPr>
        <w:pStyle w:val="BodyText"/>
        <w:spacing w:before="6"/>
        <w:rPr>
          <w:b/>
          <w:sz w:val="26"/>
        </w:rPr>
      </w:pPr>
    </w:p>
    <w:p>
      <w:pPr>
        <w:spacing w:line="259" w:lineRule="auto" w:before="88"/>
        <w:ind w:left="825" w:right="457" w:firstLine="0"/>
        <w:jc w:val="center"/>
        <w:rPr>
          <w:b/>
          <w:sz w:val="32"/>
        </w:rPr>
      </w:pPr>
      <w:r>
        <w:rPr>
          <w:b/>
          <w:sz w:val="32"/>
        </w:rPr>
        <w:t>Projet de mémoire de fin de cycle en vue de l’obtention du diplôme de Master-Start-Up</w:t>
      </w:r>
    </w:p>
    <w:p>
      <w:pPr>
        <w:spacing w:before="160"/>
        <w:ind w:left="825" w:right="439" w:firstLine="0"/>
        <w:jc w:val="center"/>
        <w:rPr>
          <w:sz w:val="28"/>
        </w:rPr>
      </w:pPr>
      <w:r>
        <w:rPr>
          <w:b/>
          <w:sz w:val="28"/>
        </w:rPr>
        <w:t>Spécialités </w:t>
      </w:r>
      <w:r>
        <w:rPr>
          <w:sz w:val="28"/>
        </w:rPr>
        <w:t>:</w:t>
      </w:r>
    </w:p>
    <w:p>
      <w:pPr>
        <w:spacing w:before="187"/>
        <w:ind w:left="825" w:right="443" w:firstLine="0"/>
        <w:jc w:val="center"/>
        <w:rPr>
          <w:sz w:val="28"/>
        </w:rPr>
      </w:pPr>
      <w:r>
        <w:rPr>
          <w:sz w:val="28"/>
        </w:rPr>
        <w:t>Audit et contrôle de gestion et E-business</w:t>
      </w:r>
    </w:p>
    <w:p>
      <w:pPr>
        <w:spacing w:before="183"/>
        <w:ind w:left="825" w:right="434" w:firstLine="0"/>
        <w:jc w:val="center"/>
        <w:rPr>
          <w:b/>
          <w:sz w:val="32"/>
        </w:rPr>
      </w:pPr>
      <w:r>
        <w:rPr>
          <w:b/>
          <w:sz w:val="32"/>
          <w:u w:val="thick"/>
        </w:rPr>
        <w:t>THEME :</w:t>
      </w:r>
    </w:p>
    <w:p>
      <w:pPr>
        <w:pStyle w:val="BodyText"/>
        <w:spacing w:before="3"/>
        <w:rPr>
          <w:b/>
          <w:sz w:val="18"/>
        </w:rPr>
      </w:pPr>
      <w:r>
        <w:rPr/>
        <w:pict>
          <v:shape style="position:absolute;margin-left:116.650002pt;margin-top:13.466894pt;width:410.25pt;height:120.4pt;mso-position-horizontal-relative:page;mso-position-vertical-relative:paragraph;z-index:-251652096;mso-wrap-distance-left:0;mso-wrap-distance-right:0" type="#_x0000_t202" filled="false" stroked="true" strokeweight="2pt" strokecolor="#000000">
            <v:textbox inset="0,0,0,0">
              <w:txbxContent>
                <w:p>
                  <w:pPr>
                    <w:spacing w:before="70"/>
                    <w:ind w:left="124" w:right="133" w:firstLine="0"/>
                    <w:jc w:val="center"/>
                    <w:rPr>
                      <w:b/>
                      <w:sz w:val="40"/>
                    </w:rPr>
                  </w:pPr>
                  <w:r>
                    <w:rPr>
                      <w:b/>
                      <w:sz w:val="40"/>
                    </w:rPr>
                    <w:t>Amélioration des services de paiement digital</w:t>
                  </w:r>
                </w:p>
                <w:p>
                  <w:pPr>
                    <w:spacing w:line="264" w:lineRule="auto" w:before="35"/>
                    <w:ind w:left="126" w:right="133" w:firstLine="0"/>
                    <w:jc w:val="center"/>
                    <w:rPr>
                      <w:b/>
                      <w:sz w:val="40"/>
                    </w:rPr>
                  </w:pPr>
                  <w:r>
                    <w:rPr>
                      <w:b/>
                      <w:sz w:val="40"/>
                    </w:rPr>
                    <w:t>« BaridiMob » pour une meilleure satisfaction client</w:t>
                  </w:r>
                </w:p>
                <w:p>
                  <w:pPr>
                    <w:spacing w:before="149"/>
                    <w:ind w:left="126" w:right="129" w:firstLine="0"/>
                    <w:jc w:val="center"/>
                    <w:rPr>
                      <w:b/>
                      <w:sz w:val="40"/>
                    </w:rPr>
                  </w:pPr>
                  <w:r>
                    <w:rPr>
                      <w:b/>
                      <w:sz w:val="40"/>
                    </w:rPr>
                    <w:t>CAS : Algérie Poste</w:t>
                  </w:r>
                </w:p>
              </w:txbxContent>
            </v:textbox>
            <v:stroke dashstyle="solid"/>
            <w10:wrap type="topAndBottom"/>
          </v:shape>
        </w:pict>
      </w:r>
    </w:p>
    <w:p>
      <w:pPr>
        <w:pStyle w:val="BodyText"/>
        <w:rPr>
          <w:b/>
          <w:sz w:val="20"/>
        </w:rPr>
      </w:pPr>
    </w:p>
    <w:p>
      <w:pPr>
        <w:spacing w:before="205"/>
        <w:ind w:left="825" w:right="439" w:firstLine="0"/>
        <w:jc w:val="center"/>
        <w:rPr>
          <w:b/>
          <w:sz w:val="32"/>
        </w:rPr>
      </w:pPr>
      <w:r>
        <w:rPr>
          <w:b/>
          <w:sz w:val="32"/>
          <w:u w:val="thick"/>
        </w:rPr>
        <w:t>Projet :</w:t>
      </w:r>
    </w:p>
    <w:p>
      <w:pPr>
        <w:pStyle w:val="BodyText"/>
        <w:spacing w:before="6"/>
        <w:rPr>
          <w:b/>
          <w:sz w:val="15"/>
        </w:rPr>
      </w:pPr>
      <w:r>
        <w:rPr/>
        <w:pict>
          <v:shape style="position:absolute;margin-left:113.93pt;margin-top:11.902539pt;width:410.25pt;height:57pt;mso-position-horizontal-relative:page;mso-position-vertical-relative:paragraph;z-index:-251651072;mso-wrap-distance-left:0;mso-wrap-distance-right:0" type="#_x0000_t202" filled="false" stroked="true" strokeweight="2pt" strokecolor="#000000">
            <v:textbox inset="0,0,0,0">
              <w:txbxContent>
                <w:p>
                  <w:pPr>
                    <w:spacing w:before="230"/>
                    <w:ind w:left="126" w:right="130" w:firstLine="0"/>
                    <w:jc w:val="center"/>
                    <w:rPr>
                      <w:b/>
                      <w:sz w:val="40"/>
                    </w:rPr>
                  </w:pPr>
                  <w:r>
                    <w:rPr>
                      <w:b/>
                      <w:sz w:val="40"/>
                    </w:rPr>
                    <w:t>GO-FRIHA</w:t>
                  </w:r>
                </w:p>
              </w:txbxContent>
            </v:textbox>
            <v:stroke dashstyle="solid"/>
            <w10:wrap type="topAndBottom"/>
          </v:shape>
        </w:pict>
      </w:r>
    </w:p>
    <w:p>
      <w:pPr>
        <w:pStyle w:val="BodyText"/>
        <w:spacing w:before="2"/>
        <w:rPr>
          <w:b/>
          <w:sz w:val="26"/>
        </w:rPr>
      </w:pPr>
    </w:p>
    <w:tbl>
      <w:tblPr>
        <w:tblW w:w="0" w:type="auto"/>
        <w:jc w:val="left"/>
        <w:tblInd w:w="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845"/>
        <w:gridCol w:w="4579"/>
      </w:tblGrid>
      <w:tr>
        <w:trPr>
          <w:trHeight w:val="335" w:hRule="atLeast"/>
        </w:trPr>
        <w:tc>
          <w:tcPr>
            <w:tcW w:w="4845" w:type="dxa"/>
          </w:tcPr>
          <w:p>
            <w:pPr>
              <w:pStyle w:val="TableParagraph"/>
              <w:spacing w:line="309" w:lineRule="exact"/>
              <w:ind w:left="200"/>
              <w:jc w:val="left"/>
              <w:rPr>
                <w:b/>
                <w:sz w:val="28"/>
              </w:rPr>
            </w:pPr>
            <w:r>
              <w:rPr>
                <w:b/>
                <w:sz w:val="28"/>
                <w:u w:val="thick"/>
              </w:rPr>
              <w:t>Présenté par :</w:t>
            </w:r>
          </w:p>
        </w:tc>
        <w:tc>
          <w:tcPr>
            <w:tcW w:w="4579" w:type="dxa"/>
          </w:tcPr>
          <w:p>
            <w:pPr>
              <w:pStyle w:val="TableParagraph"/>
              <w:spacing w:line="309" w:lineRule="exact"/>
              <w:ind w:left="1496"/>
              <w:jc w:val="left"/>
              <w:rPr>
                <w:b/>
                <w:sz w:val="28"/>
              </w:rPr>
            </w:pPr>
            <w:r>
              <w:rPr>
                <w:b/>
                <w:sz w:val="28"/>
                <w:u w:val="thick"/>
              </w:rPr>
              <w:t>Encadré par : </w:t>
            </w:r>
          </w:p>
        </w:tc>
      </w:tr>
      <w:tr>
        <w:trPr>
          <w:trHeight w:val="776" w:hRule="atLeast"/>
        </w:trPr>
        <w:tc>
          <w:tcPr>
            <w:tcW w:w="4845" w:type="dxa"/>
          </w:tcPr>
          <w:p>
            <w:pPr>
              <w:pStyle w:val="TableParagraph"/>
              <w:numPr>
                <w:ilvl w:val="0"/>
                <w:numId w:val="3"/>
              </w:numPr>
              <w:tabs>
                <w:tab w:pos="704" w:val="left" w:leader="none"/>
                <w:tab w:pos="705" w:val="left" w:leader="none"/>
              </w:tabs>
              <w:spacing w:line="240" w:lineRule="auto" w:before="19" w:after="0"/>
              <w:ind w:left="704" w:right="0" w:hanging="361"/>
              <w:jc w:val="left"/>
              <w:rPr>
                <w:sz w:val="22"/>
              </w:rPr>
            </w:pPr>
            <w:r>
              <w:rPr>
                <w:sz w:val="22"/>
              </w:rPr>
              <w:t>ADDER Sid</w:t>
            </w:r>
            <w:r>
              <w:rPr>
                <w:spacing w:val="4"/>
                <w:sz w:val="22"/>
              </w:rPr>
              <w:t> </w:t>
            </w:r>
            <w:r>
              <w:rPr>
                <w:spacing w:val="-2"/>
                <w:sz w:val="22"/>
              </w:rPr>
              <w:t>Ali</w:t>
            </w:r>
          </w:p>
          <w:p>
            <w:pPr>
              <w:pStyle w:val="TableParagraph"/>
              <w:numPr>
                <w:ilvl w:val="0"/>
                <w:numId w:val="3"/>
              </w:numPr>
              <w:tabs>
                <w:tab w:pos="704" w:val="left" w:leader="none"/>
                <w:tab w:pos="705" w:val="left" w:leader="none"/>
              </w:tabs>
              <w:spacing w:line="251" w:lineRule="exact" w:before="1" w:after="0"/>
              <w:ind w:left="704" w:right="0" w:hanging="361"/>
              <w:jc w:val="left"/>
              <w:rPr>
                <w:sz w:val="22"/>
              </w:rPr>
            </w:pPr>
            <w:r>
              <w:rPr>
                <w:sz w:val="22"/>
              </w:rPr>
              <w:t>HACEHLAF</w:t>
            </w:r>
            <w:r>
              <w:rPr>
                <w:spacing w:val="3"/>
                <w:sz w:val="22"/>
              </w:rPr>
              <w:t> </w:t>
            </w:r>
            <w:r>
              <w:rPr>
                <w:sz w:val="22"/>
              </w:rPr>
              <w:t>Sonia</w:t>
            </w:r>
          </w:p>
          <w:p>
            <w:pPr>
              <w:pStyle w:val="TableParagraph"/>
              <w:numPr>
                <w:ilvl w:val="0"/>
                <w:numId w:val="3"/>
              </w:numPr>
              <w:tabs>
                <w:tab w:pos="704" w:val="left" w:leader="none"/>
                <w:tab w:pos="705" w:val="left" w:leader="none"/>
              </w:tabs>
              <w:spacing w:line="232" w:lineRule="exact" w:before="0" w:after="0"/>
              <w:ind w:left="704" w:right="0" w:hanging="361"/>
              <w:jc w:val="left"/>
              <w:rPr>
                <w:sz w:val="22"/>
              </w:rPr>
            </w:pPr>
            <w:r>
              <w:rPr>
                <w:sz w:val="22"/>
              </w:rPr>
              <w:t>RAMDANI Fouad Abderaouf</w:t>
            </w:r>
          </w:p>
        </w:tc>
        <w:tc>
          <w:tcPr>
            <w:tcW w:w="4579" w:type="dxa"/>
          </w:tcPr>
          <w:p>
            <w:pPr>
              <w:pStyle w:val="TableParagraph"/>
              <w:numPr>
                <w:ilvl w:val="0"/>
                <w:numId w:val="4"/>
              </w:numPr>
              <w:tabs>
                <w:tab w:pos="2001" w:val="left" w:leader="none"/>
                <w:tab w:pos="2002" w:val="left" w:leader="none"/>
              </w:tabs>
              <w:spacing w:line="240" w:lineRule="auto" w:before="19" w:after="0"/>
              <w:ind w:left="2001" w:right="0" w:hanging="362"/>
              <w:jc w:val="left"/>
              <w:rPr>
                <w:sz w:val="22"/>
              </w:rPr>
            </w:pPr>
            <w:r>
              <w:rPr>
                <w:sz w:val="22"/>
              </w:rPr>
              <w:t>Mme CHADLIA</w:t>
            </w:r>
            <w:r>
              <w:rPr>
                <w:spacing w:val="-6"/>
                <w:sz w:val="22"/>
              </w:rPr>
              <w:t> </w:t>
            </w:r>
            <w:r>
              <w:rPr>
                <w:sz w:val="22"/>
              </w:rPr>
              <w:t>Amel</w:t>
            </w:r>
          </w:p>
          <w:p>
            <w:pPr>
              <w:pStyle w:val="TableParagraph"/>
              <w:numPr>
                <w:ilvl w:val="0"/>
                <w:numId w:val="4"/>
              </w:numPr>
              <w:tabs>
                <w:tab w:pos="2001" w:val="left" w:leader="none"/>
                <w:tab w:pos="2002" w:val="left" w:leader="none"/>
              </w:tabs>
              <w:spacing w:line="240" w:lineRule="auto" w:before="39" w:after="0"/>
              <w:ind w:left="2001" w:right="0" w:hanging="362"/>
              <w:jc w:val="left"/>
              <w:rPr>
                <w:sz w:val="22"/>
              </w:rPr>
            </w:pPr>
            <w:r>
              <w:rPr>
                <w:sz w:val="22"/>
              </w:rPr>
              <w:t>Mr DERAHMOUNE</w:t>
            </w:r>
            <w:r>
              <w:rPr>
                <w:spacing w:val="-2"/>
                <w:sz w:val="22"/>
              </w:rPr>
              <w:t> </w:t>
            </w:r>
            <w:r>
              <w:rPr>
                <w:sz w:val="22"/>
              </w:rPr>
              <w:t>Hilal</w:t>
            </w:r>
          </w:p>
        </w:tc>
      </w:tr>
    </w:tbl>
    <w:p>
      <w:pPr>
        <w:pStyle w:val="BodyText"/>
        <w:rPr>
          <w:b/>
          <w:sz w:val="20"/>
        </w:rPr>
      </w:pPr>
    </w:p>
    <w:p>
      <w:pPr>
        <w:pStyle w:val="BodyText"/>
        <w:rPr>
          <w:b/>
          <w:sz w:val="20"/>
        </w:rPr>
      </w:pPr>
    </w:p>
    <w:p>
      <w:pPr>
        <w:pStyle w:val="BodyText"/>
        <w:spacing w:before="8"/>
        <w:rPr>
          <w:b/>
          <w:sz w:val="20"/>
        </w:rPr>
      </w:pPr>
    </w:p>
    <w:p>
      <w:pPr>
        <w:spacing w:line="379" w:lineRule="auto" w:before="87"/>
        <w:ind w:left="4659" w:right="4279" w:firstLine="0"/>
        <w:jc w:val="center"/>
        <w:rPr>
          <w:b/>
          <w:sz w:val="28"/>
        </w:rPr>
      </w:pPr>
      <w:r>
        <w:rPr>
          <w:b/>
          <w:sz w:val="28"/>
        </w:rPr>
        <w:t>Promotion : Juin / 2025</w:t>
      </w:r>
    </w:p>
    <w:p>
      <w:pPr>
        <w:spacing w:after="0" w:line="379" w:lineRule="auto"/>
        <w:jc w:val="center"/>
        <w:rPr>
          <w:sz w:val="28"/>
        </w:rPr>
        <w:sectPr>
          <w:headerReference w:type="default" r:id="rId7"/>
          <w:headerReference w:type="even" r:id="rId8"/>
          <w:pgSz w:w="12240" w:h="15840"/>
          <w:pgMar w:header="1432" w:footer="0" w:top="3140" w:bottom="280" w:left="1000" w:right="820"/>
        </w:sectPr>
      </w:pPr>
    </w:p>
    <w:p>
      <w:pPr>
        <w:pStyle w:val="BodyText"/>
        <w:rPr>
          <w:b/>
          <w:sz w:val="20"/>
        </w:rPr>
      </w:pPr>
    </w:p>
    <w:p>
      <w:pPr>
        <w:pStyle w:val="BodyText"/>
        <w:spacing w:before="2"/>
        <w:rPr>
          <w:b/>
          <w:sz w:val="23"/>
        </w:rPr>
      </w:pPr>
    </w:p>
    <w:p>
      <w:pPr>
        <w:pStyle w:val="Heading1"/>
        <w:ind w:left="559"/>
      </w:pPr>
      <w:bookmarkStart w:name="Dédicaces" w:id="1"/>
      <w:bookmarkEnd w:id="1"/>
      <w:r>
        <w:rPr>
          <w:b w:val="0"/>
        </w:rPr>
      </w:r>
      <w:bookmarkStart w:name="_bookmark0" w:id="2"/>
      <w:bookmarkEnd w:id="2"/>
      <w:r>
        <w:rPr>
          <w:b w:val="0"/>
        </w:rPr>
      </w:r>
      <w:r>
        <w:rPr/>
        <w:t>Dédicaces</w:t>
      </w:r>
    </w:p>
    <w:p>
      <w:pPr>
        <w:pStyle w:val="BodyText"/>
        <w:spacing w:before="3"/>
        <w:rPr>
          <w:b/>
          <w:sz w:val="34"/>
        </w:rPr>
      </w:pPr>
    </w:p>
    <w:p>
      <w:pPr>
        <w:spacing w:line="259" w:lineRule="auto" w:before="0"/>
        <w:ind w:left="699" w:right="313" w:firstLine="0"/>
        <w:jc w:val="both"/>
        <w:rPr>
          <w:i/>
          <w:sz w:val="24"/>
        </w:rPr>
      </w:pPr>
      <w:r>
        <w:rPr>
          <w:i/>
          <w:sz w:val="24"/>
        </w:rPr>
        <w:t>Avant</w:t>
      </w:r>
      <w:r>
        <w:rPr>
          <w:i/>
          <w:spacing w:val="-5"/>
          <w:sz w:val="24"/>
        </w:rPr>
        <w:t> </w:t>
      </w:r>
      <w:r>
        <w:rPr>
          <w:i/>
          <w:sz w:val="24"/>
        </w:rPr>
        <w:t>toute</w:t>
      </w:r>
      <w:r>
        <w:rPr>
          <w:i/>
          <w:spacing w:val="-12"/>
          <w:sz w:val="24"/>
        </w:rPr>
        <w:t> </w:t>
      </w:r>
      <w:r>
        <w:rPr>
          <w:i/>
          <w:sz w:val="24"/>
        </w:rPr>
        <w:t>chose,</w:t>
      </w:r>
      <w:r>
        <w:rPr>
          <w:i/>
          <w:spacing w:val="-4"/>
          <w:sz w:val="24"/>
        </w:rPr>
        <w:t> </w:t>
      </w:r>
      <w:r>
        <w:rPr>
          <w:i/>
          <w:sz w:val="24"/>
        </w:rPr>
        <w:t>je</w:t>
      </w:r>
      <w:r>
        <w:rPr>
          <w:i/>
          <w:spacing w:val="-11"/>
          <w:sz w:val="24"/>
        </w:rPr>
        <w:t> </w:t>
      </w:r>
      <w:r>
        <w:rPr>
          <w:i/>
          <w:sz w:val="24"/>
        </w:rPr>
        <w:t>rends</w:t>
      </w:r>
      <w:r>
        <w:rPr>
          <w:i/>
          <w:spacing w:val="-8"/>
          <w:sz w:val="24"/>
        </w:rPr>
        <w:t> </w:t>
      </w:r>
      <w:r>
        <w:rPr>
          <w:i/>
          <w:sz w:val="24"/>
        </w:rPr>
        <w:t>grâce</w:t>
      </w:r>
      <w:r>
        <w:rPr>
          <w:i/>
          <w:spacing w:val="-7"/>
          <w:sz w:val="24"/>
        </w:rPr>
        <w:t> </w:t>
      </w:r>
      <w:r>
        <w:rPr>
          <w:i/>
          <w:sz w:val="24"/>
        </w:rPr>
        <w:t>à</w:t>
      </w:r>
      <w:r>
        <w:rPr>
          <w:i/>
          <w:spacing w:val="-5"/>
          <w:sz w:val="24"/>
        </w:rPr>
        <w:t> </w:t>
      </w:r>
      <w:r>
        <w:rPr>
          <w:i/>
          <w:sz w:val="24"/>
        </w:rPr>
        <w:t>Allah,</w:t>
      </w:r>
      <w:r>
        <w:rPr>
          <w:i/>
          <w:spacing w:val="-8"/>
          <w:sz w:val="24"/>
        </w:rPr>
        <w:t> </w:t>
      </w:r>
      <w:r>
        <w:rPr>
          <w:i/>
          <w:sz w:val="24"/>
        </w:rPr>
        <w:t>Le</w:t>
      </w:r>
      <w:r>
        <w:rPr>
          <w:i/>
          <w:spacing w:val="-12"/>
          <w:sz w:val="24"/>
        </w:rPr>
        <w:t> </w:t>
      </w:r>
      <w:r>
        <w:rPr>
          <w:i/>
          <w:sz w:val="24"/>
        </w:rPr>
        <w:t>Tout-Puissant,</w:t>
      </w:r>
      <w:r>
        <w:rPr>
          <w:i/>
          <w:spacing w:val="-3"/>
          <w:sz w:val="24"/>
        </w:rPr>
        <w:t> </w:t>
      </w:r>
      <w:r>
        <w:rPr>
          <w:i/>
          <w:sz w:val="24"/>
        </w:rPr>
        <w:t>Le</w:t>
      </w:r>
      <w:r>
        <w:rPr>
          <w:i/>
          <w:spacing w:val="-7"/>
          <w:sz w:val="24"/>
        </w:rPr>
        <w:t> </w:t>
      </w:r>
      <w:r>
        <w:rPr>
          <w:i/>
          <w:sz w:val="24"/>
        </w:rPr>
        <w:t>Miséricordieux,</w:t>
      </w:r>
      <w:r>
        <w:rPr>
          <w:i/>
          <w:spacing w:val="-4"/>
          <w:sz w:val="24"/>
        </w:rPr>
        <w:t> </w:t>
      </w:r>
      <w:r>
        <w:rPr>
          <w:i/>
          <w:sz w:val="24"/>
        </w:rPr>
        <w:t>pour</w:t>
      </w:r>
      <w:r>
        <w:rPr>
          <w:i/>
          <w:spacing w:val="-8"/>
          <w:sz w:val="24"/>
        </w:rPr>
        <w:t> </w:t>
      </w:r>
      <w:r>
        <w:rPr>
          <w:i/>
          <w:sz w:val="24"/>
        </w:rPr>
        <w:t>Sa</w:t>
      </w:r>
      <w:r>
        <w:rPr>
          <w:i/>
          <w:spacing w:val="-6"/>
          <w:sz w:val="24"/>
        </w:rPr>
        <w:t> </w:t>
      </w:r>
      <w:r>
        <w:rPr>
          <w:i/>
          <w:sz w:val="24"/>
        </w:rPr>
        <w:t>guidance, </w:t>
      </w:r>
      <w:r>
        <w:rPr>
          <w:i/>
          <w:sz w:val="24"/>
        </w:rPr>
        <w:t>Sa</w:t>
      </w:r>
      <w:r>
        <w:rPr>
          <w:i/>
          <w:spacing w:val="-5"/>
          <w:sz w:val="24"/>
        </w:rPr>
        <w:t> </w:t>
      </w:r>
      <w:r>
        <w:rPr>
          <w:i/>
          <w:sz w:val="24"/>
        </w:rPr>
        <w:t>protection</w:t>
      </w:r>
      <w:r>
        <w:rPr>
          <w:i/>
          <w:spacing w:val="-5"/>
          <w:sz w:val="24"/>
        </w:rPr>
        <w:t> </w:t>
      </w:r>
      <w:r>
        <w:rPr>
          <w:i/>
          <w:sz w:val="24"/>
        </w:rPr>
        <w:t>et</w:t>
      </w:r>
      <w:r>
        <w:rPr>
          <w:i/>
          <w:spacing w:val="-4"/>
          <w:sz w:val="24"/>
        </w:rPr>
        <w:t> </w:t>
      </w:r>
      <w:r>
        <w:rPr>
          <w:i/>
          <w:sz w:val="24"/>
        </w:rPr>
        <w:t>Sa</w:t>
      </w:r>
      <w:r>
        <w:rPr>
          <w:i/>
          <w:spacing w:val="-9"/>
          <w:sz w:val="24"/>
        </w:rPr>
        <w:t> </w:t>
      </w:r>
      <w:r>
        <w:rPr>
          <w:i/>
          <w:sz w:val="24"/>
        </w:rPr>
        <w:t>force</w:t>
      </w:r>
      <w:r>
        <w:rPr>
          <w:i/>
          <w:spacing w:val="-6"/>
          <w:sz w:val="24"/>
        </w:rPr>
        <w:t> </w:t>
      </w:r>
      <w:r>
        <w:rPr>
          <w:i/>
          <w:sz w:val="24"/>
        </w:rPr>
        <w:t>qui</w:t>
      </w:r>
      <w:r>
        <w:rPr>
          <w:i/>
          <w:spacing w:val="-8"/>
          <w:sz w:val="24"/>
        </w:rPr>
        <w:t> </w:t>
      </w:r>
      <w:r>
        <w:rPr>
          <w:i/>
          <w:sz w:val="24"/>
        </w:rPr>
        <w:t>m’ont</w:t>
      </w:r>
      <w:r>
        <w:rPr>
          <w:i/>
          <w:spacing w:val="-9"/>
          <w:sz w:val="24"/>
        </w:rPr>
        <w:t> </w:t>
      </w:r>
      <w:r>
        <w:rPr>
          <w:i/>
          <w:sz w:val="24"/>
        </w:rPr>
        <w:t>accompagné</w:t>
      </w:r>
      <w:r>
        <w:rPr>
          <w:i/>
          <w:spacing w:val="-6"/>
          <w:sz w:val="24"/>
        </w:rPr>
        <w:t> </w:t>
      </w:r>
      <w:r>
        <w:rPr>
          <w:i/>
          <w:sz w:val="24"/>
        </w:rPr>
        <w:t>tout</w:t>
      </w:r>
      <w:r>
        <w:rPr>
          <w:i/>
          <w:spacing w:val="-3"/>
          <w:sz w:val="24"/>
        </w:rPr>
        <w:t> </w:t>
      </w:r>
      <w:r>
        <w:rPr>
          <w:i/>
          <w:sz w:val="24"/>
        </w:rPr>
        <w:t>au</w:t>
      </w:r>
      <w:r>
        <w:rPr>
          <w:i/>
          <w:spacing w:val="-5"/>
          <w:sz w:val="24"/>
        </w:rPr>
        <w:t> </w:t>
      </w:r>
      <w:r>
        <w:rPr>
          <w:i/>
          <w:sz w:val="24"/>
        </w:rPr>
        <w:t>long</w:t>
      </w:r>
      <w:r>
        <w:rPr>
          <w:i/>
          <w:spacing w:val="-9"/>
          <w:sz w:val="24"/>
        </w:rPr>
        <w:t> </w:t>
      </w:r>
      <w:r>
        <w:rPr>
          <w:i/>
          <w:sz w:val="24"/>
        </w:rPr>
        <w:t>de</w:t>
      </w:r>
      <w:r>
        <w:rPr>
          <w:i/>
          <w:spacing w:val="-5"/>
          <w:sz w:val="24"/>
        </w:rPr>
        <w:t> </w:t>
      </w:r>
      <w:r>
        <w:rPr>
          <w:i/>
          <w:sz w:val="24"/>
        </w:rPr>
        <w:t>ce</w:t>
      </w:r>
      <w:r>
        <w:rPr>
          <w:i/>
          <w:spacing w:val="-6"/>
          <w:sz w:val="24"/>
        </w:rPr>
        <w:t> </w:t>
      </w:r>
      <w:r>
        <w:rPr>
          <w:i/>
          <w:sz w:val="24"/>
        </w:rPr>
        <w:t>parcours.</w:t>
      </w:r>
      <w:r>
        <w:rPr>
          <w:i/>
          <w:spacing w:val="-3"/>
          <w:sz w:val="24"/>
        </w:rPr>
        <w:t> </w:t>
      </w:r>
      <w:r>
        <w:rPr>
          <w:i/>
          <w:sz w:val="24"/>
        </w:rPr>
        <w:t>Sans</w:t>
      </w:r>
      <w:r>
        <w:rPr>
          <w:i/>
          <w:spacing w:val="-6"/>
          <w:sz w:val="24"/>
        </w:rPr>
        <w:t> </w:t>
      </w:r>
      <w:r>
        <w:rPr>
          <w:i/>
          <w:sz w:val="24"/>
        </w:rPr>
        <w:t>Sa</w:t>
      </w:r>
      <w:r>
        <w:rPr>
          <w:i/>
          <w:spacing w:val="-5"/>
          <w:sz w:val="24"/>
        </w:rPr>
        <w:t> </w:t>
      </w:r>
      <w:r>
        <w:rPr>
          <w:i/>
          <w:sz w:val="24"/>
        </w:rPr>
        <w:t>volonté,</w:t>
      </w:r>
      <w:r>
        <w:rPr>
          <w:i/>
          <w:spacing w:val="-7"/>
          <w:sz w:val="24"/>
        </w:rPr>
        <w:t> </w:t>
      </w:r>
      <w:r>
        <w:rPr>
          <w:i/>
          <w:sz w:val="24"/>
        </w:rPr>
        <w:t>rien de tout cela n’aurait été</w:t>
      </w:r>
      <w:r>
        <w:rPr>
          <w:i/>
          <w:spacing w:val="9"/>
          <w:sz w:val="24"/>
        </w:rPr>
        <w:t> </w:t>
      </w:r>
      <w:r>
        <w:rPr>
          <w:i/>
          <w:sz w:val="24"/>
        </w:rPr>
        <w:t>possible.</w:t>
      </w:r>
    </w:p>
    <w:p>
      <w:pPr>
        <w:spacing w:line="259" w:lineRule="auto" w:before="162"/>
        <w:ind w:left="699" w:right="315" w:firstLine="0"/>
        <w:jc w:val="both"/>
        <w:rPr>
          <w:i/>
          <w:sz w:val="24"/>
        </w:rPr>
      </w:pPr>
      <w:r>
        <w:rPr>
          <w:i/>
          <w:sz w:val="24"/>
        </w:rPr>
        <w:t>Je</w:t>
      </w:r>
      <w:r>
        <w:rPr>
          <w:i/>
          <w:spacing w:val="-7"/>
          <w:sz w:val="24"/>
        </w:rPr>
        <w:t> </w:t>
      </w:r>
      <w:r>
        <w:rPr>
          <w:i/>
          <w:sz w:val="24"/>
        </w:rPr>
        <w:t>dédie</w:t>
      </w:r>
      <w:r>
        <w:rPr>
          <w:i/>
          <w:spacing w:val="-5"/>
          <w:sz w:val="24"/>
        </w:rPr>
        <w:t> </w:t>
      </w:r>
      <w:r>
        <w:rPr>
          <w:i/>
          <w:sz w:val="24"/>
        </w:rPr>
        <w:t>ce</w:t>
      </w:r>
      <w:r>
        <w:rPr>
          <w:i/>
          <w:spacing w:val="-10"/>
          <w:sz w:val="24"/>
        </w:rPr>
        <w:t> </w:t>
      </w:r>
      <w:r>
        <w:rPr>
          <w:i/>
          <w:sz w:val="24"/>
        </w:rPr>
        <w:t>travail,</w:t>
      </w:r>
      <w:r>
        <w:rPr>
          <w:i/>
          <w:spacing w:val="-7"/>
          <w:sz w:val="24"/>
        </w:rPr>
        <w:t> </w:t>
      </w:r>
      <w:r>
        <w:rPr>
          <w:i/>
          <w:sz w:val="24"/>
        </w:rPr>
        <w:t>du</w:t>
      </w:r>
      <w:r>
        <w:rPr>
          <w:i/>
          <w:spacing w:val="-10"/>
          <w:sz w:val="24"/>
        </w:rPr>
        <w:t> </w:t>
      </w:r>
      <w:r>
        <w:rPr>
          <w:i/>
          <w:sz w:val="24"/>
        </w:rPr>
        <w:t>plus</w:t>
      </w:r>
      <w:r>
        <w:rPr>
          <w:i/>
          <w:spacing w:val="-7"/>
          <w:sz w:val="24"/>
        </w:rPr>
        <w:t> </w:t>
      </w:r>
      <w:r>
        <w:rPr>
          <w:i/>
          <w:sz w:val="24"/>
        </w:rPr>
        <w:t>profond</w:t>
      </w:r>
      <w:r>
        <w:rPr>
          <w:i/>
          <w:spacing w:val="-10"/>
          <w:sz w:val="24"/>
        </w:rPr>
        <w:t> </w:t>
      </w:r>
      <w:r>
        <w:rPr>
          <w:i/>
          <w:sz w:val="24"/>
        </w:rPr>
        <w:t>de</w:t>
      </w:r>
      <w:r>
        <w:rPr>
          <w:i/>
          <w:spacing w:val="-11"/>
          <w:sz w:val="24"/>
        </w:rPr>
        <w:t> </w:t>
      </w:r>
      <w:r>
        <w:rPr>
          <w:i/>
          <w:sz w:val="24"/>
        </w:rPr>
        <w:t>mon</w:t>
      </w:r>
      <w:r>
        <w:rPr>
          <w:i/>
          <w:spacing w:val="-5"/>
          <w:sz w:val="24"/>
        </w:rPr>
        <w:t> </w:t>
      </w:r>
      <w:r>
        <w:rPr>
          <w:i/>
          <w:sz w:val="24"/>
        </w:rPr>
        <w:t>cœur,</w:t>
      </w:r>
      <w:r>
        <w:rPr>
          <w:i/>
          <w:spacing w:val="-7"/>
          <w:sz w:val="24"/>
        </w:rPr>
        <w:t> </w:t>
      </w:r>
      <w:r>
        <w:rPr>
          <w:i/>
          <w:sz w:val="24"/>
        </w:rPr>
        <w:t>à</w:t>
      </w:r>
      <w:r>
        <w:rPr>
          <w:i/>
          <w:spacing w:val="-10"/>
          <w:sz w:val="24"/>
        </w:rPr>
        <w:t> </w:t>
      </w:r>
      <w:r>
        <w:rPr>
          <w:i/>
          <w:sz w:val="24"/>
        </w:rPr>
        <w:t>toutes</w:t>
      </w:r>
      <w:r>
        <w:rPr>
          <w:i/>
          <w:spacing w:val="-7"/>
          <w:sz w:val="24"/>
        </w:rPr>
        <w:t> </w:t>
      </w:r>
      <w:r>
        <w:rPr>
          <w:i/>
          <w:sz w:val="24"/>
        </w:rPr>
        <w:t>les</w:t>
      </w:r>
      <w:r>
        <w:rPr>
          <w:i/>
          <w:spacing w:val="-12"/>
          <w:sz w:val="24"/>
        </w:rPr>
        <w:t> </w:t>
      </w:r>
      <w:r>
        <w:rPr>
          <w:i/>
          <w:sz w:val="24"/>
        </w:rPr>
        <w:t>personnes</w:t>
      </w:r>
      <w:r>
        <w:rPr>
          <w:i/>
          <w:spacing w:val="-7"/>
          <w:sz w:val="24"/>
        </w:rPr>
        <w:t> </w:t>
      </w:r>
      <w:r>
        <w:rPr>
          <w:i/>
          <w:sz w:val="24"/>
        </w:rPr>
        <w:t>qui</w:t>
      </w:r>
      <w:r>
        <w:rPr>
          <w:i/>
          <w:spacing w:val="-4"/>
          <w:sz w:val="24"/>
        </w:rPr>
        <w:t> </w:t>
      </w:r>
      <w:r>
        <w:rPr>
          <w:i/>
          <w:sz w:val="24"/>
        </w:rPr>
        <w:t>m’ont</w:t>
      </w:r>
      <w:r>
        <w:rPr>
          <w:i/>
          <w:spacing w:val="-9"/>
          <w:sz w:val="24"/>
        </w:rPr>
        <w:t> </w:t>
      </w:r>
      <w:r>
        <w:rPr>
          <w:i/>
          <w:sz w:val="24"/>
        </w:rPr>
        <w:t>soutenu,</w:t>
      </w:r>
      <w:r>
        <w:rPr>
          <w:i/>
          <w:spacing w:val="-8"/>
          <w:sz w:val="24"/>
        </w:rPr>
        <w:t> </w:t>
      </w:r>
      <w:r>
        <w:rPr>
          <w:i/>
          <w:sz w:val="24"/>
        </w:rPr>
        <w:t>inspiré </w:t>
      </w:r>
      <w:r>
        <w:rPr>
          <w:i/>
          <w:sz w:val="24"/>
        </w:rPr>
        <w:t>et</w:t>
      </w:r>
      <w:r>
        <w:rPr>
          <w:i/>
          <w:spacing w:val="1"/>
          <w:sz w:val="24"/>
        </w:rPr>
        <w:t> </w:t>
      </w:r>
      <w:r>
        <w:rPr>
          <w:i/>
          <w:sz w:val="24"/>
        </w:rPr>
        <w:t>encouragé.</w:t>
      </w:r>
    </w:p>
    <w:p>
      <w:pPr>
        <w:spacing w:line="259" w:lineRule="auto" w:before="158"/>
        <w:ind w:left="699" w:right="313" w:firstLine="0"/>
        <w:jc w:val="both"/>
        <w:rPr>
          <w:i/>
          <w:sz w:val="24"/>
        </w:rPr>
      </w:pPr>
      <w:r>
        <w:rPr>
          <w:i/>
          <w:sz w:val="24"/>
        </w:rPr>
        <w:t>À mes parents, mon père et ma mère, pour leur amour infini, leurs sacrifices silencieux, et leur </w:t>
      </w:r>
      <w:r>
        <w:rPr>
          <w:i/>
          <w:sz w:val="24"/>
        </w:rPr>
        <w:t>présence constante à mes côtés. Vous êtes ma fierté et ma plus grande force. Merci pour tout.</w:t>
      </w:r>
    </w:p>
    <w:p>
      <w:pPr>
        <w:spacing w:line="259" w:lineRule="auto" w:before="162"/>
        <w:ind w:left="699" w:right="322" w:firstLine="0"/>
        <w:jc w:val="both"/>
        <w:rPr>
          <w:i/>
          <w:sz w:val="24"/>
        </w:rPr>
      </w:pPr>
      <w:r>
        <w:rPr>
          <w:i/>
          <w:sz w:val="24"/>
        </w:rPr>
        <w:t>À mon frère </w:t>
      </w:r>
      <w:r>
        <w:rPr>
          <w:b/>
          <w:i/>
          <w:sz w:val="24"/>
        </w:rPr>
        <w:t>Nazim, </w:t>
      </w:r>
      <w:r>
        <w:rPr>
          <w:i/>
          <w:sz w:val="24"/>
        </w:rPr>
        <w:t>dont l’aide précieuse dans ce travail a été d’un immense appui. Ta présence </w:t>
      </w:r>
      <w:r>
        <w:rPr>
          <w:i/>
          <w:sz w:val="24"/>
        </w:rPr>
        <w:t>et ton engagement m’ont beaucoup aidé à avancer.</w:t>
      </w:r>
    </w:p>
    <w:p>
      <w:pPr>
        <w:spacing w:line="259" w:lineRule="auto" w:before="159"/>
        <w:ind w:left="699" w:right="309" w:firstLine="0"/>
        <w:jc w:val="both"/>
        <w:rPr>
          <w:i/>
          <w:sz w:val="24"/>
        </w:rPr>
      </w:pPr>
      <w:r>
        <w:rPr>
          <w:i/>
          <w:sz w:val="24"/>
        </w:rPr>
        <w:t>À mes sœurs, </w:t>
      </w:r>
      <w:r>
        <w:rPr>
          <w:b/>
          <w:i/>
          <w:sz w:val="24"/>
        </w:rPr>
        <w:t>Danya </w:t>
      </w:r>
      <w:r>
        <w:rPr>
          <w:i/>
          <w:sz w:val="24"/>
        </w:rPr>
        <w:t>et </w:t>
      </w:r>
      <w:r>
        <w:rPr>
          <w:b/>
          <w:i/>
          <w:sz w:val="24"/>
        </w:rPr>
        <w:t>Loubna</w:t>
      </w:r>
      <w:r>
        <w:rPr>
          <w:i/>
          <w:sz w:val="24"/>
        </w:rPr>
        <w:t>, mes sources de douceur et d’encouragement, merci pour votre </w:t>
      </w:r>
      <w:r>
        <w:rPr>
          <w:i/>
          <w:sz w:val="24"/>
        </w:rPr>
        <w:t>affection sincère et votre soutien constant.</w:t>
      </w:r>
    </w:p>
    <w:p>
      <w:pPr>
        <w:spacing w:line="259" w:lineRule="auto" w:before="157"/>
        <w:ind w:left="699" w:right="307" w:firstLine="0"/>
        <w:jc w:val="both"/>
        <w:rPr>
          <w:i/>
          <w:sz w:val="24"/>
        </w:rPr>
      </w:pPr>
      <w:r>
        <w:rPr>
          <w:i/>
          <w:sz w:val="24"/>
        </w:rPr>
        <w:t>À </w:t>
      </w:r>
      <w:r>
        <w:rPr>
          <w:b/>
          <w:i/>
          <w:sz w:val="24"/>
        </w:rPr>
        <w:t>Fouad </w:t>
      </w:r>
      <w:r>
        <w:rPr>
          <w:i/>
          <w:sz w:val="24"/>
        </w:rPr>
        <w:t>et </w:t>
      </w:r>
      <w:r>
        <w:rPr>
          <w:b/>
          <w:i/>
          <w:sz w:val="24"/>
        </w:rPr>
        <w:t>Sid Ali</w:t>
      </w:r>
      <w:r>
        <w:rPr>
          <w:i/>
          <w:sz w:val="24"/>
        </w:rPr>
        <w:t>, mes camarades de travail et de route, pour leur collaboration sincère, leur </w:t>
      </w:r>
      <w:r>
        <w:rPr>
          <w:i/>
          <w:sz w:val="24"/>
        </w:rPr>
        <w:t>engagement et leur esprit d’équipe. Travailler à vos côtés a été une vraie chance, et je vous remercie pour chaque effort partagé.</w:t>
      </w:r>
    </w:p>
    <w:p>
      <w:pPr>
        <w:spacing w:before="162"/>
        <w:ind w:left="699" w:right="0" w:firstLine="0"/>
        <w:jc w:val="both"/>
        <w:rPr>
          <w:i/>
          <w:sz w:val="24"/>
        </w:rPr>
      </w:pPr>
      <w:r>
        <w:rPr>
          <w:i/>
          <w:sz w:val="24"/>
        </w:rPr>
        <w:t>À mes amies pour leur bienveillance, leur écoute et leur présence tout au long de cette aventure.</w:t>
      </w:r>
    </w:p>
    <w:p>
      <w:pPr>
        <w:spacing w:line="259" w:lineRule="auto" w:before="180"/>
        <w:ind w:left="699" w:right="311" w:firstLine="0"/>
        <w:jc w:val="both"/>
        <w:rPr>
          <w:i/>
          <w:sz w:val="24"/>
        </w:rPr>
      </w:pPr>
      <w:r>
        <w:rPr>
          <w:i/>
          <w:sz w:val="24"/>
        </w:rPr>
        <w:t>Et</w:t>
      </w:r>
      <w:r>
        <w:rPr>
          <w:i/>
          <w:spacing w:val="-6"/>
          <w:sz w:val="24"/>
        </w:rPr>
        <w:t> </w:t>
      </w:r>
      <w:r>
        <w:rPr>
          <w:i/>
          <w:sz w:val="24"/>
        </w:rPr>
        <w:t>une</w:t>
      </w:r>
      <w:r>
        <w:rPr>
          <w:i/>
          <w:spacing w:val="-7"/>
          <w:sz w:val="24"/>
        </w:rPr>
        <w:t> </w:t>
      </w:r>
      <w:r>
        <w:rPr>
          <w:i/>
          <w:sz w:val="24"/>
        </w:rPr>
        <w:t>pensée</w:t>
      </w:r>
      <w:r>
        <w:rPr>
          <w:i/>
          <w:spacing w:val="-7"/>
          <w:sz w:val="24"/>
        </w:rPr>
        <w:t> </w:t>
      </w:r>
      <w:r>
        <w:rPr>
          <w:i/>
          <w:sz w:val="24"/>
        </w:rPr>
        <w:t>toute</w:t>
      </w:r>
      <w:r>
        <w:rPr>
          <w:i/>
          <w:spacing w:val="-7"/>
          <w:sz w:val="24"/>
        </w:rPr>
        <w:t> </w:t>
      </w:r>
      <w:r>
        <w:rPr>
          <w:i/>
          <w:sz w:val="24"/>
        </w:rPr>
        <w:t>particulière</w:t>
      </w:r>
      <w:r>
        <w:rPr>
          <w:i/>
          <w:spacing w:val="-8"/>
          <w:sz w:val="24"/>
        </w:rPr>
        <w:t> </w:t>
      </w:r>
      <w:r>
        <w:rPr>
          <w:i/>
          <w:sz w:val="24"/>
        </w:rPr>
        <w:t>à</w:t>
      </w:r>
      <w:r>
        <w:rPr>
          <w:i/>
          <w:spacing w:val="-8"/>
          <w:sz w:val="24"/>
        </w:rPr>
        <w:t> </w:t>
      </w:r>
      <w:r>
        <w:rPr>
          <w:b/>
          <w:i/>
          <w:sz w:val="24"/>
        </w:rPr>
        <w:t>Anaïs</w:t>
      </w:r>
      <w:r>
        <w:rPr>
          <w:i/>
          <w:sz w:val="24"/>
        </w:rPr>
        <w:t>,</w:t>
      </w:r>
      <w:r>
        <w:rPr>
          <w:i/>
          <w:spacing w:val="-4"/>
          <w:sz w:val="24"/>
        </w:rPr>
        <w:t> </w:t>
      </w:r>
      <w:r>
        <w:rPr>
          <w:i/>
          <w:sz w:val="24"/>
        </w:rPr>
        <w:t>qui,</w:t>
      </w:r>
      <w:r>
        <w:rPr>
          <w:i/>
          <w:spacing w:val="-4"/>
          <w:sz w:val="24"/>
        </w:rPr>
        <w:t> </w:t>
      </w:r>
      <w:r>
        <w:rPr>
          <w:i/>
          <w:sz w:val="24"/>
        </w:rPr>
        <w:t>malgré</w:t>
      </w:r>
      <w:r>
        <w:rPr>
          <w:i/>
          <w:spacing w:val="-8"/>
          <w:sz w:val="24"/>
        </w:rPr>
        <w:t> </w:t>
      </w:r>
      <w:r>
        <w:rPr>
          <w:i/>
          <w:sz w:val="24"/>
        </w:rPr>
        <w:t>la</w:t>
      </w:r>
      <w:r>
        <w:rPr>
          <w:i/>
          <w:spacing w:val="-5"/>
          <w:sz w:val="24"/>
        </w:rPr>
        <w:t> </w:t>
      </w:r>
      <w:r>
        <w:rPr>
          <w:i/>
          <w:sz w:val="24"/>
        </w:rPr>
        <w:t>distance,</w:t>
      </w:r>
      <w:r>
        <w:rPr>
          <w:i/>
          <w:spacing w:val="-4"/>
          <w:sz w:val="24"/>
        </w:rPr>
        <w:t> </w:t>
      </w:r>
      <w:r>
        <w:rPr>
          <w:i/>
          <w:sz w:val="24"/>
        </w:rPr>
        <w:t>m’a</w:t>
      </w:r>
      <w:r>
        <w:rPr>
          <w:i/>
          <w:spacing w:val="-11"/>
          <w:sz w:val="24"/>
        </w:rPr>
        <w:t> </w:t>
      </w:r>
      <w:r>
        <w:rPr>
          <w:i/>
          <w:sz w:val="24"/>
        </w:rPr>
        <w:t>soutenu</w:t>
      </w:r>
      <w:r>
        <w:rPr>
          <w:i/>
          <w:spacing w:val="-6"/>
          <w:sz w:val="24"/>
        </w:rPr>
        <w:t> </w:t>
      </w:r>
      <w:r>
        <w:rPr>
          <w:i/>
          <w:sz w:val="24"/>
        </w:rPr>
        <w:t>avec</w:t>
      </w:r>
      <w:r>
        <w:rPr>
          <w:i/>
          <w:spacing w:val="-8"/>
          <w:sz w:val="24"/>
        </w:rPr>
        <w:t> </w:t>
      </w:r>
      <w:r>
        <w:rPr>
          <w:i/>
          <w:sz w:val="24"/>
        </w:rPr>
        <w:t>une</w:t>
      </w:r>
      <w:r>
        <w:rPr>
          <w:i/>
          <w:spacing w:val="-4"/>
          <w:sz w:val="24"/>
        </w:rPr>
        <w:t> </w:t>
      </w:r>
      <w:r>
        <w:rPr>
          <w:i/>
          <w:sz w:val="24"/>
        </w:rPr>
        <w:t>générosité </w:t>
      </w:r>
      <w:r>
        <w:rPr>
          <w:i/>
          <w:sz w:val="24"/>
        </w:rPr>
        <w:t>de</w:t>
      </w:r>
      <w:r>
        <w:rPr>
          <w:i/>
          <w:spacing w:val="-7"/>
          <w:sz w:val="24"/>
        </w:rPr>
        <w:t> </w:t>
      </w:r>
      <w:r>
        <w:rPr>
          <w:i/>
          <w:sz w:val="24"/>
        </w:rPr>
        <w:t>cœur</w:t>
      </w:r>
      <w:r>
        <w:rPr>
          <w:i/>
          <w:spacing w:val="-7"/>
          <w:sz w:val="24"/>
        </w:rPr>
        <w:t> </w:t>
      </w:r>
      <w:r>
        <w:rPr>
          <w:i/>
          <w:sz w:val="24"/>
        </w:rPr>
        <w:t>inestimable.</w:t>
      </w:r>
      <w:r>
        <w:rPr>
          <w:i/>
          <w:spacing w:val="-3"/>
          <w:sz w:val="24"/>
        </w:rPr>
        <w:t> </w:t>
      </w:r>
      <w:r>
        <w:rPr>
          <w:i/>
          <w:sz w:val="24"/>
        </w:rPr>
        <w:t>Ton</w:t>
      </w:r>
      <w:r>
        <w:rPr>
          <w:i/>
          <w:spacing w:val="-6"/>
          <w:sz w:val="24"/>
        </w:rPr>
        <w:t> </w:t>
      </w:r>
      <w:r>
        <w:rPr>
          <w:i/>
          <w:sz w:val="24"/>
        </w:rPr>
        <w:t>implication,</w:t>
      </w:r>
      <w:r>
        <w:rPr>
          <w:i/>
          <w:spacing w:val="-3"/>
          <w:sz w:val="24"/>
        </w:rPr>
        <w:t> </w:t>
      </w:r>
      <w:r>
        <w:rPr>
          <w:i/>
          <w:sz w:val="24"/>
        </w:rPr>
        <w:t>ta</w:t>
      </w:r>
      <w:r>
        <w:rPr>
          <w:i/>
          <w:spacing w:val="-9"/>
          <w:sz w:val="24"/>
        </w:rPr>
        <w:t> </w:t>
      </w:r>
      <w:r>
        <w:rPr>
          <w:i/>
          <w:sz w:val="24"/>
        </w:rPr>
        <w:t>patience</w:t>
      </w:r>
      <w:r>
        <w:rPr>
          <w:i/>
          <w:spacing w:val="-6"/>
          <w:sz w:val="24"/>
        </w:rPr>
        <w:t> </w:t>
      </w:r>
      <w:r>
        <w:rPr>
          <w:i/>
          <w:spacing w:val="-3"/>
          <w:sz w:val="24"/>
        </w:rPr>
        <w:t>et</w:t>
      </w:r>
      <w:r>
        <w:rPr>
          <w:i/>
          <w:spacing w:val="-5"/>
          <w:sz w:val="24"/>
        </w:rPr>
        <w:t> </w:t>
      </w:r>
      <w:r>
        <w:rPr>
          <w:i/>
          <w:sz w:val="24"/>
        </w:rPr>
        <w:t>ta</w:t>
      </w:r>
      <w:r>
        <w:rPr>
          <w:i/>
          <w:spacing w:val="-4"/>
          <w:sz w:val="24"/>
        </w:rPr>
        <w:t> </w:t>
      </w:r>
      <w:r>
        <w:rPr>
          <w:i/>
          <w:sz w:val="24"/>
        </w:rPr>
        <w:t>présence</w:t>
      </w:r>
      <w:r>
        <w:rPr>
          <w:i/>
          <w:spacing w:val="-6"/>
          <w:sz w:val="24"/>
        </w:rPr>
        <w:t> </w:t>
      </w:r>
      <w:r>
        <w:rPr>
          <w:i/>
          <w:sz w:val="24"/>
        </w:rPr>
        <w:t>à</w:t>
      </w:r>
      <w:r>
        <w:rPr>
          <w:i/>
          <w:spacing w:val="-6"/>
          <w:sz w:val="24"/>
        </w:rPr>
        <w:t> </w:t>
      </w:r>
      <w:r>
        <w:rPr>
          <w:i/>
          <w:sz w:val="24"/>
        </w:rPr>
        <w:t>mes</w:t>
      </w:r>
      <w:r>
        <w:rPr>
          <w:i/>
          <w:spacing w:val="-7"/>
          <w:sz w:val="24"/>
        </w:rPr>
        <w:t> </w:t>
      </w:r>
      <w:r>
        <w:rPr>
          <w:i/>
          <w:sz w:val="24"/>
        </w:rPr>
        <w:t>côtés,</w:t>
      </w:r>
      <w:r>
        <w:rPr>
          <w:i/>
          <w:spacing w:val="-3"/>
          <w:sz w:val="24"/>
        </w:rPr>
        <w:t> </w:t>
      </w:r>
      <w:r>
        <w:rPr>
          <w:i/>
          <w:sz w:val="24"/>
        </w:rPr>
        <w:t>même</w:t>
      </w:r>
      <w:r>
        <w:rPr>
          <w:i/>
          <w:spacing w:val="-7"/>
          <w:sz w:val="24"/>
        </w:rPr>
        <w:t> </w:t>
      </w:r>
      <w:r>
        <w:rPr>
          <w:i/>
          <w:sz w:val="24"/>
        </w:rPr>
        <w:t>de</w:t>
      </w:r>
      <w:r>
        <w:rPr>
          <w:i/>
          <w:spacing w:val="-6"/>
          <w:sz w:val="24"/>
        </w:rPr>
        <w:t> </w:t>
      </w:r>
      <w:r>
        <w:rPr>
          <w:i/>
          <w:sz w:val="24"/>
        </w:rPr>
        <w:t>loin,</w:t>
      </w:r>
      <w:r>
        <w:rPr>
          <w:i/>
          <w:spacing w:val="-7"/>
          <w:sz w:val="24"/>
        </w:rPr>
        <w:t> </w:t>
      </w:r>
      <w:r>
        <w:rPr>
          <w:i/>
          <w:sz w:val="24"/>
        </w:rPr>
        <w:t>ont</w:t>
      </w:r>
      <w:r>
        <w:rPr>
          <w:i/>
          <w:spacing w:val="-4"/>
          <w:sz w:val="24"/>
        </w:rPr>
        <w:t> </w:t>
      </w:r>
      <w:r>
        <w:rPr>
          <w:i/>
          <w:sz w:val="24"/>
        </w:rPr>
        <w:t>été d’une grande importance. Merci du fond du</w:t>
      </w:r>
      <w:r>
        <w:rPr>
          <w:i/>
          <w:spacing w:val="-2"/>
          <w:sz w:val="24"/>
        </w:rPr>
        <w:t> </w:t>
      </w:r>
      <w:r>
        <w:rPr>
          <w:i/>
          <w:sz w:val="24"/>
        </w:rPr>
        <w:t>cœur.</w:t>
      </w:r>
    </w:p>
    <w:p>
      <w:pPr>
        <w:spacing w:line="259" w:lineRule="auto" w:before="163"/>
        <w:ind w:left="699" w:right="306" w:firstLine="0"/>
        <w:jc w:val="both"/>
        <w:rPr>
          <w:i/>
          <w:sz w:val="24"/>
        </w:rPr>
      </w:pPr>
      <w:r>
        <w:rPr>
          <w:i/>
          <w:sz w:val="24"/>
        </w:rPr>
        <w:t>Ce</w:t>
      </w:r>
      <w:r>
        <w:rPr>
          <w:i/>
          <w:spacing w:val="-6"/>
          <w:sz w:val="24"/>
        </w:rPr>
        <w:t> </w:t>
      </w:r>
      <w:r>
        <w:rPr>
          <w:i/>
          <w:sz w:val="24"/>
        </w:rPr>
        <w:t>mémoire</w:t>
      </w:r>
      <w:r>
        <w:rPr>
          <w:i/>
          <w:spacing w:val="-6"/>
          <w:sz w:val="24"/>
        </w:rPr>
        <w:t> </w:t>
      </w:r>
      <w:r>
        <w:rPr>
          <w:i/>
          <w:sz w:val="24"/>
        </w:rPr>
        <w:t>est</w:t>
      </w:r>
      <w:r>
        <w:rPr>
          <w:i/>
          <w:spacing w:val="-3"/>
          <w:sz w:val="24"/>
        </w:rPr>
        <w:t> </w:t>
      </w:r>
      <w:r>
        <w:rPr>
          <w:i/>
          <w:sz w:val="24"/>
        </w:rPr>
        <w:t>le</w:t>
      </w:r>
      <w:r>
        <w:rPr>
          <w:i/>
          <w:spacing w:val="-5"/>
          <w:sz w:val="24"/>
        </w:rPr>
        <w:t> </w:t>
      </w:r>
      <w:r>
        <w:rPr>
          <w:i/>
          <w:sz w:val="24"/>
        </w:rPr>
        <w:t>fruit</w:t>
      </w:r>
      <w:r>
        <w:rPr>
          <w:i/>
          <w:spacing w:val="-3"/>
          <w:sz w:val="24"/>
        </w:rPr>
        <w:t> </w:t>
      </w:r>
      <w:r>
        <w:rPr>
          <w:i/>
          <w:sz w:val="24"/>
        </w:rPr>
        <w:t>d’un</w:t>
      </w:r>
      <w:r>
        <w:rPr>
          <w:i/>
          <w:spacing w:val="-5"/>
          <w:sz w:val="24"/>
        </w:rPr>
        <w:t> </w:t>
      </w:r>
      <w:r>
        <w:rPr>
          <w:i/>
          <w:sz w:val="24"/>
        </w:rPr>
        <w:t>travail,</w:t>
      </w:r>
      <w:r>
        <w:rPr>
          <w:i/>
          <w:spacing w:val="-2"/>
          <w:sz w:val="24"/>
        </w:rPr>
        <w:t> </w:t>
      </w:r>
      <w:r>
        <w:rPr>
          <w:i/>
          <w:sz w:val="24"/>
        </w:rPr>
        <w:t>mais</w:t>
      </w:r>
      <w:r>
        <w:rPr>
          <w:i/>
          <w:spacing w:val="-7"/>
          <w:sz w:val="24"/>
        </w:rPr>
        <w:t> </w:t>
      </w:r>
      <w:r>
        <w:rPr>
          <w:i/>
          <w:sz w:val="24"/>
        </w:rPr>
        <w:t>surtout</w:t>
      </w:r>
      <w:r>
        <w:rPr>
          <w:i/>
          <w:spacing w:val="-4"/>
          <w:sz w:val="24"/>
        </w:rPr>
        <w:t> </w:t>
      </w:r>
      <w:r>
        <w:rPr>
          <w:i/>
          <w:sz w:val="24"/>
        </w:rPr>
        <w:t>d’un</w:t>
      </w:r>
      <w:r>
        <w:rPr>
          <w:i/>
          <w:spacing w:val="-4"/>
          <w:sz w:val="24"/>
        </w:rPr>
        <w:t> </w:t>
      </w:r>
      <w:r>
        <w:rPr>
          <w:i/>
          <w:sz w:val="24"/>
        </w:rPr>
        <w:t>amour</w:t>
      </w:r>
      <w:r>
        <w:rPr>
          <w:i/>
          <w:spacing w:val="-8"/>
          <w:sz w:val="24"/>
        </w:rPr>
        <w:t> </w:t>
      </w:r>
      <w:r>
        <w:rPr>
          <w:i/>
          <w:sz w:val="24"/>
        </w:rPr>
        <w:t>partagé,</w:t>
      </w:r>
      <w:r>
        <w:rPr>
          <w:i/>
          <w:spacing w:val="-2"/>
          <w:sz w:val="24"/>
        </w:rPr>
        <w:t> </w:t>
      </w:r>
      <w:r>
        <w:rPr>
          <w:i/>
          <w:sz w:val="24"/>
        </w:rPr>
        <w:t>d’un</w:t>
      </w:r>
      <w:r>
        <w:rPr>
          <w:i/>
          <w:spacing w:val="-5"/>
          <w:sz w:val="24"/>
        </w:rPr>
        <w:t> </w:t>
      </w:r>
      <w:r>
        <w:rPr>
          <w:i/>
          <w:sz w:val="24"/>
        </w:rPr>
        <w:t>soutien</w:t>
      </w:r>
      <w:r>
        <w:rPr>
          <w:i/>
          <w:spacing w:val="-4"/>
          <w:sz w:val="24"/>
        </w:rPr>
        <w:t> </w:t>
      </w:r>
      <w:r>
        <w:rPr>
          <w:i/>
          <w:sz w:val="24"/>
        </w:rPr>
        <w:t>fidèle</w:t>
      </w:r>
      <w:r>
        <w:rPr>
          <w:i/>
          <w:spacing w:val="-5"/>
          <w:sz w:val="24"/>
        </w:rPr>
        <w:t> </w:t>
      </w:r>
      <w:r>
        <w:rPr>
          <w:i/>
          <w:sz w:val="24"/>
        </w:rPr>
        <w:t>et</w:t>
      </w:r>
      <w:r>
        <w:rPr>
          <w:i/>
          <w:spacing w:val="2"/>
          <w:sz w:val="24"/>
        </w:rPr>
        <w:t> </w:t>
      </w:r>
      <w:r>
        <w:rPr>
          <w:i/>
          <w:sz w:val="24"/>
        </w:rPr>
        <w:t>d’une </w:t>
      </w:r>
      <w:r>
        <w:rPr>
          <w:i/>
          <w:sz w:val="24"/>
        </w:rPr>
        <w:t>force collective. Il vous est</w:t>
      </w:r>
      <w:r>
        <w:rPr>
          <w:i/>
          <w:spacing w:val="3"/>
          <w:sz w:val="24"/>
        </w:rPr>
        <w:t> </w:t>
      </w:r>
      <w:r>
        <w:rPr>
          <w:i/>
          <w:sz w:val="24"/>
        </w:rPr>
        <w:t>dédié.</w:t>
      </w: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spacing w:before="187"/>
        <w:ind w:left="347" w:right="311" w:firstLine="0"/>
        <w:jc w:val="right"/>
        <w:rPr>
          <w:b/>
          <w:i/>
          <w:sz w:val="44"/>
        </w:rPr>
      </w:pPr>
      <w:r>
        <w:rPr>
          <w:b/>
          <w:i/>
          <w:sz w:val="44"/>
        </w:rPr>
        <w:t>SONIA</w:t>
      </w:r>
    </w:p>
    <w:p>
      <w:pPr>
        <w:spacing w:after="0"/>
        <w:jc w:val="right"/>
        <w:rPr>
          <w:sz w:val="44"/>
        </w:rPr>
        <w:sectPr>
          <w:pgSz w:w="12240" w:h="15840"/>
          <w:pgMar w:header="727" w:footer="0" w:top="1080" w:bottom="280" w:left="1000" w:right="820"/>
        </w:sectPr>
      </w:pPr>
    </w:p>
    <w:p>
      <w:pPr>
        <w:pStyle w:val="BodyText"/>
        <w:rPr>
          <w:b/>
          <w:i/>
          <w:sz w:val="20"/>
        </w:rPr>
      </w:pPr>
    </w:p>
    <w:p>
      <w:pPr>
        <w:pStyle w:val="BodyText"/>
        <w:rPr>
          <w:b/>
          <w:i/>
          <w:sz w:val="20"/>
        </w:rPr>
      </w:pPr>
    </w:p>
    <w:p>
      <w:pPr>
        <w:pStyle w:val="BodyText"/>
        <w:rPr>
          <w:b/>
          <w:i/>
          <w:sz w:val="20"/>
        </w:rPr>
      </w:pPr>
    </w:p>
    <w:p>
      <w:pPr>
        <w:spacing w:line="259" w:lineRule="auto" w:before="205"/>
        <w:ind w:left="699" w:right="238" w:firstLine="0"/>
        <w:jc w:val="left"/>
        <w:rPr>
          <w:i/>
          <w:sz w:val="24"/>
        </w:rPr>
      </w:pPr>
      <w:r>
        <w:rPr>
          <w:i/>
          <w:sz w:val="24"/>
        </w:rPr>
        <w:t>Je dédie ce mémoire à mes parents, pour leur amour, leur soutien inconditionnel et leur patience </w:t>
      </w:r>
      <w:r>
        <w:rPr>
          <w:i/>
          <w:sz w:val="24"/>
        </w:rPr>
        <w:t>tout au long de mon parcours.</w:t>
      </w:r>
    </w:p>
    <w:p>
      <w:pPr>
        <w:spacing w:before="158"/>
        <w:ind w:left="699" w:right="0" w:firstLine="0"/>
        <w:jc w:val="left"/>
        <w:rPr>
          <w:i/>
          <w:sz w:val="24"/>
        </w:rPr>
      </w:pPr>
      <w:r>
        <w:rPr>
          <w:i/>
          <w:sz w:val="24"/>
        </w:rPr>
        <w:t>À ma sœur, pour sa présence constante et son encouragement dans les moments difficiles.</w:t>
      </w:r>
    </w:p>
    <w:p>
      <w:pPr>
        <w:spacing w:line="259" w:lineRule="auto" w:before="185"/>
        <w:ind w:left="699" w:right="238" w:firstLine="0"/>
        <w:jc w:val="left"/>
        <w:rPr>
          <w:i/>
          <w:sz w:val="24"/>
        </w:rPr>
      </w:pPr>
      <w:r>
        <w:rPr>
          <w:i/>
          <w:sz w:val="24"/>
        </w:rPr>
        <w:t>À une personne très spéciale </w:t>
      </w:r>
      <w:r>
        <w:rPr>
          <w:b/>
          <w:i/>
          <w:sz w:val="24"/>
        </w:rPr>
        <w:t>ND</w:t>
      </w:r>
      <w:r>
        <w:rPr>
          <w:i/>
          <w:sz w:val="24"/>
        </w:rPr>
        <w:t>, dont la présence, les mots et le soutien m’ont aidé à garder le </w:t>
      </w:r>
      <w:r>
        <w:rPr>
          <w:i/>
          <w:sz w:val="24"/>
        </w:rPr>
        <w:t>cap, même dans les moments les plus compliqués.</w:t>
      </w:r>
    </w:p>
    <w:p>
      <w:pPr>
        <w:spacing w:line="259" w:lineRule="auto" w:before="158"/>
        <w:ind w:left="699" w:right="238" w:firstLine="0"/>
        <w:jc w:val="left"/>
        <w:rPr>
          <w:i/>
          <w:sz w:val="24"/>
        </w:rPr>
      </w:pPr>
      <w:r>
        <w:rPr>
          <w:i/>
          <w:sz w:val="24"/>
        </w:rPr>
        <w:t>À mes amis : </w:t>
      </w:r>
      <w:r>
        <w:rPr>
          <w:b/>
          <w:i/>
          <w:sz w:val="24"/>
        </w:rPr>
        <w:t>Mehdi, hellah, Malek, Samy, outchi, feycal </w:t>
      </w:r>
      <w:r>
        <w:rPr>
          <w:i/>
          <w:sz w:val="24"/>
        </w:rPr>
        <w:t>et </w:t>
      </w:r>
      <w:r>
        <w:rPr>
          <w:b/>
          <w:i/>
          <w:sz w:val="24"/>
        </w:rPr>
        <w:t>Sifou, Lotfi, Mohamed, </w:t>
      </w:r>
      <w:r>
        <w:rPr>
          <w:i/>
          <w:sz w:val="24"/>
        </w:rPr>
        <w:t>véritables </w:t>
      </w:r>
      <w:r>
        <w:rPr>
          <w:i/>
          <w:sz w:val="24"/>
        </w:rPr>
        <w:t>piliers dans ma vie, qui ont partagé avec moi joies et défis.</w:t>
      </w:r>
    </w:p>
    <w:p>
      <w:pPr>
        <w:spacing w:line="264" w:lineRule="auto" w:before="157"/>
        <w:ind w:left="699" w:right="238" w:firstLine="0"/>
        <w:jc w:val="left"/>
        <w:rPr>
          <w:i/>
          <w:sz w:val="24"/>
        </w:rPr>
      </w:pPr>
      <w:r>
        <w:rPr>
          <w:i/>
          <w:sz w:val="24"/>
        </w:rPr>
        <w:t>À mes amis:</w:t>
      </w:r>
      <w:r>
        <w:rPr>
          <w:b/>
          <w:i/>
          <w:sz w:val="24"/>
        </w:rPr>
        <w:t>Charif </w:t>
      </w:r>
      <w:r>
        <w:rPr>
          <w:i/>
          <w:sz w:val="24"/>
        </w:rPr>
        <w:t>et </w:t>
      </w:r>
      <w:r>
        <w:rPr>
          <w:b/>
          <w:i/>
          <w:sz w:val="24"/>
        </w:rPr>
        <w:t>Moncef </w:t>
      </w:r>
      <w:r>
        <w:rPr>
          <w:i/>
          <w:sz w:val="24"/>
        </w:rPr>
        <w:t>qui traversent des épreuves difficiles, je pense à vous et je vous </w:t>
      </w:r>
      <w:r>
        <w:rPr>
          <w:i/>
          <w:sz w:val="24"/>
        </w:rPr>
        <w:t>envoie toute ma force et mon soutien.</w:t>
      </w:r>
    </w:p>
    <w:p>
      <w:pPr>
        <w:spacing w:line="259" w:lineRule="auto" w:before="151"/>
        <w:ind w:left="699" w:right="238" w:firstLine="0"/>
        <w:jc w:val="left"/>
        <w:rPr>
          <w:i/>
          <w:sz w:val="24"/>
        </w:rPr>
      </w:pPr>
      <w:r>
        <w:rPr>
          <w:i/>
          <w:sz w:val="24"/>
        </w:rPr>
        <w:t>À mes binômes </w:t>
      </w:r>
      <w:r>
        <w:rPr>
          <w:b/>
          <w:i/>
          <w:sz w:val="24"/>
        </w:rPr>
        <w:t>Fouad </w:t>
      </w:r>
      <w:r>
        <w:rPr>
          <w:i/>
          <w:sz w:val="24"/>
        </w:rPr>
        <w:t>et </w:t>
      </w:r>
      <w:r>
        <w:rPr>
          <w:b/>
          <w:i/>
          <w:sz w:val="24"/>
        </w:rPr>
        <w:t>Sonia</w:t>
      </w:r>
      <w:r>
        <w:rPr>
          <w:i/>
          <w:sz w:val="24"/>
        </w:rPr>
        <w:t>, pour leur collaboration, leur soutien et leur esprit d’équipe qui </w:t>
      </w:r>
      <w:r>
        <w:rPr>
          <w:i/>
          <w:sz w:val="24"/>
        </w:rPr>
        <w:t>ont rendu ce travail possible.</w:t>
      </w:r>
    </w:p>
    <w:p>
      <w:pPr>
        <w:spacing w:line="400" w:lineRule="auto" w:before="159"/>
        <w:ind w:left="699" w:right="588" w:firstLine="0"/>
        <w:jc w:val="left"/>
        <w:rPr>
          <w:i/>
          <w:sz w:val="24"/>
        </w:rPr>
      </w:pPr>
      <w:r>
        <w:rPr>
          <w:i/>
          <w:sz w:val="24"/>
        </w:rPr>
        <w:t>Enfin, tous mes dédicaces à </w:t>
      </w:r>
      <w:r>
        <w:rPr>
          <w:b/>
          <w:i/>
          <w:sz w:val="24"/>
        </w:rPr>
        <w:t>UB </w:t>
      </w:r>
      <w:r>
        <w:rPr>
          <w:i/>
          <w:sz w:val="24"/>
        </w:rPr>
        <w:t>qui m’a appris la solidarité, la passion et le sens de la famille. </w:t>
      </w:r>
      <w:r>
        <w:rPr>
          <w:i/>
          <w:sz w:val="24"/>
        </w:rPr>
        <w:t>À vous tous, merci d’être à mes côtés, aujourd’hui et toujours.</w:t>
      </w:r>
    </w:p>
    <w:p>
      <w:pPr>
        <w:pStyle w:val="BodyText"/>
        <w:rPr>
          <w:i/>
          <w:sz w:val="26"/>
        </w:rPr>
      </w:pPr>
    </w:p>
    <w:p>
      <w:pPr>
        <w:pStyle w:val="BodyText"/>
        <w:rPr>
          <w:i/>
          <w:sz w:val="26"/>
        </w:rPr>
      </w:pPr>
    </w:p>
    <w:p>
      <w:pPr>
        <w:pStyle w:val="BodyText"/>
        <w:rPr>
          <w:i/>
          <w:sz w:val="26"/>
        </w:rPr>
      </w:pPr>
    </w:p>
    <w:p>
      <w:pPr>
        <w:pStyle w:val="BodyText"/>
        <w:rPr>
          <w:i/>
          <w:sz w:val="26"/>
        </w:rPr>
      </w:pPr>
    </w:p>
    <w:p>
      <w:pPr>
        <w:pStyle w:val="BodyText"/>
        <w:rPr>
          <w:i/>
          <w:sz w:val="26"/>
        </w:rPr>
      </w:pPr>
    </w:p>
    <w:p>
      <w:pPr>
        <w:pStyle w:val="BodyText"/>
        <w:spacing w:before="8"/>
        <w:rPr>
          <w:i/>
          <w:sz w:val="33"/>
        </w:rPr>
      </w:pPr>
    </w:p>
    <w:p>
      <w:pPr>
        <w:spacing w:before="0"/>
        <w:ind w:left="347" w:right="309" w:firstLine="0"/>
        <w:jc w:val="right"/>
        <w:rPr>
          <w:b/>
          <w:i/>
          <w:sz w:val="44"/>
        </w:rPr>
      </w:pPr>
      <w:r>
        <w:rPr>
          <w:b/>
          <w:i/>
          <w:sz w:val="44"/>
        </w:rPr>
        <w:t>Sid Ali</w:t>
      </w:r>
    </w:p>
    <w:p>
      <w:pPr>
        <w:spacing w:after="0"/>
        <w:jc w:val="right"/>
        <w:rPr>
          <w:sz w:val="44"/>
        </w:rPr>
        <w:sectPr>
          <w:headerReference w:type="default" r:id="rId9"/>
          <w:headerReference w:type="even" r:id="rId10"/>
          <w:pgSz w:w="12240" w:h="15840"/>
          <w:pgMar w:header="727" w:footer="0" w:top="1080" w:bottom="280" w:left="1000" w:right="820"/>
        </w:sectPr>
      </w:pPr>
    </w:p>
    <w:p>
      <w:pPr>
        <w:pStyle w:val="BodyText"/>
        <w:rPr>
          <w:b/>
          <w:i/>
          <w:sz w:val="20"/>
        </w:rPr>
      </w:pPr>
    </w:p>
    <w:p>
      <w:pPr>
        <w:pStyle w:val="BodyText"/>
        <w:spacing w:before="2"/>
        <w:rPr>
          <w:b/>
          <w:i/>
          <w:sz w:val="26"/>
        </w:rPr>
      </w:pPr>
    </w:p>
    <w:p>
      <w:pPr>
        <w:spacing w:line="240" w:lineRule="auto" w:before="90"/>
        <w:ind w:left="699" w:right="311" w:firstLine="0"/>
        <w:jc w:val="both"/>
        <w:rPr>
          <w:i/>
          <w:sz w:val="24"/>
        </w:rPr>
      </w:pPr>
      <w:r>
        <w:rPr>
          <w:i/>
          <w:sz w:val="24"/>
        </w:rPr>
        <w:t>Je tiens tout d’abord à exprimer ma profonde gratitude envers Allah, Le Tout-Puissant, Le </w:t>
      </w:r>
      <w:r>
        <w:rPr>
          <w:i/>
          <w:sz w:val="24"/>
        </w:rPr>
        <w:t>Miséricordieux, pour Son aide, Sa guidance, Sa protection et la force qu’Il m’a prodiguées à chaque étape de ce parcours. Sans Sa volonté et Sa bénédiction, rien de tout cela n’aurait pu être accompli.</w:t>
      </w:r>
    </w:p>
    <w:p>
      <w:pPr>
        <w:pStyle w:val="BodyText"/>
        <w:spacing w:before="10"/>
        <w:rPr>
          <w:i/>
          <w:sz w:val="23"/>
        </w:rPr>
      </w:pPr>
    </w:p>
    <w:p>
      <w:pPr>
        <w:spacing w:line="242" w:lineRule="auto" w:before="0"/>
        <w:ind w:left="699" w:right="318" w:firstLine="0"/>
        <w:jc w:val="both"/>
        <w:rPr>
          <w:i/>
          <w:sz w:val="24"/>
        </w:rPr>
      </w:pPr>
      <w:r>
        <w:rPr>
          <w:i/>
          <w:sz w:val="24"/>
        </w:rPr>
        <w:t>Je dédie ce travail à toutes les personnes qui, par leur soutien, leur inspiration et leurs </w:t>
      </w:r>
      <w:r>
        <w:rPr>
          <w:i/>
          <w:sz w:val="24"/>
        </w:rPr>
        <w:t>encouragements, ont contribué de manière significative durant cette période.</w:t>
      </w:r>
    </w:p>
    <w:p>
      <w:pPr>
        <w:pStyle w:val="BodyText"/>
        <w:spacing w:before="9"/>
        <w:rPr>
          <w:i/>
          <w:sz w:val="23"/>
        </w:rPr>
      </w:pPr>
    </w:p>
    <w:p>
      <w:pPr>
        <w:spacing w:line="240" w:lineRule="auto" w:before="0"/>
        <w:ind w:left="699" w:right="309" w:firstLine="0"/>
        <w:jc w:val="both"/>
        <w:rPr>
          <w:i/>
          <w:sz w:val="24"/>
        </w:rPr>
      </w:pPr>
      <w:r>
        <w:rPr>
          <w:i/>
          <w:sz w:val="24"/>
        </w:rPr>
        <w:t>À mes parents, </w:t>
      </w:r>
      <w:r>
        <w:rPr>
          <w:b/>
          <w:i/>
          <w:sz w:val="24"/>
        </w:rPr>
        <w:t>mon père </w:t>
      </w:r>
      <w:r>
        <w:rPr>
          <w:i/>
          <w:sz w:val="24"/>
        </w:rPr>
        <w:t>et </w:t>
      </w:r>
      <w:r>
        <w:rPr>
          <w:b/>
          <w:i/>
          <w:sz w:val="24"/>
        </w:rPr>
        <w:t>ma mère</w:t>
      </w:r>
      <w:r>
        <w:rPr>
          <w:i/>
          <w:sz w:val="24"/>
        </w:rPr>
        <w:t>, je dédie ce travail en reconnaissance de leur amour </w:t>
      </w:r>
      <w:r>
        <w:rPr>
          <w:i/>
          <w:sz w:val="24"/>
        </w:rPr>
        <w:t>inconditionnel, de leurs sacrifices et de leur soutien indéfectible. Vous êtes pour moi une source de fierté et de force constante. Merci infiniment pour tout.</w:t>
      </w:r>
    </w:p>
    <w:p>
      <w:pPr>
        <w:pStyle w:val="BodyText"/>
        <w:rPr>
          <w:i/>
        </w:rPr>
      </w:pPr>
    </w:p>
    <w:p>
      <w:pPr>
        <w:spacing w:line="240" w:lineRule="auto" w:before="0"/>
        <w:ind w:left="699" w:right="313" w:firstLine="0"/>
        <w:jc w:val="both"/>
        <w:rPr>
          <w:i/>
          <w:sz w:val="24"/>
        </w:rPr>
      </w:pPr>
      <w:r>
        <w:rPr>
          <w:i/>
          <w:sz w:val="24"/>
        </w:rPr>
        <w:t>Je tiens également à rendre un hommage émouvant à </w:t>
      </w:r>
      <w:r>
        <w:rPr>
          <w:b/>
          <w:i/>
          <w:spacing w:val="2"/>
          <w:sz w:val="24"/>
        </w:rPr>
        <w:t>ma </w:t>
      </w:r>
      <w:r>
        <w:rPr>
          <w:b/>
          <w:i/>
          <w:sz w:val="24"/>
        </w:rPr>
        <w:t>grand-mère </w:t>
      </w:r>
      <w:r>
        <w:rPr>
          <w:i/>
          <w:sz w:val="24"/>
        </w:rPr>
        <w:t>et à </w:t>
      </w:r>
      <w:r>
        <w:rPr>
          <w:b/>
          <w:i/>
          <w:sz w:val="24"/>
        </w:rPr>
        <w:t>mon grand-père</w:t>
      </w:r>
      <w:r>
        <w:rPr>
          <w:i/>
          <w:sz w:val="24"/>
        </w:rPr>
        <w:t>, </w:t>
      </w:r>
      <w:r>
        <w:rPr>
          <w:i/>
          <w:sz w:val="24"/>
        </w:rPr>
        <w:t>aujourd’hui absents. Leur mémoire et leur amour continuent de m’accompagner, et leur sagesse ainsi que leur bienveillance demeurent une source constante de force et d’inspiration tout au</w:t>
      </w:r>
      <w:r>
        <w:rPr>
          <w:i/>
          <w:spacing w:val="-39"/>
          <w:sz w:val="24"/>
        </w:rPr>
        <w:t> </w:t>
      </w:r>
      <w:r>
        <w:rPr>
          <w:i/>
          <w:sz w:val="24"/>
        </w:rPr>
        <w:t>long de mon parcours. Je vous aime et vous porte à jamais dans mon</w:t>
      </w:r>
      <w:r>
        <w:rPr>
          <w:i/>
          <w:spacing w:val="6"/>
          <w:sz w:val="24"/>
        </w:rPr>
        <w:t> </w:t>
      </w:r>
      <w:r>
        <w:rPr>
          <w:i/>
          <w:sz w:val="24"/>
        </w:rPr>
        <w:t>cœur.</w:t>
      </w:r>
    </w:p>
    <w:p>
      <w:pPr>
        <w:pStyle w:val="BodyText"/>
        <w:spacing w:before="10"/>
        <w:rPr>
          <w:i/>
          <w:sz w:val="23"/>
        </w:rPr>
      </w:pPr>
    </w:p>
    <w:p>
      <w:pPr>
        <w:spacing w:line="242" w:lineRule="auto" w:before="0"/>
        <w:ind w:left="699" w:right="312" w:firstLine="0"/>
        <w:jc w:val="both"/>
        <w:rPr>
          <w:i/>
          <w:sz w:val="24"/>
        </w:rPr>
      </w:pPr>
      <w:r>
        <w:rPr>
          <w:i/>
          <w:sz w:val="24"/>
        </w:rPr>
        <w:t>À</w:t>
      </w:r>
      <w:r>
        <w:rPr>
          <w:i/>
          <w:spacing w:val="-8"/>
          <w:sz w:val="24"/>
        </w:rPr>
        <w:t> </w:t>
      </w:r>
      <w:r>
        <w:rPr>
          <w:i/>
          <w:sz w:val="24"/>
        </w:rPr>
        <w:t>mes</w:t>
      </w:r>
      <w:r>
        <w:rPr>
          <w:i/>
          <w:spacing w:val="-17"/>
          <w:sz w:val="24"/>
        </w:rPr>
        <w:t> </w:t>
      </w:r>
      <w:r>
        <w:rPr>
          <w:i/>
          <w:sz w:val="24"/>
        </w:rPr>
        <w:t>frères,</w:t>
      </w:r>
      <w:r>
        <w:rPr>
          <w:i/>
          <w:spacing w:val="-7"/>
          <w:sz w:val="24"/>
        </w:rPr>
        <w:t> </w:t>
      </w:r>
      <w:r>
        <w:rPr>
          <w:b/>
          <w:i/>
          <w:sz w:val="24"/>
        </w:rPr>
        <w:t>Rayan</w:t>
      </w:r>
      <w:r>
        <w:rPr>
          <w:b/>
          <w:i/>
          <w:spacing w:val="-8"/>
          <w:sz w:val="24"/>
        </w:rPr>
        <w:t> </w:t>
      </w:r>
      <w:r>
        <w:rPr>
          <w:i/>
          <w:sz w:val="24"/>
        </w:rPr>
        <w:t>et</w:t>
      </w:r>
      <w:r>
        <w:rPr>
          <w:i/>
          <w:spacing w:val="-8"/>
          <w:sz w:val="24"/>
        </w:rPr>
        <w:t> </w:t>
      </w:r>
      <w:r>
        <w:rPr>
          <w:b/>
          <w:i/>
          <w:sz w:val="24"/>
        </w:rPr>
        <w:t>Racim</w:t>
      </w:r>
      <w:r>
        <w:rPr>
          <w:i/>
          <w:sz w:val="24"/>
        </w:rPr>
        <w:t>,</w:t>
      </w:r>
      <w:r>
        <w:rPr>
          <w:i/>
          <w:spacing w:val="-12"/>
          <w:sz w:val="24"/>
        </w:rPr>
        <w:t> </w:t>
      </w:r>
      <w:r>
        <w:rPr>
          <w:i/>
          <w:sz w:val="24"/>
        </w:rPr>
        <w:t>qui</w:t>
      </w:r>
      <w:r>
        <w:rPr>
          <w:i/>
          <w:spacing w:val="-14"/>
          <w:sz w:val="24"/>
        </w:rPr>
        <w:t> </w:t>
      </w:r>
      <w:r>
        <w:rPr>
          <w:i/>
          <w:sz w:val="24"/>
        </w:rPr>
        <w:t>m’ont</w:t>
      </w:r>
      <w:r>
        <w:rPr>
          <w:i/>
          <w:spacing w:val="-13"/>
          <w:sz w:val="24"/>
        </w:rPr>
        <w:t> </w:t>
      </w:r>
      <w:r>
        <w:rPr>
          <w:i/>
          <w:sz w:val="24"/>
        </w:rPr>
        <w:t>toujours</w:t>
      </w:r>
      <w:r>
        <w:rPr>
          <w:i/>
          <w:spacing w:val="-12"/>
          <w:sz w:val="24"/>
        </w:rPr>
        <w:t> </w:t>
      </w:r>
      <w:r>
        <w:rPr>
          <w:i/>
          <w:sz w:val="24"/>
        </w:rPr>
        <w:t>offert</w:t>
      </w:r>
      <w:r>
        <w:rPr>
          <w:i/>
          <w:spacing w:val="-9"/>
          <w:sz w:val="24"/>
        </w:rPr>
        <w:t> </w:t>
      </w:r>
      <w:r>
        <w:rPr>
          <w:i/>
          <w:sz w:val="24"/>
        </w:rPr>
        <w:t>leur</w:t>
      </w:r>
      <w:r>
        <w:rPr>
          <w:i/>
          <w:spacing w:val="-11"/>
          <w:sz w:val="24"/>
        </w:rPr>
        <w:t> </w:t>
      </w:r>
      <w:r>
        <w:rPr>
          <w:i/>
          <w:sz w:val="24"/>
        </w:rPr>
        <w:t>soutien</w:t>
      </w:r>
      <w:r>
        <w:rPr>
          <w:i/>
          <w:spacing w:val="-19"/>
          <w:sz w:val="24"/>
        </w:rPr>
        <w:t> </w:t>
      </w:r>
      <w:r>
        <w:rPr>
          <w:i/>
          <w:sz w:val="24"/>
        </w:rPr>
        <w:t>fidèle</w:t>
      </w:r>
      <w:r>
        <w:rPr>
          <w:i/>
          <w:spacing w:val="-11"/>
          <w:sz w:val="24"/>
        </w:rPr>
        <w:t> </w:t>
      </w:r>
      <w:r>
        <w:rPr>
          <w:i/>
          <w:sz w:val="24"/>
        </w:rPr>
        <w:t>et</w:t>
      </w:r>
      <w:r>
        <w:rPr>
          <w:i/>
          <w:spacing w:val="-13"/>
          <w:sz w:val="24"/>
        </w:rPr>
        <w:t> </w:t>
      </w:r>
      <w:r>
        <w:rPr>
          <w:i/>
          <w:sz w:val="24"/>
        </w:rPr>
        <w:t>leur</w:t>
      </w:r>
      <w:r>
        <w:rPr>
          <w:i/>
          <w:spacing w:val="-12"/>
          <w:sz w:val="24"/>
        </w:rPr>
        <w:t> </w:t>
      </w:r>
      <w:r>
        <w:rPr>
          <w:i/>
          <w:sz w:val="24"/>
        </w:rPr>
        <w:t>affection</w:t>
      </w:r>
      <w:r>
        <w:rPr>
          <w:i/>
          <w:spacing w:val="-10"/>
          <w:sz w:val="24"/>
        </w:rPr>
        <w:t> </w:t>
      </w:r>
      <w:r>
        <w:rPr>
          <w:i/>
          <w:sz w:val="24"/>
        </w:rPr>
        <w:t>sincère. </w:t>
      </w:r>
      <w:r>
        <w:rPr>
          <w:i/>
          <w:sz w:val="24"/>
        </w:rPr>
        <w:t>Leur encouragement a été une véritable source de</w:t>
      </w:r>
      <w:r>
        <w:rPr>
          <w:i/>
          <w:spacing w:val="6"/>
          <w:sz w:val="24"/>
        </w:rPr>
        <w:t> </w:t>
      </w:r>
      <w:r>
        <w:rPr>
          <w:i/>
          <w:sz w:val="24"/>
        </w:rPr>
        <w:t>motivation.</w:t>
      </w:r>
    </w:p>
    <w:p>
      <w:pPr>
        <w:pStyle w:val="BodyText"/>
        <w:spacing w:before="8"/>
        <w:rPr>
          <w:i/>
          <w:sz w:val="23"/>
        </w:rPr>
      </w:pPr>
    </w:p>
    <w:p>
      <w:pPr>
        <w:spacing w:line="240" w:lineRule="auto" w:before="0"/>
        <w:ind w:left="699" w:right="308" w:firstLine="0"/>
        <w:jc w:val="both"/>
        <w:rPr>
          <w:i/>
          <w:sz w:val="24"/>
        </w:rPr>
      </w:pPr>
      <w:r>
        <w:rPr>
          <w:i/>
          <w:sz w:val="24"/>
        </w:rPr>
        <w:t>À </w:t>
      </w:r>
      <w:r>
        <w:rPr>
          <w:b/>
          <w:i/>
          <w:sz w:val="24"/>
        </w:rPr>
        <w:t>Sid Ali </w:t>
      </w:r>
      <w:r>
        <w:rPr>
          <w:i/>
          <w:sz w:val="24"/>
        </w:rPr>
        <w:t>et </w:t>
      </w:r>
      <w:r>
        <w:rPr>
          <w:b/>
          <w:i/>
          <w:sz w:val="24"/>
        </w:rPr>
        <w:t>Sonia</w:t>
      </w:r>
      <w:r>
        <w:rPr>
          <w:i/>
          <w:sz w:val="24"/>
        </w:rPr>
        <w:t>, mes frères également et mes camarades de travail et de route, pour leur </w:t>
      </w:r>
      <w:r>
        <w:rPr>
          <w:i/>
          <w:sz w:val="24"/>
        </w:rPr>
        <w:t>collaboration sincère, leur engagement, leur dévouement et leur esprit d’équipe. Ce fut une véritable chance de travailler à vos côtés, et je vous suis reconnaissant pour tous les efforts accomplis ensemble.</w:t>
      </w:r>
    </w:p>
    <w:p>
      <w:pPr>
        <w:pStyle w:val="BodyText"/>
        <w:spacing w:before="10"/>
        <w:rPr>
          <w:i/>
          <w:sz w:val="23"/>
        </w:rPr>
      </w:pPr>
    </w:p>
    <w:p>
      <w:pPr>
        <w:spacing w:line="242" w:lineRule="auto" w:before="0"/>
        <w:ind w:left="699" w:right="309" w:firstLine="0"/>
        <w:jc w:val="both"/>
        <w:rPr>
          <w:i/>
          <w:sz w:val="24"/>
        </w:rPr>
      </w:pPr>
      <w:r>
        <w:rPr>
          <w:i/>
          <w:sz w:val="24"/>
        </w:rPr>
        <w:t>À mes amis, pour leur soutien précieux, leur encouragement et leur accompagnement tout au</w:t>
      </w:r>
      <w:r>
        <w:rPr>
          <w:i/>
          <w:spacing w:val="-43"/>
          <w:sz w:val="24"/>
        </w:rPr>
        <w:t> </w:t>
      </w:r>
      <w:r>
        <w:rPr>
          <w:i/>
          <w:sz w:val="24"/>
        </w:rPr>
        <w:t>long </w:t>
      </w:r>
      <w:r>
        <w:rPr>
          <w:i/>
          <w:sz w:val="24"/>
        </w:rPr>
        <w:t>de cette</w:t>
      </w:r>
      <w:r>
        <w:rPr>
          <w:i/>
          <w:spacing w:val="2"/>
          <w:sz w:val="24"/>
        </w:rPr>
        <w:t> </w:t>
      </w:r>
      <w:r>
        <w:rPr>
          <w:i/>
          <w:sz w:val="24"/>
        </w:rPr>
        <w:t>aventure.</w:t>
      </w:r>
    </w:p>
    <w:p>
      <w:pPr>
        <w:pStyle w:val="BodyText"/>
        <w:spacing w:before="9"/>
        <w:rPr>
          <w:i/>
          <w:sz w:val="23"/>
        </w:rPr>
      </w:pPr>
    </w:p>
    <w:p>
      <w:pPr>
        <w:spacing w:line="240" w:lineRule="auto" w:before="0"/>
        <w:ind w:left="699" w:right="308" w:firstLine="0"/>
        <w:jc w:val="both"/>
        <w:rPr>
          <w:i/>
          <w:sz w:val="24"/>
        </w:rPr>
      </w:pPr>
      <w:r>
        <w:rPr>
          <w:i/>
          <w:sz w:val="24"/>
        </w:rPr>
        <w:t>À </w:t>
      </w:r>
      <w:r>
        <w:rPr>
          <w:b/>
          <w:i/>
          <w:sz w:val="24"/>
        </w:rPr>
        <w:t>Yakoub Fares</w:t>
      </w:r>
      <w:r>
        <w:rPr>
          <w:i/>
          <w:sz w:val="24"/>
        </w:rPr>
        <w:t>, </w:t>
      </w:r>
      <w:r>
        <w:rPr>
          <w:b/>
          <w:i/>
          <w:sz w:val="24"/>
        </w:rPr>
        <w:t>Toufik</w:t>
      </w:r>
      <w:r>
        <w:rPr>
          <w:i/>
          <w:sz w:val="24"/>
        </w:rPr>
        <w:t>, </w:t>
      </w:r>
      <w:r>
        <w:rPr>
          <w:b/>
          <w:i/>
          <w:sz w:val="24"/>
        </w:rPr>
        <w:t>Djaber</w:t>
      </w:r>
      <w:r>
        <w:rPr>
          <w:i/>
          <w:sz w:val="24"/>
        </w:rPr>
        <w:t>, </w:t>
      </w:r>
      <w:r>
        <w:rPr>
          <w:b/>
          <w:i/>
          <w:sz w:val="24"/>
        </w:rPr>
        <w:t>Harouach Oussama</w:t>
      </w:r>
      <w:r>
        <w:rPr>
          <w:i/>
          <w:sz w:val="24"/>
        </w:rPr>
        <w:t>, </w:t>
      </w:r>
      <w:r>
        <w:rPr>
          <w:b/>
          <w:i/>
          <w:sz w:val="24"/>
        </w:rPr>
        <w:t>Chouaib</w:t>
      </w:r>
      <w:r>
        <w:rPr>
          <w:i/>
          <w:sz w:val="24"/>
        </w:rPr>
        <w:t>, </w:t>
      </w:r>
      <w:r>
        <w:rPr>
          <w:b/>
          <w:i/>
          <w:sz w:val="24"/>
        </w:rPr>
        <w:t>Iskander</w:t>
      </w:r>
      <w:r>
        <w:rPr>
          <w:i/>
          <w:sz w:val="24"/>
        </w:rPr>
        <w:t>, </w:t>
      </w:r>
      <w:r>
        <w:rPr>
          <w:b/>
          <w:i/>
          <w:sz w:val="24"/>
        </w:rPr>
        <w:t>Titi Sidahmed</w:t>
      </w:r>
      <w:r>
        <w:rPr>
          <w:i/>
          <w:sz w:val="24"/>
        </w:rPr>
        <w:t>, </w:t>
      </w:r>
      <w:r>
        <w:rPr>
          <w:b/>
          <w:i/>
          <w:sz w:val="24"/>
        </w:rPr>
        <w:t>Oussama</w:t>
      </w:r>
      <w:r>
        <w:rPr>
          <w:i/>
          <w:sz w:val="24"/>
        </w:rPr>
        <w:t>, </w:t>
      </w:r>
      <w:r>
        <w:rPr>
          <w:b/>
          <w:i/>
          <w:sz w:val="24"/>
        </w:rPr>
        <w:t>Badrreddine</w:t>
      </w:r>
      <w:r>
        <w:rPr>
          <w:i/>
          <w:sz w:val="24"/>
        </w:rPr>
        <w:t>, </w:t>
      </w:r>
      <w:r>
        <w:rPr>
          <w:b/>
          <w:i/>
          <w:sz w:val="24"/>
        </w:rPr>
        <w:t>Mehdi</w:t>
      </w:r>
      <w:r>
        <w:rPr>
          <w:i/>
          <w:sz w:val="24"/>
        </w:rPr>
        <w:t>, </w:t>
      </w:r>
      <w:r>
        <w:rPr>
          <w:b/>
          <w:i/>
          <w:sz w:val="24"/>
        </w:rPr>
        <w:t>Mustapha, Mohamed, Nassim, Fouad</w:t>
      </w:r>
      <w:r>
        <w:rPr>
          <w:i/>
          <w:sz w:val="24"/>
        </w:rPr>
        <w:t>, </w:t>
      </w:r>
      <w:r>
        <w:rPr>
          <w:b/>
          <w:i/>
          <w:sz w:val="24"/>
        </w:rPr>
        <w:t>mes chères cousins et </w:t>
      </w:r>
      <w:r>
        <w:rPr>
          <w:b/>
          <w:i/>
          <w:sz w:val="24"/>
        </w:rPr>
        <w:t>cousines </w:t>
      </w:r>
      <w:r>
        <w:rPr>
          <w:i/>
          <w:sz w:val="24"/>
        </w:rPr>
        <w:t>et sans oublier toute ma famille de loin ou de près, pour leur amour, leur soutien et leur </w:t>
      </w:r>
      <w:r>
        <w:rPr>
          <w:i/>
          <w:sz w:val="24"/>
        </w:rPr>
        <w:t>présence fidèle, ainsi que </w:t>
      </w:r>
      <w:r>
        <w:rPr>
          <w:b/>
          <w:i/>
          <w:sz w:val="24"/>
        </w:rPr>
        <w:t>Madame Manghour</w:t>
      </w:r>
      <w:r>
        <w:rPr>
          <w:i/>
          <w:sz w:val="24"/>
        </w:rPr>
        <w:t>, </w:t>
      </w:r>
      <w:r>
        <w:rPr>
          <w:b/>
          <w:i/>
          <w:sz w:val="24"/>
        </w:rPr>
        <w:t>Monsieur Abdi</w:t>
      </w:r>
      <w:r>
        <w:rPr>
          <w:i/>
          <w:sz w:val="24"/>
        </w:rPr>
        <w:t>, </w:t>
      </w:r>
      <w:r>
        <w:rPr>
          <w:b/>
          <w:i/>
          <w:sz w:val="24"/>
        </w:rPr>
        <w:t>Monsieur Sebbar </w:t>
      </w:r>
      <w:r>
        <w:rPr>
          <w:i/>
          <w:sz w:val="24"/>
        </w:rPr>
        <w:t>et </w:t>
      </w:r>
      <w:r>
        <w:rPr>
          <w:b/>
          <w:i/>
          <w:sz w:val="24"/>
        </w:rPr>
        <w:t>Monsieur </w:t>
      </w:r>
      <w:r>
        <w:rPr>
          <w:b/>
          <w:i/>
          <w:sz w:val="24"/>
        </w:rPr>
        <w:t>Goutal </w:t>
      </w:r>
      <w:r>
        <w:rPr>
          <w:i/>
          <w:sz w:val="24"/>
        </w:rPr>
        <w:t>pour leur bienveillance, leur partage de connaissance et leur conseil.</w:t>
      </w:r>
    </w:p>
    <w:p>
      <w:pPr>
        <w:pStyle w:val="BodyText"/>
        <w:spacing w:before="3"/>
        <w:rPr>
          <w:i/>
        </w:rPr>
      </w:pPr>
    </w:p>
    <w:p>
      <w:pPr>
        <w:spacing w:line="237" w:lineRule="auto" w:before="0"/>
        <w:ind w:left="699" w:right="312" w:firstLine="0"/>
        <w:jc w:val="both"/>
        <w:rPr>
          <w:i/>
          <w:sz w:val="24"/>
        </w:rPr>
      </w:pPr>
      <w:r>
        <w:rPr>
          <w:i/>
          <w:sz w:val="24"/>
        </w:rPr>
        <w:t>À une personne très précieuse pour moi, malgré son absence, m’a apporté un soutien précieux et </w:t>
      </w:r>
      <w:r>
        <w:rPr>
          <w:i/>
          <w:sz w:val="24"/>
        </w:rPr>
        <w:t>m’a offert un appui essentiel et une contribution déterminante tout au long de ce parcours.</w:t>
      </w:r>
    </w:p>
    <w:p>
      <w:pPr>
        <w:pStyle w:val="BodyText"/>
        <w:spacing w:before="1"/>
        <w:rPr>
          <w:i/>
        </w:rPr>
      </w:pPr>
    </w:p>
    <w:p>
      <w:pPr>
        <w:spacing w:line="242" w:lineRule="auto" w:before="0"/>
        <w:ind w:left="699" w:right="322" w:firstLine="0"/>
        <w:jc w:val="both"/>
        <w:rPr>
          <w:i/>
          <w:sz w:val="24"/>
        </w:rPr>
      </w:pPr>
      <w:r>
        <w:rPr>
          <w:i/>
          <w:sz w:val="24"/>
        </w:rPr>
        <w:t>Ce mémoire résulte non seulement d’un travail rigoureux, mais aussi d’un engagement sincère, </w:t>
      </w:r>
      <w:r>
        <w:rPr>
          <w:i/>
          <w:sz w:val="24"/>
        </w:rPr>
        <w:t>d’un soutien constant et d’une dynamique collective. Il vous est spécialement dédié.</w:t>
      </w:r>
    </w:p>
    <w:p>
      <w:pPr>
        <w:pStyle w:val="BodyText"/>
        <w:rPr>
          <w:i/>
          <w:sz w:val="26"/>
        </w:rPr>
      </w:pPr>
    </w:p>
    <w:p>
      <w:pPr>
        <w:pStyle w:val="BodyText"/>
        <w:rPr>
          <w:i/>
          <w:sz w:val="26"/>
        </w:rPr>
      </w:pPr>
    </w:p>
    <w:p>
      <w:pPr>
        <w:pStyle w:val="BodyText"/>
        <w:rPr>
          <w:i/>
          <w:sz w:val="26"/>
        </w:rPr>
      </w:pPr>
    </w:p>
    <w:p>
      <w:pPr>
        <w:pStyle w:val="BodyText"/>
        <w:rPr>
          <w:i/>
          <w:sz w:val="26"/>
        </w:rPr>
      </w:pPr>
    </w:p>
    <w:p>
      <w:pPr>
        <w:spacing w:before="187"/>
        <w:ind w:left="347" w:right="311" w:firstLine="0"/>
        <w:jc w:val="right"/>
        <w:rPr>
          <w:b/>
          <w:i/>
          <w:sz w:val="44"/>
        </w:rPr>
      </w:pPr>
      <w:r>
        <w:rPr>
          <w:b/>
          <w:i/>
          <w:sz w:val="44"/>
        </w:rPr>
        <w:t>Fouad</w:t>
      </w:r>
    </w:p>
    <w:p>
      <w:pPr>
        <w:spacing w:after="0"/>
        <w:jc w:val="right"/>
        <w:rPr>
          <w:sz w:val="44"/>
        </w:rPr>
        <w:sectPr>
          <w:pgSz w:w="12240" w:h="15840"/>
          <w:pgMar w:header="727" w:footer="0" w:top="1080" w:bottom="280" w:left="1000" w:right="82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Heading1"/>
        <w:spacing w:before="262"/>
      </w:pPr>
      <w:bookmarkStart w:name="Remerciements" w:id="3"/>
      <w:bookmarkEnd w:id="3"/>
      <w:r>
        <w:rPr>
          <w:b w:val="0"/>
        </w:rPr>
      </w:r>
      <w:bookmarkStart w:name="_bookmark1" w:id="4"/>
      <w:bookmarkEnd w:id="4"/>
      <w:r>
        <w:rPr>
          <w:b w:val="0"/>
        </w:rPr>
      </w:r>
      <w:r>
        <w:rPr/>
        <w:t>Remerciements</w:t>
      </w:r>
    </w:p>
    <w:p>
      <w:pPr>
        <w:pStyle w:val="BodyText"/>
        <w:spacing w:before="2"/>
        <w:rPr>
          <w:b/>
          <w:sz w:val="52"/>
        </w:rPr>
      </w:pPr>
    </w:p>
    <w:p>
      <w:pPr>
        <w:pStyle w:val="BodyText"/>
        <w:spacing w:line="362" w:lineRule="auto"/>
        <w:ind w:left="699" w:right="325" w:firstLine="360"/>
        <w:jc w:val="both"/>
      </w:pPr>
      <w:r>
        <w:rPr/>
        <w:t>Nous remercions d’abord Dieu, notre Créateur, de nous avoir accordé la santé, la force, la volonté et le courage nécessaires à la réussite et à l’accomplissement de ce travail.</w:t>
      </w:r>
    </w:p>
    <w:p>
      <w:pPr>
        <w:pStyle w:val="BodyText"/>
        <w:spacing w:line="362" w:lineRule="auto" w:before="151"/>
        <w:ind w:left="699" w:right="315" w:firstLine="360"/>
        <w:jc w:val="both"/>
      </w:pPr>
      <w:r>
        <w:rPr/>
        <w:t>Nous tenons à exprimer notre profonde gratitude à nos encadrants, Professeure CHADLIA Amel et Professeur DERAHMOUNE Hilal, pour leur accompagnement tout au </w:t>
      </w:r>
      <w:r>
        <w:rPr>
          <w:spacing w:val="-3"/>
        </w:rPr>
        <w:t>long </w:t>
      </w:r>
      <w:r>
        <w:rPr/>
        <w:t>de ce travail. Leur expérience académique, </w:t>
      </w:r>
      <w:r>
        <w:rPr>
          <w:spacing w:val="-3"/>
        </w:rPr>
        <w:t>leur </w:t>
      </w:r>
      <w:r>
        <w:rPr/>
        <w:t>rigueur intellectuelle, ainsi que leurs conseils et critiques constructives ont grandement contribué à l’aboutissement de cette recherche. Nous les</w:t>
      </w:r>
      <w:r>
        <w:rPr>
          <w:spacing w:val="-36"/>
        </w:rPr>
        <w:t> </w:t>
      </w:r>
      <w:r>
        <w:rPr/>
        <w:t>remercions également pour </w:t>
      </w:r>
      <w:r>
        <w:rPr>
          <w:spacing w:val="-5"/>
        </w:rPr>
        <w:t>la </w:t>
      </w:r>
      <w:r>
        <w:rPr/>
        <w:t>qualité de leurs remarques, </w:t>
      </w:r>
      <w:r>
        <w:rPr>
          <w:spacing w:val="-3"/>
        </w:rPr>
        <w:t>leur </w:t>
      </w:r>
      <w:r>
        <w:rPr/>
        <w:t>disponibilité et </w:t>
      </w:r>
      <w:r>
        <w:rPr>
          <w:spacing w:val="-3"/>
        </w:rPr>
        <w:t>leur </w:t>
      </w:r>
      <w:r>
        <w:rPr/>
        <w:t>soutien</w:t>
      </w:r>
      <w:r>
        <w:rPr>
          <w:spacing w:val="29"/>
        </w:rPr>
        <w:t> </w:t>
      </w:r>
      <w:r>
        <w:rPr/>
        <w:t>constant.</w:t>
      </w:r>
    </w:p>
    <w:p>
      <w:pPr>
        <w:pStyle w:val="BodyText"/>
        <w:spacing w:line="362" w:lineRule="auto" w:before="149"/>
        <w:ind w:left="699" w:right="326" w:firstLine="360"/>
        <w:jc w:val="both"/>
      </w:pPr>
      <w:r>
        <w:rPr/>
        <w:t>Nos remerciements s’adressent aussi à Monsieur Azzaz, pour son aide précieuse, sa disponibilité et sa contribution significative à la réussite de ce projet.</w:t>
      </w:r>
    </w:p>
    <w:p>
      <w:pPr>
        <w:pStyle w:val="BodyText"/>
        <w:spacing w:line="362" w:lineRule="auto" w:before="156"/>
        <w:ind w:left="699" w:right="318" w:firstLine="360"/>
        <w:jc w:val="both"/>
      </w:pPr>
      <w:r>
        <w:rPr/>
        <w:t>Nous tenons également à remercier chaleureusement l’ensemble du personnel d’Algérie Poste pour leur accueil chaleureux et leur coopération professionnelle.</w:t>
      </w:r>
    </w:p>
    <w:p>
      <w:pPr>
        <w:pStyle w:val="BodyText"/>
        <w:spacing w:line="362" w:lineRule="auto" w:before="155"/>
        <w:ind w:left="699" w:right="318" w:firstLine="360"/>
        <w:jc w:val="both"/>
      </w:pPr>
      <w:r>
        <w:rPr/>
        <w:t>Nous n’oublions pas d’exprimer toute notre reconnaissance à l’ensemble des professeurs de l’ESGEN, qui ont partagé avec engagement et dévouement leurs savoirs tout au long de notre formation.</w:t>
      </w:r>
    </w:p>
    <w:p>
      <w:pPr>
        <w:pStyle w:val="BodyText"/>
        <w:spacing w:line="362" w:lineRule="auto" w:before="152"/>
        <w:ind w:left="699" w:right="310" w:firstLine="360"/>
        <w:jc w:val="both"/>
      </w:pPr>
      <w:r>
        <w:rPr/>
        <w:t>Nous remercions enfin les membres du jury pour l’honneur qu’ils nous </w:t>
      </w:r>
      <w:r>
        <w:rPr>
          <w:spacing w:val="-3"/>
        </w:rPr>
        <w:t>font </w:t>
      </w:r>
      <w:r>
        <w:rPr/>
        <w:t>en acceptant de juger ce travail, ainsi que toutes </w:t>
      </w:r>
      <w:r>
        <w:rPr>
          <w:spacing w:val="-4"/>
        </w:rPr>
        <w:t>les </w:t>
      </w:r>
      <w:r>
        <w:rPr/>
        <w:t>personnes qui, de près ou de </w:t>
      </w:r>
      <w:r>
        <w:rPr>
          <w:spacing w:val="-3"/>
        </w:rPr>
        <w:t>loin, </w:t>
      </w:r>
      <w:r>
        <w:rPr/>
        <w:t>ont contribué à </w:t>
      </w:r>
      <w:r>
        <w:rPr>
          <w:spacing w:val="-5"/>
        </w:rPr>
        <w:t>la </w:t>
      </w:r>
      <w:r>
        <w:rPr/>
        <w:t>réalisation de ce mémoire.</w:t>
      </w:r>
    </w:p>
    <w:p>
      <w:pPr>
        <w:pStyle w:val="BodyText"/>
        <w:spacing w:line="362" w:lineRule="auto" w:before="152"/>
        <w:ind w:left="699" w:right="322" w:firstLine="360"/>
        <w:jc w:val="both"/>
      </w:pPr>
      <w:r>
        <w:rPr/>
        <w:t>Nous remercions chaleureusement Monsieur ATTAR NOUREDDINE, pour son soutien, sa vision et ses conseils précieux, qui ont grandement contribué à la réussite de notre travail.</w:t>
      </w:r>
    </w:p>
    <w:p>
      <w:pPr>
        <w:spacing w:after="0" w:line="362" w:lineRule="auto"/>
        <w:jc w:val="both"/>
        <w:sectPr>
          <w:headerReference w:type="default" r:id="rId11"/>
          <w:headerReference w:type="even" r:id="rId12"/>
          <w:pgSz w:w="12240" w:h="15840"/>
          <w:pgMar w:header="727" w:footer="0" w:top="1080" w:bottom="280" w:left="1000" w:right="820"/>
        </w:sectPr>
      </w:pPr>
    </w:p>
    <w:p>
      <w:pPr>
        <w:pStyle w:val="BodyText"/>
        <w:rPr>
          <w:sz w:val="20"/>
        </w:rPr>
      </w:pPr>
    </w:p>
    <w:p>
      <w:pPr>
        <w:pStyle w:val="Heading1"/>
        <w:spacing w:before="212"/>
        <w:ind w:left="558"/>
      </w:pPr>
      <w:bookmarkStart w:name="Liste des figures" w:id="5"/>
      <w:bookmarkEnd w:id="5"/>
      <w:r>
        <w:rPr>
          <w:b w:val="0"/>
        </w:rPr>
      </w:r>
      <w:bookmarkStart w:name="_bookmark2" w:id="6"/>
      <w:bookmarkEnd w:id="6"/>
      <w:r>
        <w:rPr>
          <w:b w:val="0"/>
        </w:rPr>
      </w:r>
      <w:r>
        <w:rPr/>
        <w:t>Liste des figures</w:t>
      </w:r>
    </w:p>
    <w:p>
      <w:pPr>
        <w:tabs>
          <w:tab w:pos="10096" w:val="right" w:leader="dot"/>
        </w:tabs>
        <w:spacing w:before="39"/>
        <w:ind w:left="699" w:right="0" w:firstLine="0"/>
        <w:jc w:val="left"/>
        <w:rPr>
          <w:rFonts w:ascii="Calibri" w:hAnsi="Calibri"/>
          <w:b/>
          <w:sz w:val="20"/>
        </w:rPr>
      </w:pPr>
      <w:hyperlink w:history="true" w:anchor="_bookmark13">
        <w:r>
          <w:rPr>
            <w:b/>
            <w:sz w:val="20"/>
          </w:rPr>
          <w:t>Figure 1: Organigramme</w:t>
        </w:r>
        <w:r>
          <w:rPr>
            <w:b/>
            <w:spacing w:val="4"/>
            <w:sz w:val="20"/>
          </w:rPr>
          <w:t> </w:t>
        </w:r>
        <w:r>
          <w:rPr>
            <w:b/>
            <w:sz w:val="20"/>
          </w:rPr>
          <w:t>d’Algérie</w:t>
        </w:r>
        <w:r>
          <w:rPr>
            <w:b/>
            <w:spacing w:val="-1"/>
            <w:sz w:val="20"/>
          </w:rPr>
          <w:t> </w:t>
        </w:r>
        <w:r>
          <w:rPr>
            <w:b/>
            <w:sz w:val="20"/>
          </w:rPr>
          <w:t>poste</w:t>
          <w:tab/>
        </w:r>
        <w:r>
          <w:rPr>
            <w:rFonts w:ascii="Calibri" w:hAnsi="Calibri"/>
            <w:b/>
            <w:sz w:val="20"/>
          </w:rPr>
          <w:t>28</w:t>
        </w:r>
      </w:hyperlink>
    </w:p>
    <w:p>
      <w:pPr>
        <w:tabs>
          <w:tab w:pos="10096" w:val="right" w:leader="dot"/>
        </w:tabs>
        <w:spacing w:before="20"/>
        <w:ind w:left="699" w:right="0" w:firstLine="0"/>
        <w:jc w:val="left"/>
        <w:rPr>
          <w:rFonts w:ascii="Calibri" w:hAnsi="Calibri"/>
          <w:b/>
          <w:sz w:val="20"/>
        </w:rPr>
      </w:pPr>
      <w:hyperlink w:history="true" w:anchor="_bookmark16">
        <w:r>
          <w:rPr>
            <w:b/>
            <w:sz w:val="20"/>
          </w:rPr>
          <w:t>Figure 2 :</w:t>
        </w:r>
        <w:r>
          <w:rPr>
            <w:b/>
            <w:spacing w:val="5"/>
            <w:sz w:val="20"/>
          </w:rPr>
          <w:t> </w:t>
        </w:r>
        <w:r>
          <w:rPr>
            <w:b/>
            <w:sz w:val="20"/>
          </w:rPr>
          <w:t>Première</w:t>
        </w:r>
        <w:r>
          <w:rPr>
            <w:b/>
            <w:spacing w:val="4"/>
            <w:sz w:val="20"/>
          </w:rPr>
          <w:t> </w:t>
        </w:r>
        <w:r>
          <w:rPr>
            <w:b/>
            <w:sz w:val="20"/>
          </w:rPr>
          <w:t>page</w:t>
          <w:tab/>
        </w:r>
        <w:r>
          <w:rPr>
            <w:rFonts w:ascii="Calibri" w:hAnsi="Calibri"/>
            <w:b/>
            <w:sz w:val="20"/>
          </w:rPr>
          <w:t>40</w:t>
        </w:r>
      </w:hyperlink>
    </w:p>
    <w:p>
      <w:pPr>
        <w:tabs>
          <w:tab w:pos="10096" w:val="right" w:leader="dot"/>
        </w:tabs>
        <w:spacing w:before="15"/>
        <w:ind w:left="699" w:right="0" w:firstLine="0"/>
        <w:jc w:val="left"/>
        <w:rPr>
          <w:rFonts w:ascii="Calibri"/>
          <w:b/>
          <w:sz w:val="20"/>
        </w:rPr>
      </w:pPr>
      <w:hyperlink w:history="true" w:anchor="_bookmark18">
        <w:r>
          <w:rPr>
            <w:b/>
            <w:sz w:val="20"/>
          </w:rPr>
          <w:t>Figure 3</w:t>
        </w:r>
        <w:r>
          <w:rPr>
            <w:b/>
            <w:spacing w:val="5"/>
            <w:sz w:val="20"/>
          </w:rPr>
          <w:t> </w:t>
        </w:r>
        <w:r>
          <w:rPr>
            <w:b/>
            <w:sz w:val="20"/>
          </w:rPr>
          <w:t>:</w:t>
        </w:r>
        <w:r>
          <w:rPr>
            <w:b/>
            <w:spacing w:val="-3"/>
            <w:sz w:val="20"/>
          </w:rPr>
          <w:t> </w:t>
        </w:r>
        <w:r>
          <w:rPr>
            <w:b/>
            <w:sz w:val="20"/>
          </w:rPr>
          <w:t>Sexe</w:t>
          <w:tab/>
        </w:r>
        <w:r>
          <w:rPr>
            <w:rFonts w:ascii="Calibri"/>
            <w:b/>
            <w:sz w:val="20"/>
          </w:rPr>
          <w:t>43</w:t>
        </w:r>
      </w:hyperlink>
    </w:p>
    <w:p>
      <w:pPr>
        <w:tabs>
          <w:tab w:pos="10096" w:val="right" w:leader="dot"/>
        </w:tabs>
        <w:spacing w:before="20"/>
        <w:ind w:left="699" w:right="0" w:firstLine="0"/>
        <w:jc w:val="left"/>
        <w:rPr>
          <w:rFonts w:ascii="Calibri"/>
          <w:b/>
          <w:sz w:val="20"/>
        </w:rPr>
      </w:pPr>
      <w:hyperlink w:history="true" w:anchor="_bookmark19">
        <w:r>
          <w:rPr>
            <w:b/>
            <w:sz w:val="20"/>
          </w:rPr>
          <w:t>Figure</w:t>
        </w:r>
        <w:r>
          <w:rPr>
            <w:b/>
            <w:spacing w:val="4"/>
            <w:sz w:val="20"/>
          </w:rPr>
          <w:t> </w:t>
        </w:r>
        <w:r>
          <w:rPr>
            <w:b/>
            <w:sz w:val="20"/>
          </w:rPr>
          <w:t>4:</w:t>
        </w:r>
        <w:r>
          <w:rPr>
            <w:b/>
            <w:spacing w:val="-2"/>
            <w:sz w:val="20"/>
          </w:rPr>
          <w:t> </w:t>
        </w:r>
        <w:r>
          <w:rPr>
            <w:b/>
            <w:spacing w:val="-3"/>
            <w:sz w:val="20"/>
          </w:rPr>
          <w:t>Age</w:t>
          <w:tab/>
        </w:r>
        <w:r>
          <w:rPr>
            <w:rFonts w:ascii="Calibri"/>
            <w:b/>
            <w:sz w:val="20"/>
          </w:rPr>
          <w:t>43</w:t>
        </w:r>
      </w:hyperlink>
    </w:p>
    <w:p>
      <w:pPr>
        <w:tabs>
          <w:tab w:pos="10096" w:val="right" w:leader="dot"/>
        </w:tabs>
        <w:spacing w:before="20"/>
        <w:ind w:left="699" w:right="0" w:firstLine="0"/>
        <w:jc w:val="left"/>
        <w:rPr>
          <w:rFonts w:ascii="Calibri"/>
          <w:b/>
          <w:sz w:val="20"/>
        </w:rPr>
      </w:pPr>
      <w:hyperlink w:history="true" w:anchor="_bookmark21">
        <w:r>
          <w:rPr>
            <w:b/>
            <w:sz w:val="20"/>
          </w:rPr>
          <w:t>Figure 5 : Situation</w:t>
        </w:r>
        <w:r>
          <w:rPr>
            <w:b/>
            <w:spacing w:val="1"/>
            <w:sz w:val="20"/>
          </w:rPr>
          <w:t> </w:t>
        </w:r>
        <w:r>
          <w:rPr>
            <w:b/>
            <w:sz w:val="20"/>
          </w:rPr>
          <w:t>Professionnelle</w:t>
          <w:tab/>
        </w:r>
        <w:r>
          <w:rPr>
            <w:rFonts w:ascii="Calibri"/>
            <w:b/>
            <w:sz w:val="20"/>
          </w:rPr>
          <w:t>44</w:t>
        </w:r>
      </w:hyperlink>
    </w:p>
    <w:p>
      <w:pPr>
        <w:tabs>
          <w:tab w:pos="10096" w:val="right" w:leader="dot"/>
        </w:tabs>
        <w:spacing w:before="20"/>
        <w:ind w:left="699" w:right="0" w:firstLine="0"/>
        <w:jc w:val="left"/>
        <w:rPr>
          <w:rFonts w:ascii="Calibri"/>
          <w:b/>
          <w:sz w:val="20"/>
        </w:rPr>
      </w:pPr>
      <w:hyperlink w:history="true" w:anchor="_bookmark23">
        <w:r>
          <w:rPr>
            <w:b/>
            <w:sz w:val="20"/>
          </w:rPr>
          <w:t>Figure 6 :</w:t>
        </w:r>
        <w:r>
          <w:rPr>
            <w:b/>
            <w:spacing w:val="4"/>
            <w:sz w:val="20"/>
          </w:rPr>
          <w:t> </w:t>
        </w:r>
        <w:r>
          <w:rPr>
            <w:b/>
            <w:sz w:val="20"/>
          </w:rPr>
          <w:t>Revenu</w:t>
        </w:r>
        <w:r>
          <w:rPr>
            <w:b/>
            <w:spacing w:val="-4"/>
            <w:sz w:val="20"/>
          </w:rPr>
          <w:t> </w:t>
        </w:r>
        <w:r>
          <w:rPr>
            <w:b/>
            <w:sz w:val="20"/>
          </w:rPr>
          <w:t>mensuel</w:t>
          <w:tab/>
        </w:r>
        <w:r>
          <w:rPr>
            <w:rFonts w:ascii="Calibri"/>
            <w:b/>
            <w:sz w:val="20"/>
          </w:rPr>
          <w:t>44</w:t>
        </w:r>
      </w:hyperlink>
    </w:p>
    <w:p>
      <w:pPr>
        <w:tabs>
          <w:tab w:pos="10096" w:val="right" w:leader="dot"/>
        </w:tabs>
        <w:spacing w:before="20"/>
        <w:ind w:left="699" w:right="0" w:firstLine="0"/>
        <w:jc w:val="left"/>
        <w:rPr>
          <w:rFonts w:ascii="Calibri" w:hAnsi="Calibri"/>
          <w:b/>
          <w:sz w:val="20"/>
        </w:rPr>
      </w:pPr>
      <w:hyperlink w:history="true" w:anchor="_bookmark25">
        <w:r>
          <w:rPr>
            <w:b/>
            <w:sz w:val="20"/>
          </w:rPr>
          <w:t>Figure 7:Fréquence d’utilisation</w:t>
        </w:r>
        <w:r>
          <w:rPr>
            <w:b/>
            <w:spacing w:val="3"/>
            <w:sz w:val="20"/>
          </w:rPr>
          <w:t> </w:t>
        </w:r>
        <w:r>
          <w:rPr>
            <w:b/>
            <w:sz w:val="20"/>
          </w:rPr>
          <w:t>de</w:t>
        </w:r>
        <w:r>
          <w:rPr>
            <w:b/>
            <w:spacing w:val="-1"/>
            <w:sz w:val="20"/>
          </w:rPr>
          <w:t> </w:t>
        </w:r>
        <w:r>
          <w:rPr>
            <w:b/>
            <w:sz w:val="20"/>
          </w:rPr>
          <w:t>BaridiMob</w:t>
          <w:tab/>
        </w:r>
        <w:r>
          <w:rPr>
            <w:rFonts w:ascii="Calibri" w:hAnsi="Calibri"/>
            <w:b/>
            <w:sz w:val="20"/>
          </w:rPr>
          <w:t>45</w:t>
        </w:r>
      </w:hyperlink>
    </w:p>
    <w:p>
      <w:pPr>
        <w:tabs>
          <w:tab w:pos="10096" w:val="right" w:leader="dot"/>
        </w:tabs>
        <w:spacing w:before="20"/>
        <w:ind w:left="699" w:right="0" w:firstLine="0"/>
        <w:jc w:val="left"/>
        <w:rPr>
          <w:rFonts w:ascii="Calibri" w:hAnsi="Calibri"/>
          <w:b/>
          <w:sz w:val="20"/>
        </w:rPr>
      </w:pPr>
      <w:hyperlink w:history="true" w:anchor="_bookmark27">
        <w:r>
          <w:rPr>
            <w:b/>
            <w:sz w:val="20"/>
          </w:rPr>
          <w:t>Figure 8  : Fréquence</w:t>
        </w:r>
        <w:r>
          <w:rPr>
            <w:b/>
            <w:spacing w:val="1"/>
            <w:sz w:val="20"/>
          </w:rPr>
          <w:t> </w:t>
        </w:r>
        <w:r>
          <w:rPr>
            <w:b/>
            <w:sz w:val="20"/>
          </w:rPr>
          <w:t>d’utilisation</w:t>
        </w:r>
        <w:r>
          <w:rPr>
            <w:b/>
            <w:spacing w:val="-1"/>
            <w:sz w:val="20"/>
          </w:rPr>
          <w:t> </w:t>
        </w:r>
        <w:r>
          <w:rPr>
            <w:b/>
            <w:sz w:val="20"/>
          </w:rPr>
          <w:t>BaridiMob</w:t>
          <w:tab/>
        </w:r>
        <w:r>
          <w:rPr>
            <w:rFonts w:ascii="Calibri" w:hAnsi="Calibri"/>
            <w:b/>
            <w:sz w:val="20"/>
          </w:rPr>
          <w:t>45</w:t>
        </w:r>
      </w:hyperlink>
    </w:p>
    <w:p>
      <w:pPr>
        <w:tabs>
          <w:tab w:pos="10096" w:val="right" w:leader="dot"/>
        </w:tabs>
        <w:spacing w:before="20"/>
        <w:ind w:left="699" w:right="0" w:firstLine="0"/>
        <w:jc w:val="left"/>
        <w:rPr>
          <w:rFonts w:ascii="Calibri" w:hAnsi="Calibri"/>
          <w:b/>
          <w:sz w:val="20"/>
        </w:rPr>
      </w:pPr>
      <w:hyperlink w:history="true" w:anchor="_bookmark30">
        <w:r>
          <w:rPr>
            <w:b/>
            <w:sz w:val="20"/>
          </w:rPr>
          <w:t>Figure 9 : </w:t>
        </w:r>
        <w:r>
          <w:rPr>
            <w:b/>
            <w:spacing w:val="-3"/>
            <w:sz w:val="20"/>
          </w:rPr>
          <w:t>Raisons </w:t>
        </w:r>
        <w:r>
          <w:rPr>
            <w:b/>
            <w:sz w:val="20"/>
          </w:rPr>
          <w:t>d’utilisation</w:t>
        </w:r>
        <w:r>
          <w:rPr>
            <w:b/>
            <w:spacing w:val="4"/>
            <w:sz w:val="20"/>
          </w:rPr>
          <w:t> </w:t>
        </w:r>
        <w:r>
          <w:rPr>
            <w:b/>
            <w:sz w:val="20"/>
          </w:rPr>
          <w:t>de</w:t>
        </w:r>
        <w:r>
          <w:rPr>
            <w:b/>
            <w:spacing w:val="-1"/>
            <w:sz w:val="20"/>
          </w:rPr>
          <w:t> </w:t>
        </w:r>
        <w:r>
          <w:rPr>
            <w:b/>
            <w:sz w:val="20"/>
          </w:rPr>
          <w:t>BaridiMob</w:t>
          <w:tab/>
        </w:r>
        <w:r>
          <w:rPr>
            <w:rFonts w:ascii="Calibri" w:hAnsi="Calibri"/>
            <w:b/>
            <w:sz w:val="20"/>
          </w:rPr>
          <w:t>46</w:t>
        </w:r>
      </w:hyperlink>
    </w:p>
    <w:p>
      <w:pPr>
        <w:tabs>
          <w:tab w:pos="10096" w:val="right" w:leader="dot"/>
        </w:tabs>
        <w:spacing w:before="20"/>
        <w:ind w:left="699" w:right="0" w:firstLine="0"/>
        <w:jc w:val="left"/>
        <w:rPr>
          <w:rFonts w:ascii="Calibri" w:hAnsi="Calibri"/>
          <w:b/>
          <w:sz w:val="20"/>
        </w:rPr>
      </w:pPr>
      <w:hyperlink w:history="true" w:anchor="_bookmark32">
        <w:r>
          <w:rPr>
            <w:b/>
            <w:sz w:val="20"/>
          </w:rPr>
          <w:t>Figure 11 : Fréquence d’évaluation de l’expérience</w:t>
        </w:r>
        <w:r>
          <w:rPr>
            <w:b/>
            <w:spacing w:val="13"/>
            <w:sz w:val="20"/>
          </w:rPr>
          <w:t> </w:t>
        </w:r>
        <w:r>
          <w:rPr>
            <w:b/>
            <w:sz w:val="20"/>
          </w:rPr>
          <w:t>des</w:t>
        </w:r>
        <w:r>
          <w:rPr>
            <w:b/>
            <w:spacing w:val="-5"/>
            <w:sz w:val="20"/>
          </w:rPr>
          <w:t> </w:t>
        </w:r>
        <w:r>
          <w:rPr>
            <w:b/>
            <w:sz w:val="20"/>
          </w:rPr>
          <w:t>utilisateurs</w:t>
          <w:tab/>
        </w:r>
        <w:r>
          <w:rPr>
            <w:rFonts w:ascii="Calibri" w:hAnsi="Calibri"/>
            <w:b/>
            <w:sz w:val="20"/>
          </w:rPr>
          <w:t>46</w:t>
        </w:r>
      </w:hyperlink>
    </w:p>
    <w:p>
      <w:pPr>
        <w:tabs>
          <w:tab w:pos="10096" w:val="right" w:leader="dot"/>
        </w:tabs>
        <w:spacing w:before="20"/>
        <w:ind w:left="699" w:right="0" w:firstLine="0"/>
        <w:jc w:val="left"/>
        <w:rPr>
          <w:rFonts w:ascii="Calibri" w:hAnsi="Calibri"/>
          <w:b/>
          <w:sz w:val="20"/>
        </w:rPr>
      </w:pPr>
      <w:hyperlink w:history="true" w:anchor="_bookmark34">
        <w:r>
          <w:rPr>
            <w:b/>
            <w:sz w:val="20"/>
          </w:rPr>
          <w:t>Figure 12: Fréquence d’évaluation de</w:t>
        </w:r>
        <w:r>
          <w:rPr>
            <w:b/>
            <w:spacing w:val="-2"/>
            <w:sz w:val="20"/>
          </w:rPr>
          <w:t> </w:t>
        </w:r>
        <w:r>
          <w:rPr>
            <w:b/>
            <w:sz w:val="20"/>
          </w:rPr>
          <w:t>la</w:t>
        </w:r>
        <w:r>
          <w:rPr>
            <w:b/>
            <w:spacing w:val="1"/>
            <w:sz w:val="20"/>
          </w:rPr>
          <w:t> </w:t>
        </w:r>
        <w:r>
          <w:rPr>
            <w:b/>
            <w:sz w:val="20"/>
          </w:rPr>
          <w:t>sécurité</w:t>
          <w:tab/>
        </w:r>
        <w:r>
          <w:rPr>
            <w:rFonts w:ascii="Calibri" w:hAnsi="Calibri"/>
            <w:b/>
            <w:sz w:val="20"/>
          </w:rPr>
          <w:t>47</w:t>
        </w:r>
      </w:hyperlink>
    </w:p>
    <w:p>
      <w:pPr>
        <w:tabs>
          <w:tab w:pos="10096" w:val="right" w:leader="dot"/>
        </w:tabs>
        <w:spacing w:before="15"/>
        <w:ind w:left="699" w:right="0" w:firstLine="0"/>
        <w:jc w:val="left"/>
        <w:rPr>
          <w:rFonts w:ascii="Calibri" w:hAnsi="Calibri"/>
          <w:b/>
          <w:sz w:val="20"/>
        </w:rPr>
      </w:pPr>
      <w:hyperlink w:history="true" w:anchor="_bookmark37">
        <w:r>
          <w:rPr>
            <w:b/>
            <w:sz w:val="20"/>
          </w:rPr>
          <w:t>Figure 13: Fréquence des atteintes à la sécurité</w:t>
        </w:r>
        <w:r>
          <w:rPr>
            <w:b/>
            <w:spacing w:val="-11"/>
            <w:sz w:val="20"/>
          </w:rPr>
          <w:t> </w:t>
        </w:r>
        <w:r>
          <w:rPr>
            <w:b/>
            <w:spacing w:val="-3"/>
            <w:sz w:val="20"/>
          </w:rPr>
          <w:t>sur</w:t>
        </w:r>
        <w:r>
          <w:rPr>
            <w:b/>
            <w:spacing w:val="-1"/>
            <w:sz w:val="20"/>
          </w:rPr>
          <w:t> </w:t>
        </w:r>
        <w:r>
          <w:rPr>
            <w:b/>
            <w:sz w:val="20"/>
          </w:rPr>
          <w:t>BaridiMob</w:t>
          <w:tab/>
        </w:r>
        <w:r>
          <w:rPr>
            <w:rFonts w:ascii="Calibri" w:hAnsi="Calibri"/>
            <w:b/>
            <w:sz w:val="20"/>
          </w:rPr>
          <w:t>48</w:t>
        </w:r>
      </w:hyperlink>
    </w:p>
    <w:p>
      <w:pPr>
        <w:tabs>
          <w:tab w:pos="10096" w:val="right" w:leader="dot"/>
        </w:tabs>
        <w:spacing w:before="20"/>
        <w:ind w:left="699" w:right="0" w:firstLine="0"/>
        <w:jc w:val="left"/>
        <w:rPr>
          <w:rFonts w:ascii="Calibri" w:hAnsi="Calibri"/>
          <w:b/>
          <w:sz w:val="20"/>
        </w:rPr>
      </w:pPr>
      <w:hyperlink w:history="true" w:anchor="_bookmark38">
        <w:r>
          <w:rPr>
            <w:b/>
            <w:sz w:val="20"/>
          </w:rPr>
          <w:t>Figure 13 : Catégories de problèmes</w:t>
        </w:r>
        <w:r>
          <w:rPr>
            <w:b/>
            <w:spacing w:val="-6"/>
            <w:sz w:val="20"/>
          </w:rPr>
          <w:t> </w:t>
        </w:r>
        <w:r>
          <w:rPr>
            <w:b/>
            <w:sz w:val="20"/>
          </w:rPr>
          <w:t>rencontrés</w:t>
          <w:tab/>
        </w:r>
        <w:r>
          <w:rPr>
            <w:rFonts w:ascii="Calibri" w:hAnsi="Calibri"/>
            <w:b/>
            <w:sz w:val="20"/>
          </w:rPr>
          <w:t>48</w:t>
        </w:r>
      </w:hyperlink>
    </w:p>
    <w:p>
      <w:pPr>
        <w:tabs>
          <w:tab w:pos="10096" w:val="right" w:leader="dot"/>
        </w:tabs>
        <w:spacing w:before="19"/>
        <w:ind w:left="699" w:right="0" w:firstLine="0"/>
        <w:jc w:val="left"/>
        <w:rPr>
          <w:rFonts w:ascii="Calibri" w:hAnsi="Calibri"/>
          <w:b/>
          <w:sz w:val="20"/>
        </w:rPr>
      </w:pPr>
      <w:hyperlink w:history="true" w:anchor="_bookmark41">
        <w:r>
          <w:rPr>
            <w:b/>
            <w:sz w:val="20"/>
          </w:rPr>
          <w:t>Figure 16 : Améliorations souhaitées en matière</w:t>
        </w:r>
        <w:r>
          <w:rPr>
            <w:b/>
            <w:spacing w:val="5"/>
            <w:sz w:val="20"/>
          </w:rPr>
          <w:t> </w:t>
        </w:r>
        <w:r>
          <w:rPr>
            <w:b/>
            <w:spacing w:val="-4"/>
            <w:sz w:val="20"/>
          </w:rPr>
          <w:t>de</w:t>
        </w:r>
        <w:r>
          <w:rPr>
            <w:b/>
            <w:spacing w:val="3"/>
            <w:sz w:val="20"/>
          </w:rPr>
          <w:t> </w:t>
        </w:r>
        <w:r>
          <w:rPr>
            <w:b/>
            <w:sz w:val="20"/>
          </w:rPr>
          <w:t>sécurité</w:t>
          <w:tab/>
        </w:r>
        <w:r>
          <w:rPr>
            <w:rFonts w:ascii="Calibri" w:hAnsi="Calibri"/>
            <w:b/>
            <w:sz w:val="20"/>
          </w:rPr>
          <w:t>49</w:t>
        </w:r>
      </w:hyperlink>
    </w:p>
    <w:p>
      <w:pPr>
        <w:tabs>
          <w:tab w:pos="10096" w:val="right" w:leader="dot"/>
        </w:tabs>
        <w:spacing w:before="21"/>
        <w:ind w:left="699" w:right="0" w:firstLine="0"/>
        <w:jc w:val="left"/>
        <w:rPr>
          <w:rFonts w:ascii="Calibri"/>
          <w:b/>
          <w:sz w:val="20"/>
        </w:rPr>
      </w:pPr>
      <w:hyperlink w:history="true" w:anchor="_bookmark44">
        <w:r>
          <w:rPr>
            <w:b/>
            <w:sz w:val="20"/>
          </w:rPr>
          <w:t>Figure 17 :Rencontres de dysfonctionnements</w:t>
        </w:r>
        <w:r>
          <w:rPr>
            <w:b/>
            <w:spacing w:val="2"/>
            <w:sz w:val="20"/>
          </w:rPr>
          <w:t> </w:t>
        </w:r>
        <w:r>
          <w:rPr>
            <w:b/>
            <w:spacing w:val="-3"/>
            <w:sz w:val="20"/>
          </w:rPr>
          <w:t>sur</w:t>
        </w:r>
        <w:r>
          <w:rPr>
            <w:b/>
            <w:spacing w:val="7"/>
            <w:sz w:val="20"/>
          </w:rPr>
          <w:t> </w:t>
        </w:r>
        <w:r>
          <w:rPr>
            <w:b/>
            <w:sz w:val="20"/>
          </w:rPr>
          <w:t>BaridiMob</w:t>
          <w:tab/>
        </w:r>
        <w:r>
          <w:rPr>
            <w:rFonts w:ascii="Calibri"/>
            <w:b/>
            <w:sz w:val="20"/>
          </w:rPr>
          <w:t>50</w:t>
        </w:r>
      </w:hyperlink>
    </w:p>
    <w:p>
      <w:pPr>
        <w:tabs>
          <w:tab w:pos="10096" w:val="right" w:leader="dot"/>
        </w:tabs>
        <w:spacing w:before="20"/>
        <w:ind w:left="699" w:right="0" w:firstLine="0"/>
        <w:jc w:val="left"/>
        <w:rPr>
          <w:rFonts w:ascii="Calibri" w:hAnsi="Calibri"/>
          <w:b/>
          <w:sz w:val="20"/>
        </w:rPr>
      </w:pPr>
      <w:hyperlink w:history="true" w:anchor="_bookmark46">
        <w:r>
          <w:rPr>
            <w:b/>
            <w:sz w:val="20"/>
          </w:rPr>
          <w:t>Figure 18: Types de problèmes</w:t>
        </w:r>
        <w:r>
          <w:rPr>
            <w:b/>
            <w:spacing w:val="-4"/>
            <w:sz w:val="20"/>
          </w:rPr>
          <w:t> </w:t>
        </w:r>
        <w:r>
          <w:rPr>
            <w:b/>
            <w:sz w:val="20"/>
          </w:rPr>
          <w:t>techniques</w:t>
        </w:r>
        <w:r>
          <w:rPr>
            <w:b/>
            <w:spacing w:val="1"/>
            <w:sz w:val="20"/>
          </w:rPr>
          <w:t> </w:t>
        </w:r>
        <w:r>
          <w:rPr>
            <w:b/>
            <w:sz w:val="20"/>
          </w:rPr>
          <w:t>rencontrés</w:t>
          <w:tab/>
        </w:r>
        <w:r>
          <w:rPr>
            <w:rFonts w:ascii="Calibri" w:hAnsi="Calibri"/>
            <w:b/>
            <w:sz w:val="20"/>
          </w:rPr>
          <w:t>50</w:t>
        </w:r>
      </w:hyperlink>
    </w:p>
    <w:p>
      <w:pPr>
        <w:tabs>
          <w:tab w:pos="10096" w:val="right" w:leader="dot"/>
        </w:tabs>
        <w:spacing w:before="20"/>
        <w:ind w:left="699" w:right="0" w:firstLine="0"/>
        <w:jc w:val="left"/>
        <w:rPr>
          <w:rFonts w:ascii="Calibri" w:hAnsi="Calibri"/>
          <w:b/>
          <w:sz w:val="20"/>
        </w:rPr>
      </w:pPr>
      <w:hyperlink w:history="true" w:anchor="_bookmark50">
        <w:r>
          <w:rPr>
            <w:b/>
            <w:sz w:val="20"/>
          </w:rPr>
          <w:t>Figure 19 : Fréquence des</w:t>
        </w:r>
        <w:r>
          <w:rPr>
            <w:b/>
            <w:spacing w:val="3"/>
            <w:sz w:val="20"/>
          </w:rPr>
          <w:t> </w:t>
        </w:r>
        <w:r>
          <w:rPr>
            <w:b/>
            <w:sz w:val="20"/>
          </w:rPr>
          <w:t>indisponibilités</w:t>
        </w:r>
        <w:r>
          <w:rPr>
            <w:b/>
            <w:spacing w:val="-4"/>
            <w:sz w:val="20"/>
          </w:rPr>
          <w:t> </w:t>
        </w:r>
        <w:r>
          <w:rPr>
            <w:b/>
            <w:sz w:val="20"/>
          </w:rPr>
          <w:t>constatées</w:t>
          <w:tab/>
        </w:r>
        <w:r>
          <w:rPr>
            <w:rFonts w:ascii="Calibri" w:hAnsi="Calibri"/>
            <w:b/>
            <w:sz w:val="20"/>
          </w:rPr>
          <w:t>52</w:t>
        </w:r>
      </w:hyperlink>
    </w:p>
    <w:p>
      <w:pPr>
        <w:tabs>
          <w:tab w:pos="10096" w:val="right" w:leader="dot"/>
        </w:tabs>
        <w:spacing w:before="20"/>
        <w:ind w:left="699" w:right="0" w:firstLine="0"/>
        <w:jc w:val="left"/>
        <w:rPr>
          <w:rFonts w:ascii="Calibri" w:hAnsi="Calibri"/>
          <w:b/>
          <w:sz w:val="20"/>
        </w:rPr>
      </w:pPr>
      <w:hyperlink w:history="true" w:anchor="_bookmark52">
        <w:r>
          <w:rPr>
            <w:b/>
            <w:sz w:val="20"/>
          </w:rPr>
          <w:t>Figure 20 : Répartition horaire des interruptions</w:t>
        </w:r>
        <w:r>
          <w:rPr>
            <w:b/>
            <w:spacing w:val="-1"/>
            <w:sz w:val="20"/>
          </w:rPr>
          <w:t> </w:t>
        </w:r>
        <w:r>
          <w:rPr>
            <w:b/>
            <w:sz w:val="20"/>
          </w:rPr>
          <w:t>de</w:t>
        </w:r>
        <w:r>
          <w:rPr>
            <w:b/>
            <w:spacing w:val="4"/>
            <w:sz w:val="20"/>
          </w:rPr>
          <w:t> </w:t>
        </w:r>
        <w:r>
          <w:rPr>
            <w:b/>
            <w:sz w:val="20"/>
          </w:rPr>
          <w:t>service</w:t>
          <w:tab/>
        </w:r>
        <w:r>
          <w:rPr>
            <w:rFonts w:ascii="Calibri" w:hAnsi="Calibri"/>
            <w:b/>
            <w:sz w:val="20"/>
          </w:rPr>
          <w:t>53</w:t>
        </w:r>
      </w:hyperlink>
    </w:p>
    <w:p>
      <w:pPr>
        <w:tabs>
          <w:tab w:pos="10096" w:val="right" w:leader="dot"/>
        </w:tabs>
        <w:spacing w:before="19"/>
        <w:ind w:left="699" w:right="0" w:firstLine="0"/>
        <w:jc w:val="left"/>
        <w:rPr>
          <w:rFonts w:ascii="Calibri" w:hAnsi="Calibri"/>
          <w:b/>
          <w:sz w:val="20"/>
        </w:rPr>
      </w:pPr>
      <w:hyperlink w:history="true" w:anchor="_bookmark55">
        <w:r>
          <w:rPr>
            <w:b/>
            <w:sz w:val="20"/>
          </w:rPr>
          <w:t>Figure 21 : Impact de l’indisponibilité </w:t>
        </w:r>
        <w:r>
          <w:rPr>
            <w:b/>
            <w:spacing w:val="-3"/>
            <w:sz w:val="20"/>
          </w:rPr>
          <w:t>sur</w:t>
        </w:r>
        <w:r>
          <w:rPr>
            <w:b/>
            <w:spacing w:val="-1"/>
            <w:sz w:val="20"/>
          </w:rPr>
          <w:t> </w:t>
        </w:r>
        <w:r>
          <w:rPr>
            <w:b/>
            <w:sz w:val="20"/>
          </w:rPr>
          <w:t>la</w:t>
        </w:r>
        <w:r>
          <w:rPr>
            <w:b/>
            <w:spacing w:val="-3"/>
            <w:sz w:val="20"/>
          </w:rPr>
          <w:t> </w:t>
        </w:r>
        <w:r>
          <w:rPr>
            <w:b/>
            <w:sz w:val="20"/>
          </w:rPr>
          <w:t>confiance</w:t>
          <w:tab/>
        </w:r>
        <w:r>
          <w:rPr>
            <w:rFonts w:ascii="Calibri" w:hAnsi="Calibri"/>
            <w:b/>
            <w:sz w:val="20"/>
          </w:rPr>
          <w:t>54</w:t>
        </w:r>
      </w:hyperlink>
    </w:p>
    <w:p>
      <w:pPr>
        <w:tabs>
          <w:tab w:pos="10096" w:val="right" w:leader="dot"/>
        </w:tabs>
        <w:spacing w:before="20"/>
        <w:ind w:left="699" w:right="0" w:firstLine="0"/>
        <w:jc w:val="left"/>
        <w:rPr>
          <w:rFonts w:ascii="Calibri" w:hAnsi="Calibri"/>
          <w:b/>
          <w:sz w:val="20"/>
        </w:rPr>
      </w:pPr>
      <w:hyperlink w:history="true" w:anchor="_bookmark57">
        <w:r>
          <w:rPr>
            <w:b/>
            <w:sz w:val="20"/>
          </w:rPr>
          <w:t>Figure 22 : Fréquence des contacts avec le</w:t>
        </w:r>
        <w:r>
          <w:rPr>
            <w:b/>
            <w:spacing w:val="6"/>
            <w:sz w:val="20"/>
          </w:rPr>
          <w:t> </w:t>
        </w:r>
        <w:r>
          <w:rPr>
            <w:b/>
            <w:sz w:val="20"/>
          </w:rPr>
          <w:t>service</w:t>
        </w:r>
        <w:r>
          <w:rPr>
            <w:b/>
            <w:spacing w:val="-1"/>
            <w:sz w:val="20"/>
          </w:rPr>
          <w:t> </w:t>
        </w:r>
        <w:r>
          <w:rPr>
            <w:b/>
            <w:sz w:val="20"/>
          </w:rPr>
          <w:t>client</w:t>
          <w:tab/>
        </w:r>
        <w:r>
          <w:rPr>
            <w:rFonts w:ascii="Calibri" w:hAnsi="Calibri"/>
            <w:b/>
            <w:sz w:val="20"/>
          </w:rPr>
          <w:t>54</w:t>
        </w:r>
      </w:hyperlink>
    </w:p>
    <w:p>
      <w:pPr>
        <w:tabs>
          <w:tab w:pos="10096" w:val="right" w:leader="dot"/>
        </w:tabs>
        <w:spacing w:before="15"/>
        <w:ind w:left="699" w:right="0" w:firstLine="0"/>
        <w:jc w:val="left"/>
        <w:rPr>
          <w:rFonts w:ascii="Calibri" w:hAnsi="Calibri"/>
          <w:b/>
          <w:sz w:val="20"/>
        </w:rPr>
      </w:pPr>
      <w:hyperlink w:history="true" w:anchor="_bookmark59">
        <w:r>
          <w:rPr>
            <w:b/>
            <w:sz w:val="20"/>
          </w:rPr>
          <w:t>Figure 23 : Fréquence d’évaluation du</w:t>
        </w:r>
        <w:r>
          <w:rPr>
            <w:b/>
            <w:spacing w:val="1"/>
            <w:sz w:val="20"/>
          </w:rPr>
          <w:t> </w:t>
        </w:r>
        <w:r>
          <w:rPr>
            <w:b/>
            <w:sz w:val="20"/>
          </w:rPr>
          <w:t>service</w:t>
        </w:r>
        <w:r>
          <w:rPr>
            <w:b/>
            <w:spacing w:val="-6"/>
            <w:sz w:val="20"/>
          </w:rPr>
          <w:t> </w:t>
        </w:r>
        <w:r>
          <w:rPr>
            <w:b/>
            <w:sz w:val="20"/>
          </w:rPr>
          <w:t>client</w:t>
          <w:tab/>
        </w:r>
        <w:r>
          <w:rPr>
            <w:rFonts w:ascii="Calibri" w:hAnsi="Calibri"/>
            <w:b/>
            <w:sz w:val="20"/>
          </w:rPr>
          <w:t>55</w:t>
        </w:r>
      </w:hyperlink>
    </w:p>
    <w:p>
      <w:pPr>
        <w:tabs>
          <w:tab w:pos="10096" w:val="right" w:leader="dot"/>
        </w:tabs>
        <w:spacing w:before="21"/>
        <w:ind w:left="699" w:right="0" w:firstLine="0"/>
        <w:jc w:val="left"/>
        <w:rPr>
          <w:rFonts w:ascii="Calibri" w:hAnsi="Calibri"/>
          <w:b/>
          <w:sz w:val="20"/>
        </w:rPr>
      </w:pPr>
      <w:hyperlink w:history="true" w:anchor="_bookmark61">
        <w:r>
          <w:rPr>
            <w:b/>
            <w:sz w:val="20"/>
          </w:rPr>
          <w:t>Figure 24  : Difficultés rencontrées avec le</w:t>
        </w:r>
        <w:r>
          <w:rPr>
            <w:b/>
            <w:spacing w:val="2"/>
            <w:sz w:val="20"/>
          </w:rPr>
          <w:t> </w:t>
        </w:r>
        <w:r>
          <w:rPr>
            <w:b/>
            <w:sz w:val="20"/>
          </w:rPr>
          <w:t>service</w:t>
        </w:r>
        <w:r>
          <w:rPr>
            <w:b/>
            <w:spacing w:val="-1"/>
            <w:sz w:val="20"/>
          </w:rPr>
          <w:t> </w:t>
        </w:r>
        <w:r>
          <w:rPr>
            <w:b/>
            <w:sz w:val="20"/>
          </w:rPr>
          <w:t>client</w:t>
          <w:tab/>
        </w:r>
        <w:r>
          <w:rPr>
            <w:rFonts w:ascii="Calibri" w:hAnsi="Calibri"/>
            <w:b/>
            <w:sz w:val="20"/>
          </w:rPr>
          <w:t>55</w:t>
        </w:r>
      </w:hyperlink>
    </w:p>
    <w:p>
      <w:pPr>
        <w:tabs>
          <w:tab w:pos="4815" w:val="left" w:leader="none"/>
          <w:tab w:pos="10096" w:val="right" w:leader="dot"/>
        </w:tabs>
        <w:spacing w:before="19"/>
        <w:ind w:left="699" w:right="0" w:firstLine="0"/>
        <w:jc w:val="left"/>
        <w:rPr>
          <w:rFonts w:ascii="Calibri" w:hAnsi="Calibri"/>
          <w:b/>
          <w:sz w:val="20"/>
        </w:rPr>
      </w:pPr>
      <w:hyperlink w:history="true" w:anchor="_bookmark63">
        <w:r>
          <w:rPr>
            <w:b/>
            <w:sz w:val="20"/>
          </w:rPr>
          <w:t>Figure 25 :Recommandations</w:t>
        </w:r>
        <w:r>
          <w:rPr>
            <w:b/>
            <w:spacing w:val="-5"/>
            <w:sz w:val="20"/>
          </w:rPr>
          <w:t> </w:t>
        </w:r>
        <w:r>
          <w:rPr>
            <w:b/>
            <w:sz w:val="20"/>
          </w:rPr>
          <w:t>pour</w:t>
        </w:r>
        <w:r>
          <w:rPr>
            <w:b/>
            <w:spacing w:val="1"/>
            <w:sz w:val="20"/>
          </w:rPr>
          <w:t> </w:t>
        </w:r>
        <w:r>
          <w:rPr>
            <w:b/>
            <w:sz w:val="20"/>
          </w:rPr>
          <w:t>améliorer</w:t>
          <w:tab/>
          <w:t>le</w:t>
        </w:r>
        <w:r>
          <w:rPr>
            <w:b/>
            <w:spacing w:val="4"/>
            <w:sz w:val="20"/>
          </w:rPr>
          <w:t> </w:t>
        </w:r>
        <w:r>
          <w:rPr>
            <w:b/>
            <w:sz w:val="20"/>
          </w:rPr>
          <w:t>support</w:t>
        </w:r>
        <w:r>
          <w:rPr>
            <w:b/>
            <w:spacing w:val="2"/>
            <w:sz w:val="20"/>
          </w:rPr>
          <w:t> </w:t>
        </w:r>
        <w:r>
          <w:rPr>
            <w:b/>
            <w:sz w:val="20"/>
          </w:rPr>
          <w:t>client</w:t>
          <w:tab/>
        </w:r>
        <w:r>
          <w:rPr>
            <w:rFonts w:ascii="Calibri" w:hAnsi="Calibri"/>
            <w:b/>
            <w:sz w:val="20"/>
          </w:rPr>
          <w:t>56</w:t>
        </w:r>
      </w:hyperlink>
    </w:p>
    <w:p>
      <w:pPr>
        <w:spacing w:after="0"/>
        <w:jc w:val="left"/>
        <w:rPr>
          <w:rFonts w:ascii="Calibri" w:hAnsi="Calibri"/>
          <w:sz w:val="20"/>
        </w:rPr>
        <w:sectPr>
          <w:pgSz w:w="12240" w:h="15840"/>
          <w:pgMar w:header="727" w:footer="0" w:top="1080" w:bottom="280" w:left="1000" w:right="820"/>
        </w:sectPr>
      </w:pPr>
    </w:p>
    <w:p>
      <w:pPr>
        <w:pStyle w:val="BodyText"/>
        <w:spacing w:before="1"/>
        <w:rPr>
          <w:rFonts w:ascii="Calibri"/>
          <w:b/>
          <w:sz w:val="55"/>
        </w:rPr>
      </w:pPr>
    </w:p>
    <w:p>
      <w:pPr>
        <w:pStyle w:val="Heading1"/>
        <w:spacing w:before="0"/>
      </w:pPr>
      <w:bookmarkStart w:name="Liste des tableaux" w:id="7"/>
      <w:bookmarkEnd w:id="7"/>
      <w:r>
        <w:rPr>
          <w:b w:val="0"/>
        </w:rPr>
      </w:r>
      <w:bookmarkStart w:name="_bookmark3" w:id="8"/>
      <w:bookmarkEnd w:id="8"/>
      <w:r>
        <w:rPr>
          <w:b w:val="0"/>
        </w:rPr>
      </w:r>
      <w:r>
        <w:rPr/>
        <w:t>Liste des tableaux</w:t>
      </w:r>
    </w:p>
    <w:p>
      <w:pPr>
        <w:tabs>
          <w:tab w:pos="9894" w:val="left" w:leader="dot"/>
        </w:tabs>
        <w:spacing w:before="39"/>
        <w:ind w:left="699" w:right="0" w:firstLine="0"/>
        <w:jc w:val="left"/>
        <w:rPr>
          <w:rFonts w:ascii="Calibri" w:hAnsi="Calibri"/>
          <w:b/>
          <w:sz w:val="20"/>
        </w:rPr>
      </w:pPr>
      <w:hyperlink w:history="true" w:anchor="_bookmark14">
        <w:r>
          <w:rPr>
            <w:b/>
            <w:sz w:val="20"/>
          </w:rPr>
          <w:t>Tableau 1 : Statistique d’utilisation du service BaridiMob en 2924</w:t>
        </w:r>
        <w:r>
          <w:rPr>
            <w:b/>
            <w:spacing w:val="-17"/>
            <w:sz w:val="20"/>
          </w:rPr>
          <w:t> </w:t>
        </w:r>
        <w:r>
          <w:rPr>
            <w:b/>
            <w:sz w:val="20"/>
          </w:rPr>
          <w:t>et</w:t>
        </w:r>
        <w:r>
          <w:rPr>
            <w:b/>
            <w:spacing w:val="-3"/>
            <w:sz w:val="20"/>
          </w:rPr>
          <w:t> </w:t>
        </w:r>
        <w:r>
          <w:rPr>
            <w:b/>
            <w:sz w:val="20"/>
          </w:rPr>
          <w:t>2025</w:t>
          <w:tab/>
        </w:r>
        <w:r>
          <w:rPr>
            <w:rFonts w:ascii="Calibri" w:hAnsi="Calibri"/>
            <w:b/>
            <w:sz w:val="20"/>
          </w:rPr>
          <w:t>38</w:t>
        </w:r>
      </w:hyperlink>
    </w:p>
    <w:p>
      <w:pPr>
        <w:tabs>
          <w:tab w:pos="9894" w:val="left" w:leader="dot"/>
        </w:tabs>
        <w:spacing w:before="16"/>
        <w:ind w:left="699" w:right="0" w:firstLine="0"/>
        <w:jc w:val="left"/>
        <w:rPr>
          <w:rFonts w:ascii="Calibri"/>
          <w:b/>
          <w:sz w:val="20"/>
        </w:rPr>
      </w:pPr>
      <w:hyperlink w:history="true" w:anchor="_bookmark17">
        <w:r>
          <w:rPr>
            <w:b/>
            <w:sz w:val="20"/>
          </w:rPr>
          <w:t>Tableau 2</w:t>
        </w:r>
        <w:r>
          <w:rPr>
            <w:b/>
            <w:spacing w:val="-2"/>
            <w:sz w:val="20"/>
          </w:rPr>
          <w:t> </w:t>
        </w:r>
        <w:r>
          <w:rPr>
            <w:b/>
            <w:sz w:val="20"/>
          </w:rPr>
          <w:t>:</w:t>
        </w:r>
        <w:r>
          <w:rPr>
            <w:b/>
            <w:spacing w:val="4"/>
            <w:sz w:val="20"/>
          </w:rPr>
          <w:t> </w:t>
        </w:r>
        <w:r>
          <w:rPr>
            <w:b/>
            <w:spacing w:val="-3"/>
            <w:sz w:val="20"/>
          </w:rPr>
          <w:t>Sexe</w:t>
          <w:tab/>
        </w:r>
        <w:r>
          <w:rPr>
            <w:rFonts w:ascii="Calibri"/>
            <w:b/>
            <w:sz w:val="20"/>
          </w:rPr>
          <w:t>43</w:t>
        </w:r>
      </w:hyperlink>
    </w:p>
    <w:p>
      <w:pPr>
        <w:tabs>
          <w:tab w:pos="9894" w:val="left" w:leader="dot"/>
        </w:tabs>
        <w:spacing w:before="19"/>
        <w:ind w:left="699" w:right="0" w:firstLine="0"/>
        <w:jc w:val="left"/>
        <w:rPr>
          <w:rFonts w:ascii="Calibri"/>
          <w:b/>
          <w:sz w:val="20"/>
        </w:rPr>
      </w:pPr>
      <w:hyperlink w:history="true" w:anchor="_bookmark20">
        <w:r>
          <w:rPr>
            <w:b/>
            <w:sz w:val="20"/>
          </w:rPr>
          <w:t>Tableau 3</w:t>
        </w:r>
        <w:r>
          <w:rPr>
            <w:b/>
            <w:spacing w:val="-7"/>
            <w:sz w:val="20"/>
          </w:rPr>
          <w:t> </w:t>
        </w:r>
        <w:r>
          <w:rPr>
            <w:b/>
            <w:sz w:val="20"/>
          </w:rPr>
          <w:t>:</w:t>
        </w:r>
        <w:r>
          <w:rPr>
            <w:b/>
            <w:spacing w:val="5"/>
            <w:sz w:val="20"/>
          </w:rPr>
          <w:t> </w:t>
        </w:r>
        <w:r>
          <w:rPr>
            <w:b/>
            <w:spacing w:val="-3"/>
            <w:sz w:val="20"/>
          </w:rPr>
          <w:t>Age</w:t>
          <w:tab/>
        </w:r>
        <w:r>
          <w:rPr>
            <w:rFonts w:ascii="Calibri"/>
            <w:b/>
            <w:sz w:val="20"/>
          </w:rPr>
          <w:t>43</w:t>
        </w:r>
      </w:hyperlink>
    </w:p>
    <w:p>
      <w:pPr>
        <w:tabs>
          <w:tab w:pos="9894" w:val="left" w:leader="dot"/>
        </w:tabs>
        <w:spacing w:before="20"/>
        <w:ind w:left="699" w:right="0" w:firstLine="0"/>
        <w:jc w:val="left"/>
        <w:rPr>
          <w:rFonts w:ascii="Calibri"/>
          <w:b/>
          <w:sz w:val="20"/>
        </w:rPr>
      </w:pPr>
      <w:hyperlink w:history="true" w:anchor="_bookmark22">
        <w:r>
          <w:rPr>
            <w:b/>
            <w:sz w:val="20"/>
          </w:rPr>
          <w:t>Tableau 4 </w:t>
        </w:r>
        <w:r>
          <w:rPr>
            <w:rFonts w:ascii="Calibri"/>
            <w:b/>
            <w:sz w:val="20"/>
          </w:rPr>
          <w:t>:</w:t>
        </w:r>
        <w:r>
          <w:rPr>
            <w:rFonts w:ascii="Calibri"/>
            <w:b/>
            <w:spacing w:val="-14"/>
            <w:sz w:val="20"/>
          </w:rPr>
          <w:t> </w:t>
        </w:r>
        <w:r>
          <w:rPr>
            <w:b/>
            <w:sz w:val="20"/>
          </w:rPr>
          <w:t>Situation</w:t>
        </w:r>
        <w:r>
          <w:rPr>
            <w:b/>
            <w:spacing w:val="1"/>
            <w:sz w:val="20"/>
          </w:rPr>
          <w:t> </w:t>
        </w:r>
        <w:r>
          <w:rPr>
            <w:b/>
            <w:sz w:val="20"/>
          </w:rPr>
          <w:t>Professionnelle</w:t>
          <w:tab/>
        </w:r>
        <w:r>
          <w:rPr>
            <w:rFonts w:ascii="Calibri"/>
            <w:b/>
            <w:sz w:val="20"/>
          </w:rPr>
          <w:t>44</w:t>
        </w:r>
      </w:hyperlink>
    </w:p>
    <w:p>
      <w:pPr>
        <w:tabs>
          <w:tab w:pos="9894" w:val="left" w:leader="dot"/>
        </w:tabs>
        <w:spacing w:before="20"/>
        <w:ind w:left="699" w:right="0" w:firstLine="0"/>
        <w:jc w:val="left"/>
        <w:rPr>
          <w:rFonts w:ascii="Calibri"/>
          <w:b/>
          <w:sz w:val="20"/>
        </w:rPr>
      </w:pPr>
      <w:hyperlink w:history="true" w:anchor="_bookmark24">
        <w:r>
          <w:rPr>
            <w:b/>
            <w:sz w:val="20"/>
          </w:rPr>
          <w:t>Tableau 5 :</w:t>
        </w:r>
        <w:r>
          <w:rPr>
            <w:b/>
            <w:spacing w:val="-7"/>
            <w:sz w:val="20"/>
          </w:rPr>
          <w:t> </w:t>
        </w:r>
        <w:r>
          <w:rPr>
            <w:b/>
            <w:sz w:val="20"/>
          </w:rPr>
          <w:t>Revenu</w:t>
        </w:r>
        <w:r>
          <w:rPr>
            <w:b/>
            <w:spacing w:val="-5"/>
            <w:sz w:val="20"/>
          </w:rPr>
          <w:t> </w:t>
        </w:r>
        <w:r>
          <w:rPr>
            <w:b/>
            <w:sz w:val="20"/>
          </w:rPr>
          <w:t>mensuel</w:t>
          <w:tab/>
        </w:r>
        <w:r>
          <w:rPr>
            <w:rFonts w:ascii="Calibri"/>
            <w:b/>
            <w:sz w:val="20"/>
          </w:rPr>
          <w:t>44</w:t>
        </w:r>
      </w:hyperlink>
    </w:p>
    <w:p>
      <w:pPr>
        <w:tabs>
          <w:tab w:pos="9894" w:val="left" w:leader="dot"/>
        </w:tabs>
        <w:spacing w:before="20"/>
        <w:ind w:left="699" w:right="0" w:firstLine="0"/>
        <w:jc w:val="left"/>
        <w:rPr>
          <w:rFonts w:ascii="Calibri" w:hAnsi="Calibri"/>
          <w:b/>
          <w:sz w:val="20"/>
        </w:rPr>
      </w:pPr>
      <w:hyperlink w:history="true" w:anchor="_bookmark26">
        <w:r>
          <w:rPr>
            <w:b/>
            <w:sz w:val="20"/>
          </w:rPr>
          <w:t>Tableau 6 : Fréquence d’utilisation</w:t>
        </w:r>
        <w:r>
          <w:rPr>
            <w:b/>
            <w:spacing w:val="-8"/>
            <w:sz w:val="20"/>
          </w:rPr>
          <w:t> </w:t>
        </w:r>
        <w:r>
          <w:rPr>
            <w:b/>
            <w:sz w:val="20"/>
          </w:rPr>
          <w:t>de</w:t>
        </w:r>
        <w:r>
          <w:rPr>
            <w:b/>
            <w:spacing w:val="-8"/>
            <w:sz w:val="20"/>
          </w:rPr>
          <w:t> </w:t>
        </w:r>
        <w:r>
          <w:rPr>
            <w:b/>
            <w:sz w:val="20"/>
          </w:rPr>
          <w:t>BaridiMob</w:t>
          <w:tab/>
        </w:r>
        <w:r>
          <w:rPr>
            <w:rFonts w:ascii="Calibri" w:hAnsi="Calibri"/>
            <w:b/>
            <w:sz w:val="20"/>
          </w:rPr>
          <w:t>45</w:t>
        </w:r>
      </w:hyperlink>
    </w:p>
    <w:p>
      <w:pPr>
        <w:tabs>
          <w:tab w:pos="9894" w:val="left" w:leader="dot"/>
        </w:tabs>
        <w:spacing w:before="20"/>
        <w:ind w:left="699" w:right="0" w:firstLine="0"/>
        <w:jc w:val="left"/>
        <w:rPr>
          <w:rFonts w:ascii="Calibri" w:hAnsi="Calibri"/>
          <w:b/>
          <w:sz w:val="20"/>
        </w:rPr>
      </w:pPr>
      <w:hyperlink w:history="true" w:anchor="_bookmark28">
        <w:r>
          <w:rPr>
            <w:b/>
            <w:sz w:val="20"/>
          </w:rPr>
          <w:t>Tableau 7 : Fréquence</w:t>
        </w:r>
        <w:r>
          <w:rPr>
            <w:b/>
            <w:spacing w:val="-6"/>
            <w:sz w:val="20"/>
          </w:rPr>
          <w:t> </w:t>
        </w:r>
        <w:r>
          <w:rPr>
            <w:b/>
            <w:sz w:val="20"/>
          </w:rPr>
          <w:t>d’utilisation</w:t>
        </w:r>
        <w:r>
          <w:rPr>
            <w:b/>
            <w:spacing w:val="-5"/>
            <w:sz w:val="20"/>
          </w:rPr>
          <w:t> </w:t>
        </w:r>
        <w:r>
          <w:rPr>
            <w:b/>
            <w:sz w:val="20"/>
          </w:rPr>
          <w:t>BaridiMob</w:t>
          <w:tab/>
        </w:r>
        <w:r>
          <w:rPr>
            <w:rFonts w:ascii="Calibri" w:hAnsi="Calibri"/>
            <w:b/>
            <w:sz w:val="20"/>
          </w:rPr>
          <w:t>45</w:t>
        </w:r>
      </w:hyperlink>
    </w:p>
    <w:p>
      <w:pPr>
        <w:tabs>
          <w:tab w:pos="9894" w:val="left" w:leader="dot"/>
        </w:tabs>
        <w:spacing w:before="20"/>
        <w:ind w:left="699" w:right="0" w:firstLine="0"/>
        <w:jc w:val="left"/>
        <w:rPr>
          <w:rFonts w:ascii="Calibri" w:hAnsi="Calibri"/>
          <w:b/>
          <w:sz w:val="20"/>
        </w:rPr>
      </w:pPr>
      <w:hyperlink w:history="true" w:anchor="_bookmark29">
        <w:r>
          <w:rPr>
            <w:b/>
            <w:sz w:val="20"/>
          </w:rPr>
          <w:t>Tableau 8 : </w:t>
        </w:r>
        <w:r>
          <w:rPr>
            <w:b/>
            <w:spacing w:val="-3"/>
            <w:sz w:val="20"/>
          </w:rPr>
          <w:t>Raisons </w:t>
        </w:r>
        <w:r>
          <w:rPr>
            <w:b/>
            <w:sz w:val="20"/>
          </w:rPr>
          <w:t>d’utilisation</w:t>
        </w:r>
        <w:r>
          <w:rPr>
            <w:b/>
            <w:spacing w:val="7"/>
            <w:sz w:val="20"/>
          </w:rPr>
          <w:t> </w:t>
        </w:r>
        <w:r>
          <w:rPr>
            <w:b/>
            <w:sz w:val="20"/>
          </w:rPr>
          <w:t>de BaridiMob</w:t>
          <w:tab/>
        </w:r>
        <w:r>
          <w:rPr>
            <w:rFonts w:ascii="Calibri" w:hAnsi="Calibri"/>
            <w:b/>
            <w:sz w:val="20"/>
          </w:rPr>
          <w:t>46</w:t>
        </w:r>
      </w:hyperlink>
    </w:p>
    <w:p>
      <w:pPr>
        <w:tabs>
          <w:tab w:pos="9894" w:val="left" w:leader="dot"/>
        </w:tabs>
        <w:spacing w:before="20"/>
        <w:ind w:left="699" w:right="0" w:firstLine="0"/>
        <w:jc w:val="left"/>
        <w:rPr>
          <w:rFonts w:ascii="Calibri" w:hAnsi="Calibri"/>
          <w:b/>
          <w:sz w:val="20"/>
        </w:rPr>
      </w:pPr>
      <w:hyperlink w:history="true" w:anchor="_bookmark31">
        <w:r>
          <w:rPr>
            <w:b/>
            <w:sz w:val="20"/>
          </w:rPr>
          <w:t>Tableau 9:Fréquence d’évaluation de l’expérience</w:t>
        </w:r>
        <w:r>
          <w:rPr>
            <w:b/>
            <w:spacing w:val="-9"/>
            <w:sz w:val="20"/>
          </w:rPr>
          <w:t> </w:t>
        </w:r>
        <w:r>
          <w:rPr>
            <w:b/>
            <w:sz w:val="20"/>
          </w:rPr>
          <w:t>des</w:t>
        </w:r>
        <w:r>
          <w:rPr>
            <w:b/>
            <w:spacing w:val="-6"/>
            <w:sz w:val="20"/>
          </w:rPr>
          <w:t> </w:t>
        </w:r>
        <w:r>
          <w:rPr>
            <w:b/>
            <w:sz w:val="20"/>
          </w:rPr>
          <w:t>utilisateurs</w:t>
          <w:tab/>
        </w:r>
        <w:r>
          <w:rPr>
            <w:rFonts w:ascii="Calibri" w:hAnsi="Calibri"/>
            <w:b/>
            <w:sz w:val="20"/>
          </w:rPr>
          <w:t>46</w:t>
        </w:r>
      </w:hyperlink>
    </w:p>
    <w:p>
      <w:pPr>
        <w:tabs>
          <w:tab w:pos="9894" w:val="left" w:leader="dot"/>
        </w:tabs>
        <w:spacing w:before="20"/>
        <w:ind w:left="699" w:right="0" w:firstLine="0"/>
        <w:jc w:val="left"/>
        <w:rPr>
          <w:rFonts w:ascii="Calibri" w:hAnsi="Calibri"/>
          <w:b/>
          <w:sz w:val="20"/>
        </w:rPr>
      </w:pPr>
      <w:hyperlink w:history="true" w:anchor="_bookmark33">
        <w:r>
          <w:rPr>
            <w:b/>
            <w:sz w:val="20"/>
          </w:rPr>
          <w:t>Tableau 10  :  Fréquence  d’évaluation  de</w:t>
        </w:r>
        <w:r>
          <w:rPr>
            <w:b/>
            <w:spacing w:val="40"/>
            <w:sz w:val="20"/>
          </w:rPr>
          <w:t> </w:t>
        </w:r>
        <w:r>
          <w:rPr>
            <w:b/>
            <w:sz w:val="20"/>
          </w:rPr>
          <w:t>la</w:t>
        </w:r>
        <w:r>
          <w:rPr>
            <w:b/>
            <w:spacing w:val="-4"/>
            <w:sz w:val="20"/>
          </w:rPr>
          <w:t> </w:t>
        </w:r>
        <w:r>
          <w:rPr>
            <w:b/>
            <w:sz w:val="20"/>
          </w:rPr>
          <w:t>sécurité</w:t>
          <w:tab/>
        </w:r>
        <w:r>
          <w:rPr>
            <w:rFonts w:ascii="Calibri" w:hAnsi="Calibri"/>
            <w:b/>
            <w:sz w:val="20"/>
          </w:rPr>
          <w:t>47</w:t>
        </w:r>
      </w:hyperlink>
    </w:p>
    <w:p>
      <w:pPr>
        <w:tabs>
          <w:tab w:pos="9894" w:val="left" w:leader="dot"/>
        </w:tabs>
        <w:spacing w:before="15"/>
        <w:ind w:left="699" w:right="0" w:firstLine="0"/>
        <w:jc w:val="left"/>
        <w:rPr>
          <w:rFonts w:ascii="Calibri" w:hAnsi="Calibri"/>
          <w:b/>
          <w:sz w:val="20"/>
        </w:rPr>
      </w:pPr>
      <w:hyperlink w:history="true" w:anchor="_bookmark35">
        <w:r>
          <w:rPr>
            <w:b/>
            <w:sz w:val="20"/>
          </w:rPr>
          <w:t>Tableau 11 : Comportements adoptés en cas de </w:t>
        </w:r>
        <w:r>
          <w:rPr>
            <w:b/>
            <w:spacing w:val="-3"/>
            <w:sz w:val="20"/>
          </w:rPr>
          <w:t>doute sur </w:t>
        </w:r>
        <w:r>
          <w:rPr>
            <w:b/>
            <w:sz w:val="20"/>
          </w:rPr>
          <w:t>la sécurité</w:t>
        </w:r>
        <w:r>
          <w:rPr>
            <w:b/>
            <w:spacing w:val="13"/>
            <w:sz w:val="20"/>
          </w:rPr>
          <w:t> </w:t>
        </w:r>
        <w:r>
          <w:rPr>
            <w:b/>
            <w:sz w:val="20"/>
          </w:rPr>
          <w:t>des</w:t>
        </w:r>
        <w:r>
          <w:rPr>
            <w:b/>
            <w:spacing w:val="1"/>
            <w:sz w:val="20"/>
          </w:rPr>
          <w:t> </w:t>
        </w:r>
        <w:r>
          <w:rPr>
            <w:b/>
            <w:sz w:val="20"/>
          </w:rPr>
          <w:t>données</w:t>
          <w:tab/>
        </w:r>
        <w:r>
          <w:rPr>
            <w:rFonts w:ascii="Calibri" w:hAnsi="Calibri"/>
            <w:b/>
            <w:sz w:val="20"/>
          </w:rPr>
          <w:t>47</w:t>
        </w:r>
      </w:hyperlink>
    </w:p>
    <w:p>
      <w:pPr>
        <w:tabs>
          <w:tab w:pos="9894" w:val="left" w:leader="dot"/>
        </w:tabs>
        <w:spacing w:before="20"/>
        <w:ind w:left="699" w:right="0" w:firstLine="0"/>
        <w:jc w:val="left"/>
        <w:rPr>
          <w:rFonts w:ascii="Calibri" w:hAnsi="Calibri"/>
          <w:b/>
          <w:sz w:val="20"/>
        </w:rPr>
      </w:pPr>
      <w:hyperlink w:history="true" w:anchor="_bookmark36">
        <w:r>
          <w:rPr>
            <w:b/>
            <w:sz w:val="20"/>
          </w:rPr>
          <w:t>Tableau 12 :   Fréquence  des  atteintes  à la sécurité</w:t>
        </w:r>
        <w:r>
          <w:rPr>
            <w:b/>
            <w:spacing w:val="-14"/>
            <w:sz w:val="20"/>
          </w:rPr>
          <w:t> </w:t>
        </w:r>
        <w:r>
          <w:rPr>
            <w:b/>
            <w:spacing w:val="-3"/>
            <w:sz w:val="20"/>
          </w:rPr>
          <w:t>sur</w:t>
        </w:r>
        <w:r>
          <w:rPr>
            <w:b/>
            <w:spacing w:val="-1"/>
            <w:sz w:val="20"/>
          </w:rPr>
          <w:t> </w:t>
        </w:r>
        <w:r>
          <w:rPr>
            <w:b/>
            <w:sz w:val="20"/>
          </w:rPr>
          <w:t>BaridiMob</w:t>
          <w:tab/>
        </w:r>
        <w:r>
          <w:rPr>
            <w:rFonts w:ascii="Calibri" w:hAnsi="Calibri"/>
            <w:b/>
            <w:sz w:val="20"/>
          </w:rPr>
          <w:t>48</w:t>
        </w:r>
      </w:hyperlink>
    </w:p>
    <w:p>
      <w:pPr>
        <w:tabs>
          <w:tab w:pos="9894" w:val="left" w:leader="dot"/>
        </w:tabs>
        <w:spacing w:before="20"/>
        <w:ind w:left="699" w:right="0" w:firstLine="0"/>
        <w:jc w:val="left"/>
        <w:rPr>
          <w:rFonts w:ascii="Calibri" w:hAnsi="Calibri"/>
          <w:b/>
          <w:sz w:val="20"/>
        </w:rPr>
      </w:pPr>
      <w:hyperlink w:history="true" w:anchor="_bookmark39">
        <w:r>
          <w:rPr>
            <w:b/>
            <w:sz w:val="20"/>
          </w:rPr>
          <w:t>Tableau 13:Catégories de</w:t>
        </w:r>
        <w:r>
          <w:rPr>
            <w:b/>
            <w:spacing w:val="-6"/>
            <w:sz w:val="20"/>
          </w:rPr>
          <w:t> </w:t>
        </w:r>
        <w:r>
          <w:rPr>
            <w:b/>
            <w:sz w:val="20"/>
          </w:rPr>
          <w:t>problèmes</w:t>
        </w:r>
        <w:r>
          <w:rPr>
            <w:b/>
            <w:spacing w:val="-5"/>
            <w:sz w:val="20"/>
          </w:rPr>
          <w:t> </w:t>
        </w:r>
        <w:r>
          <w:rPr>
            <w:b/>
            <w:sz w:val="20"/>
          </w:rPr>
          <w:t>rencontrés</w:t>
          <w:tab/>
        </w:r>
        <w:r>
          <w:rPr>
            <w:rFonts w:ascii="Calibri" w:hAnsi="Calibri"/>
            <w:b/>
            <w:sz w:val="20"/>
          </w:rPr>
          <w:t>48</w:t>
        </w:r>
      </w:hyperlink>
    </w:p>
    <w:p>
      <w:pPr>
        <w:tabs>
          <w:tab w:pos="3280" w:val="left" w:leader="none"/>
          <w:tab w:pos="9894" w:val="left" w:leader="dot"/>
        </w:tabs>
        <w:spacing w:before="20"/>
        <w:ind w:left="699" w:right="0" w:firstLine="0"/>
        <w:jc w:val="left"/>
        <w:rPr>
          <w:rFonts w:ascii="Calibri" w:hAnsi="Calibri"/>
          <w:b/>
          <w:sz w:val="20"/>
        </w:rPr>
      </w:pPr>
      <w:hyperlink w:history="true" w:anchor="_bookmark40">
        <w:r>
          <w:rPr>
            <w:b/>
            <w:sz w:val="20"/>
          </w:rPr>
          <w:t>Tableau 14</w:t>
        </w:r>
        <w:r>
          <w:rPr>
            <w:b/>
            <w:spacing w:val="-6"/>
            <w:sz w:val="20"/>
          </w:rPr>
          <w:t> </w:t>
        </w:r>
        <w:r>
          <w:rPr>
            <w:b/>
            <w:sz w:val="20"/>
          </w:rPr>
          <w:t>:</w:t>
        </w:r>
        <w:r>
          <w:rPr>
            <w:b/>
            <w:spacing w:val="49"/>
            <w:sz w:val="20"/>
          </w:rPr>
          <w:t> </w:t>
        </w:r>
        <w:r>
          <w:rPr>
            <w:b/>
            <w:sz w:val="20"/>
          </w:rPr>
          <w:t>Améliorations</w:t>
          <w:tab/>
          <w:t>souhaitées    en   matière</w:t>
        </w:r>
        <w:r>
          <w:rPr>
            <w:b/>
            <w:spacing w:val="-12"/>
            <w:sz w:val="20"/>
          </w:rPr>
          <w:t> </w:t>
        </w:r>
        <w:r>
          <w:rPr>
            <w:b/>
            <w:sz w:val="20"/>
          </w:rPr>
          <w:t>de</w:t>
        </w:r>
        <w:r>
          <w:rPr>
            <w:b/>
            <w:spacing w:val="-2"/>
            <w:sz w:val="20"/>
          </w:rPr>
          <w:t> </w:t>
        </w:r>
        <w:r>
          <w:rPr>
            <w:b/>
            <w:sz w:val="20"/>
          </w:rPr>
          <w:t>sécurité</w:t>
          <w:tab/>
        </w:r>
        <w:r>
          <w:rPr>
            <w:rFonts w:ascii="Calibri" w:hAnsi="Calibri"/>
            <w:b/>
            <w:sz w:val="20"/>
          </w:rPr>
          <w:t>49</w:t>
        </w:r>
      </w:hyperlink>
    </w:p>
    <w:p>
      <w:pPr>
        <w:tabs>
          <w:tab w:pos="9894" w:val="left" w:leader="dot"/>
        </w:tabs>
        <w:spacing w:before="20"/>
        <w:ind w:left="699" w:right="0" w:firstLine="0"/>
        <w:jc w:val="left"/>
        <w:rPr>
          <w:rFonts w:ascii="Calibri" w:hAnsi="Calibri"/>
          <w:b/>
          <w:sz w:val="20"/>
        </w:rPr>
      </w:pPr>
      <w:hyperlink w:history="true" w:anchor="_bookmark42">
        <w:r>
          <w:rPr>
            <w:b/>
            <w:sz w:val="20"/>
          </w:rPr>
          <w:t>Tableau 15 : Réaction face à </w:t>
        </w:r>
        <w:r>
          <w:rPr>
            <w:b/>
            <w:spacing w:val="-4"/>
            <w:sz w:val="20"/>
          </w:rPr>
          <w:t>un </w:t>
        </w:r>
        <w:r>
          <w:rPr>
            <w:b/>
            <w:sz w:val="20"/>
          </w:rPr>
          <w:t>manque de sécurité</w:t>
        </w:r>
        <w:r>
          <w:rPr>
            <w:b/>
            <w:spacing w:val="8"/>
            <w:sz w:val="20"/>
          </w:rPr>
          <w:t> </w:t>
        </w:r>
        <w:r>
          <w:rPr>
            <w:b/>
            <w:spacing w:val="-3"/>
            <w:sz w:val="20"/>
          </w:rPr>
          <w:t>sur</w:t>
        </w:r>
        <w:r>
          <w:rPr>
            <w:b/>
            <w:spacing w:val="-2"/>
            <w:sz w:val="20"/>
          </w:rPr>
          <w:t> </w:t>
        </w:r>
        <w:r>
          <w:rPr>
            <w:b/>
            <w:sz w:val="20"/>
          </w:rPr>
          <w:t>BaridiMob</w:t>
          <w:tab/>
        </w:r>
        <w:r>
          <w:rPr>
            <w:rFonts w:ascii="Calibri" w:hAnsi="Calibri"/>
            <w:b/>
            <w:sz w:val="20"/>
          </w:rPr>
          <w:t>49</w:t>
        </w:r>
      </w:hyperlink>
    </w:p>
    <w:p>
      <w:pPr>
        <w:tabs>
          <w:tab w:pos="9894" w:val="left" w:leader="dot"/>
        </w:tabs>
        <w:spacing w:before="20"/>
        <w:ind w:left="699" w:right="0" w:firstLine="0"/>
        <w:jc w:val="left"/>
        <w:rPr>
          <w:rFonts w:ascii="Calibri"/>
          <w:b/>
          <w:sz w:val="20"/>
        </w:rPr>
      </w:pPr>
      <w:hyperlink w:history="true" w:anchor="_bookmark43">
        <w:r>
          <w:rPr>
            <w:b/>
            <w:sz w:val="20"/>
          </w:rPr>
          <w:t>Tableau 16 : Rencontres de dysfonctionnements</w:t>
        </w:r>
        <w:r>
          <w:rPr>
            <w:b/>
            <w:spacing w:val="-11"/>
            <w:sz w:val="20"/>
          </w:rPr>
          <w:t> </w:t>
        </w:r>
        <w:r>
          <w:rPr>
            <w:b/>
            <w:spacing w:val="-3"/>
            <w:sz w:val="20"/>
          </w:rPr>
          <w:t>sur</w:t>
        </w:r>
        <w:r>
          <w:rPr>
            <w:b/>
            <w:spacing w:val="3"/>
            <w:sz w:val="20"/>
          </w:rPr>
          <w:t> </w:t>
        </w:r>
        <w:r>
          <w:rPr>
            <w:b/>
            <w:sz w:val="20"/>
          </w:rPr>
          <w:t>BaridiMob</w:t>
          <w:tab/>
        </w:r>
        <w:r>
          <w:rPr>
            <w:rFonts w:ascii="Calibri"/>
            <w:b/>
            <w:sz w:val="20"/>
          </w:rPr>
          <w:t>50</w:t>
        </w:r>
      </w:hyperlink>
    </w:p>
    <w:p>
      <w:pPr>
        <w:tabs>
          <w:tab w:pos="9894" w:val="left" w:leader="dot"/>
        </w:tabs>
        <w:spacing w:before="20"/>
        <w:ind w:left="699" w:right="0" w:firstLine="0"/>
        <w:jc w:val="left"/>
        <w:rPr>
          <w:rFonts w:ascii="Calibri" w:hAnsi="Calibri"/>
          <w:b/>
          <w:sz w:val="20"/>
        </w:rPr>
      </w:pPr>
      <w:hyperlink w:history="true" w:anchor="_bookmark45">
        <w:r>
          <w:rPr>
            <w:b/>
            <w:sz w:val="20"/>
          </w:rPr>
          <w:t>Tableau 17 : Types </w:t>
        </w:r>
        <w:r>
          <w:rPr>
            <w:b/>
            <w:spacing w:val="-4"/>
            <w:sz w:val="20"/>
          </w:rPr>
          <w:t>de </w:t>
        </w:r>
        <w:r>
          <w:rPr>
            <w:b/>
            <w:sz w:val="20"/>
          </w:rPr>
          <w:t>problèmes techniques</w:t>
        </w:r>
        <w:r>
          <w:rPr>
            <w:b/>
            <w:spacing w:val="1"/>
            <w:sz w:val="20"/>
          </w:rPr>
          <w:t> </w:t>
        </w:r>
        <w:r>
          <w:rPr>
            <w:b/>
            <w:sz w:val="20"/>
          </w:rPr>
          <w:t>rencontrés</w:t>
          <w:tab/>
        </w:r>
        <w:r>
          <w:rPr>
            <w:rFonts w:ascii="Calibri" w:hAnsi="Calibri"/>
            <w:b/>
            <w:sz w:val="20"/>
          </w:rPr>
          <w:t>50</w:t>
        </w:r>
      </w:hyperlink>
    </w:p>
    <w:p>
      <w:pPr>
        <w:tabs>
          <w:tab w:pos="9894" w:val="left" w:leader="dot"/>
        </w:tabs>
        <w:spacing w:before="20"/>
        <w:ind w:left="699" w:right="0" w:firstLine="0"/>
        <w:jc w:val="left"/>
        <w:rPr>
          <w:rFonts w:ascii="Calibri" w:hAnsi="Calibri"/>
          <w:b/>
          <w:sz w:val="20"/>
        </w:rPr>
      </w:pPr>
      <w:hyperlink w:history="true" w:anchor="_bookmark47">
        <w:r>
          <w:rPr>
            <w:b/>
            <w:sz w:val="20"/>
          </w:rPr>
          <w:t>Tableau 18 : </w:t>
        </w:r>
        <w:r>
          <w:rPr>
            <w:b/>
            <w:spacing w:val="-3"/>
            <w:sz w:val="20"/>
          </w:rPr>
          <w:t>Réponse </w:t>
        </w:r>
        <w:r>
          <w:rPr>
            <w:b/>
            <w:sz w:val="20"/>
          </w:rPr>
          <w:t>des usagers face </w:t>
        </w:r>
        <w:r>
          <w:rPr>
            <w:b/>
            <w:spacing w:val="-3"/>
            <w:sz w:val="20"/>
          </w:rPr>
          <w:t>aux </w:t>
        </w:r>
        <w:r>
          <w:rPr>
            <w:b/>
            <w:sz w:val="20"/>
          </w:rPr>
          <w:t>erreurs</w:t>
        </w:r>
        <w:r>
          <w:rPr>
            <w:b/>
            <w:spacing w:val="17"/>
            <w:sz w:val="20"/>
          </w:rPr>
          <w:t> </w:t>
        </w:r>
        <w:r>
          <w:rPr>
            <w:b/>
            <w:spacing w:val="-3"/>
            <w:sz w:val="20"/>
          </w:rPr>
          <w:t>sur</w:t>
        </w:r>
        <w:r>
          <w:rPr>
            <w:b/>
            <w:spacing w:val="1"/>
            <w:sz w:val="20"/>
          </w:rPr>
          <w:t> </w:t>
        </w:r>
        <w:r>
          <w:rPr>
            <w:b/>
            <w:sz w:val="20"/>
          </w:rPr>
          <w:t>BaridiMob</w:t>
          <w:tab/>
        </w:r>
        <w:r>
          <w:rPr>
            <w:rFonts w:ascii="Calibri" w:hAnsi="Calibri"/>
            <w:b/>
            <w:sz w:val="20"/>
          </w:rPr>
          <w:t>51</w:t>
        </w:r>
      </w:hyperlink>
    </w:p>
    <w:p>
      <w:pPr>
        <w:tabs>
          <w:tab w:pos="9894" w:val="left" w:leader="dot"/>
        </w:tabs>
        <w:spacing w:before="19"/>
        <w:ind w:left="699" w:right="0" w:firstLine="0"/>
        <w:jc w:val="left"/>
        <w:rPr>
          <w:rFonts w:ascii="Calibri" w:hAnsi="Calibri"/>
          <w:b/>
          <w:sz w:val="20"/>
        </w:rPr>
      </w:pPr>
      <w:hyperlink w:history="true" w:anchor="_bookmark48">
        <w:r>
          <w:rPr>
            <w:b/>
            <w:sz w:val="20"/>
          </w:rPr>
          <w:t>Tableau 19 : Impact des </w:t>
        </w:r>
        <w:r>
          <w:rPr>
            <w:b/>
            <w:spacing w:val="-3"/>
            <w:sz w:val="20"/>
          </w:rPr>
          <w:t>bugs sur </w:t>
        </w:r>
        <w:r>
          <w:rPr>
            <w:b/>
            <w:sz w:val="20"/>
          </w:rPr>
          <w:t>l’utilisation</w:t>
        </w:r>
        <w:r>
          <w:rPr>
            <w:b/>
            <w:spacing w:val="4"/>
            <w:sz w:val="20"/>
          </w:rPr>
          <w:t> </w:t>
        </w:r>
        <w:r>
          <w:rPr>
            <w:b/>
            <w:sz w:val="20"/>
          </w:rPr>
          <w:t>de</w:t>
        </w:r>
        <w:r>
          <w:rPr>
            <w:b/>
            <w:spacing w:val="-1"/>
            <w:sz w:val="20"/>
          </w:rPr>
          <w:t> </w:t>
        </w:r>
        <w:r>
          <w:rPr>
            <w:b/>
            <w:sz w:val="20"/>
          </w:rPr>
          <w:t>BaridiMob</w:t>
          <w:tab/>
        </w:r>
        <w:r>
          <w:rPr>
            <w:rFonts w:ascii="Calibri" w:hAnsi="Calibri"/>
            <w:b/>
            <w:sz w:val="20"/>
          </w:rPr>
          <w:t>52</w:t>
        </w:r>
      </w:hyperlink>
    </w:p>
    <w:p>
      <w:pPr>
        <w:tabs>
          <w:tab w:pos="9894" w:val="left" w:leader="dot"/>
        </w:tabs>
        <w:spacing w:before="15"/>
        <w:ind w:left="699" w:right="0" w:firstLine="0"/>
        <w:jc w:val="left"/>
        <w:rPr>
          <w:rFonts w:ascii="Calibri" w:hAnsi="Calibri"/>
          <w:b/>
          <w:sz w:val="20"/>
        </w:rPr>
      </w:pPr>
      <w:hyperlink w:history="true" w:anchor="_bookmark49">
        <w:r>
          <w:rPr>
            <w:b/>
            <w:sz w:val="20"/>
          </w:rPr>
          <w:t>Tableau 20 : Fréquence des</w:t>
        </w:r>
        <w:r>
          <w:rPr>
            <w:b/>
            <w:spacing w:val="-12"/>
            <w:sz w:val="20"/>
          </w:rPr>
          <w:t> </w:t>
        </w:r>
        <w:r>
          <w:rPr>
            <w:b/>
            <w:sz w:val="20"/>
          </w:rPr>
          <w:t>indisponibilités constatées</w:t>
          <w:tab/>
        </w:r>
        <w:r>
          <w:rPr>
            <w:rFonts w:ascii="Calibri" w:hAnsi="Calibri"/>
            <w:b/>
            <w:sz w:val="20"/>
          </w:rPr>
          <w:t>52</w:t>
        </w:r>
      </w:hyperlink>
    </w:p>
    <w:p>
      <w:pPr>
        <w:tabs>
          <w:tab w:pos="9894" w:val="left" w:leader="dot"/>
        </w:tabs>
        <w:spacing w:before="21"/>
        <w:ind w:left="699" w:right="0" w:firstLine="0"/>
        <w:jc w:val="left"/>
        <w:rPr>
          <w:rFonts w:ascii="Calibri" w:hAnsi="Calibri"/>
          <w:b/>
          <w:sz w:val="20"/>
        </w:rPr>
      </w:pPr>
      <w:hyperlink w:history="true" w:anchor="_bookmark51">
        <w:r>
          <w:rPr>
            <w:b/>
            <w:sz w:val="20"/>
          </w:rPr>
          <w:t>Tableau 21 :   Répartition  horaire des interruptions</w:t>
        </w:r>
        <w:r>
          <w:rPr>
            <w:b/>
            <w:spacing w:val="-17"/>
            <w:sz w:val="20"/>
          </w:rPr>
          <w:t> </w:t>
        </w:r>
        <w:r>
          <w:rPr>
            <w:b/>
            <w:sz w:val="20"/>
          </w:rPr>
          <w:t>de</w:t>
        </w:r>
        <w:r>
          <w:rPr>
            <w:b/>
            <w:spacing w:val="3"/>
            <w:sz w:val="20"/>
          </w:rPr>
          <w:t> </w:t>
        </w:r>
        <w:r>
          <w:rPr>
            <w:b/>
            <w:sz w:val="20"/>
          </w:rPr>
          <w:t>service</w:t>
          <w:tab/>
        </w:r>
        <w:r>
          <w:rPr>
            <w:rFonts w:ascii="Calibri" w:hAnsi="Calibri"/>
            <w:b/>
            <w:sz w:val="20"/>
          </w:rPr>
          <w:t>53</w:t>
        </w:r>
      </w:hyperlink>
    </w:p>
    <w:p>
      <w:pPr>
        <w:tabs>
          <w:tab w:pos="9894" w:val="left" w:leader="dot"/>
        </w:tabs>
        <w:spacing w:before="20"/>
        <w:ind w:left="699" w:right="0" w:firstLine="0"/>
        <w:jc w:val="left"/>
        <w:rPr>
          <w:rFonts w:ascii="Calibri" w:hAnsi="Calibri"/>
          <w:b/>
          <w:sz w:val="20"/>
        </w:rPr>
      </w:pPr>
      <w:hyperlink w:history="true" w:anchor="_bookmark53">
        <w:r>
          <w:rPr>
            <w:b/>
            <w:sz w:val="20"/>
          </w:rPr>
          <w:t>Tableau 22 : Réactions face à l’indisponibilité</w:t>
        </w:r>
        <w:r>
          <w:rPr>
            <w:b/>
            <w:spacing w:val="-8"/>
            <w:sz w:val="20"/>
          </w:rPr>
          <w:t> </w:t>
        </w:r>
        <w:r>
          <w:rPr>
            <w:b/>
            <w:sz w:val="20"/>
          </w:rPr>
          <w:t>du</w:t>
        </w:r>
        <w:r>
          <w:rPr>
            <w:b/>
            <w:spacing w:val="-5"/>
            <w:sz w:val="20"/>
          </w:rPr>
          <w:t> </w:t>
        </w:r>
        <w:r>
          <w:rPr>
            <w:b/>
            <w:sz w:val="20"/>
          </w:rPr>
          <w:t>service</w:t>
          <w:tab/>
        </w:r>
        <w:r>
          <w:rPr>
            <w:rFonts w:ascii="Calibri" w:hAnsi="Calibri"/>
            <w:b/>
            <w:sz w:val="20"/>
          </w:rPr>
          <w:t>53</w:t>
        </w:r>
      </w:hyperlink>
    </w:p>
    <w:p>
      <w:pPr>
        <w:tabs>
          <w:tab w:pos="9894" w:val="left" w:leader="dot"/>
        </w:tabs>
        <w:spacing w:before="19"/>
        <w:ind w:left="699" w:right="0" w:firstLine="0"/>
        <w:jc w:val="left"/>
        <w:rPr>
          <w:rFonts w:ascii="Calibri" w:hAnsi="Calibri"/>
          <w:b/>
          <w:sz w:val="20"/>
        </w:rPr>
      </w:pPr>
      <w:hyperlink w:history="true" w:anchor="_bookmark54">
        <w:r>
          <w:rPr>
            <w:b/>
            <w:sz w:val="20"/>
          </w:rPr>
          <w:t>Tableau 23 : Impact de l’indisponibilité </w:t>
        </w:r>
        <w:r>
          <w:rPr>
            <w:b/>
            <w:spacing w:val="-3"/>
            <w:sz w:val="20"/>
          </w:rPr>
          <w:t>sur</w:t>
        </w:r>
        <w:r>
          <w:rPr>
            <w:b/>
            <w:spacing w:val="-5"/>
            <w:sz w:val="20"/>
          </w:rPr>
          <w:t> </w:t>
        </w:r>
        <w:r>
          <w:rPr>
            <w:b/>
            <w:sz w:val="20"/>
          </w:rPr>
          <w:t>la</w:t>
        </w:r>
        <w:r>
          <w:rPr>
            <w:b/>
            <w:spacing w:val="-3"/>
            <w:sz w:val="20"/>
          </w:rPr>
          <w:t> </w:t>
        </w:r>
        <w:r>
          <w:rPr>
            <w:b/>
            <w:sz w:val="20"/>
          </w:rPr>
          <w:t>confiance</w:t>
          <w:tab/>
        </w:r>
        <w:r>
          <w:rPr>
            <w:rFonts w:ascii="Calibri" w:hAnsi="Calibri"/>
            <w:b/>
            <w:sz w:val="20"/>
          </w:rPr>
          <w:t>54</w:t>
        </w:r>
      </w:hyperlink>
    </w:p>
    <w:p>
      <w:pPr>
        <w:tabs>
          <w:tab w:pos="9894" w:val="left" w:leader="dot"/>
        </w:tabs>
        <w:spacing w:before="20"/>
        <w:ind w:left="699" w:right="0" w:firstLine="0"/>
        <w:jc w:val="left"/>
        <w:rPr>
          <w:rFonts w:ascii="Calibri" w:hAnsi="Calibri"/>
          <w:b/>
          <w:sz w:val="20"/>
        </w:rPr>
      </w:pPr>
      <w:hyperlink w:history="true" w:anchor="_bookmark56">
        <w:r>
          <w:rPr>
            <w:b/>
            <w:sz w:val="20"/>
          </w:rPr>
          <w:t>Tableau 24 : Fréquence des contacts avec le</w:t>
        </w:r>
        <w:r>
          <w:rPr>
            <w:b/>
            <w:spacing w:val="-14"/>
            <w:sz w:val="20"/>
          </w:rPr>
          <w:t> </w:t>
        </w:r>
        <w:r>
          <w:rPr>
            <w:b/>
            <w:sz w:val="20"/>
          </w:rPr>
          <w:t>service</w:t>
        </w:r>
        <w:r>
          <w:rPr>
            <w:b/>
            <w:spacing w:val="-2"/>
            <w:sz w:val="20"/>
          </w:rPr>
          <w:t> </w:t>
        </w:r>
        <w:r>
          <w:rPr>
            <w:b/>
            <w:sz w:val="20"/>
          </w:rPr>
          <w:t>client</w:t>
          <w:tab/>
        </w:r>
        <w:r>
          <w:rPr>
            <w:rFonts w:ascii="Calibri" w:hAnsi="Calibri"/>
            <w:b/>
            <w:sz w:val="20"/>
          </w:rPr>
          <w:t>54</w:t>
        </w:r>
      </w:hyperlink>
    </w:p>
    <w:p>
      <w:pPr>
        <w:tabs>
          <w:tab w:pos="9894" w:val="left" w:leader="dot"/>
        </w:tabs>
        <w:spacing w:before="20"/>
        <w:ind w:left="699" w:right="0" w:firstLine="0"/>
        <w:jc w:val="left"/>
        <w:rPr>
          <w:rFonts w:ascii="Calibri" w:hAnsi="Calibri"/>
          <w:b/>
          <w:sz w:val="20"/>
        </w:rPr>
      </w:pPr>
      <w:hyperlink w:history="true" w:anchor="_bookmark58">
        <w:r>
          <w:rPr>
            <w:b/>
            <w:sz w:val="20"/>
          </w:rPr>
          <w:t>Tableau 25 : Fréquence d’évaluation du</w:t>
        </w:r>
        <w:r>
          <w:rPr>
            <w:b/>
            <w:spacing w:val="-15"/>
            <w:sz w:val="20"/>
          </w:rPr>
          <w:t> </w:t>
        </w:r>
        <w:r>
          <w:rPr>
            <w:b/>
            <w:sz w:val="20"/>
          </w:rPr>
          <w:t>service</w:t>
        </w:r>
        <w:r>
          <w:rPr>
            <w:b/>
            <w:spacing w:val="-1"/>
            <w:sz w:val="20"/>
          </w:rPr>
          <w:t> </w:t>
        </w:r>
        <w:r>
          <w:rPr>
            <w:b/>
            <w:sz w:val="20"/>
          </w:rPr>
          <w:t>client</w:t>
          <w:tab/>
        </w:r>
        <w:r>
          <w:rPr>
            <w:rFonts w:ascii="Calibri" w:hAnsi="Calibri"/>
            <w:b/>
            <w:sz w:val="20"/>
          </w:rPr>
          <w:t>55</w:t>
        </w:r>
      </w:hyperlink>
    </w:p>
    <w:p>
      <w:pPr>
        <w:tabs>
          <w:tab w:pos="9894" w:val="left" w:leader="dot"/>
        </w:tabs>
        <w:spacing w:before="20"/>
        <w:ind w:left="699" w:right="0" w:firstLine="0"/>
        <w:jc w:val="left"/>
        <w:rPr>
          <w:rFonts w:ascii="Calibri" w:hAnsi="Calibri"/>
          <w:b/>
          <w:sz w:val="20"/>
        </w:rPr>
      </w:pPr>
      <w:hyperlink w:history="true" w:anchor="_bookmark60">
        <w:r>
          <w:rPr>
            <w:b/>
            <w:sz w:val="20"/>
          </w:rPr>
          <w:t>Tableau 26 : Difficultés rencontrées avec le</w:t>
        </w:r>
        <w:r>
          <w:rPr>
            <w:b/>
            <w:spacing w:val="-15"/>
            <w:sz w:val="20"/>
          </w:rPr>
          <w:t> </w:t>
        </w:r>
        <w:r>
          <w:rPr>
            <w:b/>
            <w:sz w:val="20"/>
          </w:rPr>
          <w:t>service</w:t>
        </w:r>
        <w:r>
          <w:rPr>
            <w:b/>
            <w:spacing w:val="-6"/>
            <w:sz w:val="20"/>
          </w:rPr>
          <w:t> </w:t>
        </w:r>
        <w:r>
          <w:rPr>
            <w:b/>
            <w:sz w:val="20"/>
          </w:rPr>
          <w:t>client</w:t>
          <w:tab/>
        </w:r>
        <w:r>
          <w:rPr>
            <w:rFonts w:ascii="Calibri" w:hAnsi="Calibri"/>
            <w:b/>
            <w:sz w:val="20"/>
          </w:rPr>
          <w:t>55</w:t>
        </w:r>
      </w:hyperlink>
    </w:p>
    <w:p>
      <w:pPr>
        <w:tabs>
          <w:tab w:pos="9894" w:val="left" w:leader="dot"/>
        </w:tabs>
        <w:spacing w:before="20"/>
        <w:ind w:left="699" w:right="0" w:firstLine="0"/>
        <w:jc w:val="left"/>
        <w:rPr>
          <w:rFonts w:ascii="Calibri" w:hAnsi="Calibri"/>
          <w:b/>
          <w:sz w:val="20"/>
        </w:rPr>
      </w:pPr>
      <w:hyperlink w:history="true" w:anchor="_bookmark62">
        <w:r>
          <w:rPr>
            <w:b/>
            <w:sz w:val="20"/>
          </w:rPr>
          <w:t>Tableau 27 : Recommandations </w:t>
        </w:r>
        <w:r>
          <w:rPr>
            <w:b/>
            <w:spacing w:val="-3"/>
            <w:sz w:val="20"/>
          </w:rPr>
          <w:t>pour </w:t>
        </w:r>
        <w:r>
          <w:rPr>
            <w:b/>
            <w:sz w:val="20"/>
          </w:rPr>
          <w:t>améliorer le</w:t>
        </w:r>
        <w:r>
          <w:rPr>
            <w:b/>
            <w:spacing w:val="-5"/>
            <w:sz w:val="20"/>
          </w:rPr>
          <w:t> </w:t>
        </w:r>
        <w:r>
          <w:rPr>
            <w:b/>
            <w:sz w:val="20"/>
          </w:rPr>
          <w:t>support client</w:t>
          <w:tab/>
        </w:r>
        <w:r>
          <w:rPr>
            <w:rFonts w:ascii="Calibri" w:hAnsi="Calibri"/>
            <w:b/>
            <w:sz w:val="20"/>
          </w:rPr>
          <w:t>56</w:t>
        </w:r>
      </w:hyperlink>
    </w:p>
    <w:p>
      <w:pPr>
        <w:tabs>
          <w:tab w:pos="9894" w:val="left" w:leader="dot"/>
        </w:tabs>
        <w:spacing w:before="20"/>
        <w:ind w:left="699" w:right="0" w:firstLine="0"/>
        <w:jc w:val="left"/>
        <w:rPr>
          <w:rFonts w:ascii="Calibri" w:hAnsi="Calibri"/>
          <w:b/>
          <w:sz w:val="20"/>
        </w:rPr>
      </w:pPr>
      <w:hyperlink w:history="true" w:anchor="_bookmark64">
        <w:r>
          <w:rPr>
            <w:b/>
            <w:sz w:val="20"/>
          </w:rPr>
          <w:t>Tableau 28: Niveau de vérification de la variable en fonction du</w:t>
        </w:r>
        <w:r>
          <w:rPr>
            <w:b/>
            <w:spacing w:val="-19"/>
            <w:sz w:val="20"/>
          </w:rPr>
          <w:t> </w:t>
        </w:r>
        <w:r>
          <w:rPr>
            <w:b/>
            <w:sz w:val="20"/>
          </w:rPr>
          <w:t>poids relatif</w:t>
          <w:tab/>
        </w:r>
        <w:r>
          <w:rPr>
            <w:rFonts w:ascii="Calibri" w:hAnsi="Calibri"/>
            <w:b/>
            <w:sz w:val="20"/>
          </w:rPr>
          <w:t>56</w:t>
        </w:r>
      </w:hyperlink>
    </w:p>
    <w:p>
      <w:pPr>
        <w:tabs>
          <w:tab w:pos="9894" w:val="left" w:leader="dot"/>
        </w:tabs>
        <w:spacing w:before="15"/>
        <w:ind w:left="699" w:right="0" w:firstLine="0"/>
        <w:jc w:val="left"/>
        <w:rPr>
          <w:rFonts w:ascii="Calibri" w:hAnsi="Calibri"/>
          <w:b/>
          <w:sz w:val="20"/>
        </w:rPr>
      </w:pPr>
      <w:hyperlink w:history="true" w:anchor="_bookmark65">
        <w:r>
          <w:rPr>
            <w:b/>
            <w:sz w:val="20"/>
          </w:rPr>
          <w:t>Tableau 29: Statistiques descriptives </w:t>
        </w:r>
        <w:r>
          <w:rPr>
            <w:b/>
            <w:spacing w:val="-3"/>
            <w:sz w:val="20"/>
          </w:rPr>
          <w:t>sur </w:t>
        </w:r>
        <w:r>
          <w:rPr>
            <w:b/>
            <w:sz w:val="20"/>
          </w:rPr>
          <w:t>l’expérience utilisateur</w:t>
        </w:r>
        <w:r>
          <w:rPr>
            <w:b/>
            <w:spacing w:val="-5"/>
            <w:sz w:val="20"/>
          </w:rPr>
          <w:t> </w:t>
        </w:r>
        <w:r>
          <w:rPr>
            <w:b/>
            <w:sz w:val="20"/>
          </w:rPr>
          <w:t>de</w:t>
        </w:r>
        <w:r>
          <w:rPr>
            <w:b/>
            <w:spacing w:val="-7"/>
            <w:sz w:val="20"/>
          </w:rPr>
          <w:t> </w:t>
        </w:r>
        <w:r>
          <w:rPr>
            <w:b/>
            <w:sz w:val="20"/>
          </w:rPr>
          <w:t>BaridiMob</w:t>
          <w:tab/>
        </w:r>
        <w:r>
          <w:rPr>
            <w:rFonts w:ascii="Calibri" w:hAnsi="Calibri"/>
            <w:b/>
            <w:sz w:val="20"/>
          </w:rPr>
          <w:t>57</w:t>
        </w:r>
      </w:hyperlink>
    </w:p>
    <w:p>
      <w:pPr>
        <w:tabs>
          <w:tab w:pos="9894" w:val="left" w:leader="dot"/>
        </w:tabs>
        <w:spacing w:before="20"/>
        <w:ind w:left="699" w:right="0" w:firstLine="0"/>
        <w:jc w:val="left"/>
        <w:rPr>
          <w:rFonts w:ascii="Calibri" w:hAnsi="Calibri"/>
          <w:b/>
          <w:sz w:val="20"/>
        </w:rPr>
      </w:pPr>
      <w:hyperlink w:history="true" w:anchor="_bookmark66">
        <w:r>
          <w:rPr>
            <w:b/>
            <w:sz w:val="20"/>
          </w:rPr>
          <w:t>Tableau 30 : Évaluation de l’expérience des utilisateurs </w:t>
        </w:r>
        <w:r>
          <w:rPr>
            <w:b/>
            <w:spacing w:val="-3"/>
            <w:sz w:val="20"/>
          </w:rPr>
          <w:t>par </w:t>
        </w:r>
        <w:r>
          <w:rPr>
            <w:b/>
            <w:sz w:val="20"/>
          </w:rPr>
          <w:t>rapport à</w:t>
        </w:r>
        <w:r>
          <w:rPr>
            <w:b/>
            <w:spacing w:val="-6"/>
            <w:sz w:val="20"/>
          </w:rPr>
          <w:t> </w:t>
        </w:r>
        <w:r>
          <w:rPr>
            <w:b/>
            <w:sz w:val="20"/>
          </w:rPr>
          <w:t>la</w:t>
        </w:r>
        <w:r>
          <w:rPr>
            <w:b/>
            <w:spacing w:val="-3"/>
            <w:sz w:val="20"/>
          </w:rPr>
          <w:t> </w:t>
        </w:r>
        <w:r>
          <w:rPr>
            <w:b/>
            <w:sz w:val="20"/>
          </w:rPr>
          <w:t>sécurité</w:t>
          <w:tab/>
        </w:r>
        <w:r>
          <w:rPr>
            <w:rFonts w:ascii="Calibri" w:hAnsi="Calibri"/>
            <w:b/>
            <w:sz w:val="20"/>
          </w:rPr>
          <w:t>59</w:t>
        </w:r>
      </w:hyperlink>
    </w:p>
    <w:p>
      <w:pPr>
        <w:tabs>
          <w:tab w:pos="9894" w:val="left" w:leader="dot"/>
        </w:tabs>
        <w:spacing w:before="20"/>
        <w:ind w:left="699" w:right="0" w:firstLine="0"/>
        <w:jc w:val="left"/>
        <w:rPr>
          <w:rFonts w:ascii="Calibri" w:hAnsi="Calibri"/>
          <w:b/>
          <w:sz w:val="20"/>
        </w:rPr>
      </w:pPr>
      <w:hyperlink w:history="true" w:anchor="_bookmark67">
        <w:r>
          <w:rPr>
            <w:b/>
            <w:sz w:val="20"/>
          </w:rPr>
          <w:t>Tableau 31 : Évaluation de l’expérience des utilisateurs </w:t>
        </w:r>
        <w:r>
          <w:rPr>
            <w:b/>
            <w:spacing w:val="-3"/>
            <w:sz w:val="20"/>
          </w:rPr>
          <w:t>par </w:t>
        </w:r>
        <w:r>
          <w:rPr>
            <w:b/>
            <w:sz w:val="20"/>
          </w:rPr>
          <w:t>rapport</w:t>
        </w:r>
        <w:r>
          <w:rPr>
            <w:b/>
            <w:spacing w:val="-5"/>
            <w:sz w:val="20"/>
          </w:rPr>
          <w:t> </w:t>
        </w:r>
        <w:r>
          <w:rPr>
            <w:b/>
            <w:spacing w:val="-3"/>
            <w:sz w:val="20"/>
          </w:rPr>
          <w:t>aux </w:t>
        </w:r>
        <w:r>
          <w:rPr>
            <w:b/>
            <w:sz w:val="20"/>
          </w:rPr>
          <w:t>bugs</w:t>
          <w:tab/>
        </w:r>
        <w:r>
          <w:rPr>
            <w:rFonts w:ascii="Calibri" w:hAnsi="Calibri"/>
            <w:b/>
            <w:sz w:val="20"/>
          </w:rPr>
          <w:t>59</w:t>
        </w:r>
      </w:hyperlink>
    </w:p>
    <w:p>
      <w:pPr>
        <w:spacing w:before="20"/>
        <w:ind w:left="699" w:right="0" w:firstLine="0"/>
        <w:jc w:val="left"/>
        <w:rPr>
          <w:rFonts w:ascii="Calibri" w:hAnsi="Calibri"/>
          <w:b/>
          <w:sz w:val="20"/>
        </w:rPr>
      </w:pPr>
      <w:hyperlink w:history="true" w:anchor="_bookmark68">
        <w:r>
          <w:rPr>
            <w:b/>
            <w:sz w:val="20"/>
          </w:rPr>
          <w:t>Tableau 32 : Évaluation de l’expérience des utilisateurs </w:t>
        </w:r>
        <w:r>
          <w:rPr>
            <w:b/>
            <w:spacing w:val="-3"/>
            <w:sz w:val="20"/>
          </w:rPr>
          <w:t>par </w:t>
        </w:r>
        <w:r>
          <w:rPr>
            <w:b/>
            <w:sz w:val="20"/>
          </w:rPr>
          <w:t>rapport l’indisponibilité du service BaridiMob</w:t>
        </w:r>
        <w:r>
          <w:rPr>
            <w:b/>
            <w:spacing w:val="-25"/>
            <w:sz w:val="20"/>
          </w:rPr>
          <w:t> </w:t>
        </w:r>
        <w:r>
          <w:rPr>
            <w:rFonts w:ascii="Calibri" w:hAnsi="Calibri"/>
            <w:b/>
            <w:spacing w:val="3"/>
            <w:sz w:val="20"/>
          </w:rPr>
          <w:t>.60</w:t>
        </w:r>
      </w:hyperlink>
    </w:p>
    <w:p>
      <w:pPr>
        <w:tabs>
          <w:tab w:pos="9894" w:val="left" w:leader="dot"/>
        </w:tabs>
        <w:spacing w:before="20"/>
        <w:ind w:left="699" w:right="0" w:firstLine="0"/>
        <w:jc w:val="left"/>
        <w:rPr>
          <w:rFonts w:ascii="Calibri" w:hAnsi="Calibri"/>
          <w:b/>
          <w:sz w:val="20"/>
        </w:rPr>
      </w:pPr>
      <w:hyperlink w:history="true" w:anchor="_bookmark69">
        <w:r>
          <w:rPr>
            <w:b/>
            <w:sz w:val="20"/>
          </w:rPr>
          <w:t>Tableau 33:Évaluation de l’expérience des utilisateurs </w:t>
        </w:r>
        <w:r>
          <w:rPr>
            <w:b/>
            <w:spacing w:val="-3"/>
            <w:sz w:val="20"/>
          </w:rPr>
          <w:t>par </w:t>
        </w:r>
        <w:r>
          <w:rPr>
            <w:b/>
            <w:sz w:val="20"/>
          </w:rPr>
          <w:t>la rapidité de réponse du</w:t>
        </w:r>
        <w:r>
          <w:rPr>
            <w:b/>
            <w:spacing w:val="-16"/>
            <w:sz w:val="20"/>
          </w:rPr>
          <w:t> </w:t>
        </w:r>
        <w:r>
          <w:rPr>
            <w:b/>
            <w:sz w:val="20"/>
          </w:rPr>
          <w:t>service</w:t>
        </w:r>
        <w:r>
          <w:rPr>
            <w:b/>
            <w:spacing w:val="-2"/>
            <w:sz w:val="20"/>
          </w:rPr>
          <w:t> </w:t>
        </w:r>
        <w:r>
          <w:rPr>
            <w:b/>
            <w:sz w:val="20"/>
          </w:rPr>
          <w:t>client</w:t>
          <w:tab/>
        </w:r>
        <w:r>
          <w:rPr>
            <w:rFonts w:ascii="Calibri" w:hAnsi="Calibri"/>
            <w:b/>
            <w:sz w:val="20"/>
          </w:rPr>
          <w:t>61</w:t>
        </w:r>
      </w:hyperlink>
    </w:p>
    <w:p>
      <w:pPr>
        <w:tabs>
          <w:tab w:pos="9894" w:val="left" w:leader="dot"/>
        </w:tabs>
        <w:spacing w:before="20"/>
        <w:ind w:left="699" w:right="0" w:firstLine="0"/>
        <w:jc w:val="left"/>
        <w:rPr>
          <w:rFonts w:ascii="Calibri" w:hAnsi="Calibri"/>
          <w:b/>
          <w:sz w:val="20"/>
        </w:rPr>
      </w:pPr>
      <w:hyperlink w:history="true" w:anchor="_bookmark70">
        <w:r>
          <w:rPr>
            <w:b/>
            <w:sz w:val="20"/>
          </w:rPr>
          <w:t>Tableau 34  : Analyse des liens entre sécurité, confiance, confidentialité</w:t>
        </w:r>
        <w:r>
          <w:rPr>
            <w:b/>
            <w:spacing w:val="-29"/>
            <w:sz w:val="20"/>
          </w:rPr>
          <w:t> </w:t>
        </w:r>
        <w:r>
          <w:rPr>
            <w:b/>
            <w:sz w:val="20"/>
          </w:rPr>
          <w:t>et</w:t>
        </w:r>
        <w:r>
          <w:rPr>
            <w:b/>
            <w:spacing w:val="1"/>
            <w:sz w:val="20"/>
          </w:rPr>
          <w:t> </w:t>
        </w:r>
        <w:r>
          <w:rPr>
            <w:b/>
            <w:sz w:val="20"/>
          </w:rPr>
          <w:t>satisfaction</w:t>
          <w:tab/>
        </w:r>
        <w:r>
          <w:rPr>
            <w:rFonts w:ascii="Calibri" w:hAnsi="Calibri"/>
            <w:b/>
            <w:sz w:val="20"/>
          </w:rPr>
          <w:t>62</w:t>
        </w:r>
      </w:hyperlink>
    </w:p>
    <w:p>
      <w:pPr>
        <w:tabs>
          <w:tab w:pos="9894" w:val="left" w:leader="dot"/>
        </w:tabs>
        <w:spacing w:before="20"/>
        <w:ind w:left="699" w:right="0" w:firstLine="0"/>
        <w:jc w:val="left"/>
        <w:rPr>
          <w:rFonts w:ascii="Calibri" w:hAnsi="Calibri"/>
          <w:b/>
          <w:sz w:val="20"/>
        </w:rPr>
      </w:pPr>
      <w:hyperlink w:history="true" w:anchor="_bookmark71">
        <w:r>
          <w:rPr>
            <w:b/>
            <w:sz w:val="20"/>
          </w:rPr>
          <w:t>Tableau 35 : Modèle de régression linéaire </w:t>
        </w:r>
        <w:r>
          <w:rPr>
            <w:b/>
            <w:spacing w:val="-3"/>
            <w:sz w:val="20"/>
          </w:rPr>
          <w:t>sur </w:t>
        </w:r>
        <w:r>
          <w:rPr>
            <w:b/>
            <w:sz w:val="20"/>
          </w:rPr>
          <w:t>la satisfaction des utilisateurs</w:t>
        </w:r>
        <w:r>
          <w:rPr>
            <w:b/>
            <w:spacing w:val="-11"/>
            <w:sz w:val="20"/>
          </w:rPr>
          <w:t> </w:t>
        </w:r>
        <w:r>
          <w:rPr>
            <w:b/>
            <w:sz w:val="20"/>
          </w:rPr>
          <w:t>de</w:t>
        </w:r>
        <w:r>
          <w:rPr>
            <w:b/>
            <w:spacing w:val="-2"/>
            <w:sz w:val="20"/>
          </w:rPr>
          <w:t> </w:t>
        </w:r>
        <w:r>
          <w:rPr>
            <w:b/>
            <w:sz w:val="20"/>
          </w:rPr>
          <w:t>BaridiMob</w:t>
          <w:tab/>
        </w:r>
        <w:r>
          <w:rPr>
            <w:rFonts w:ascii="Calibri" w:hAnsi="Calibri"/>
            <w:b/>
            <w:sz w:val="20"/>
          </w:rPr>
          <w:t>63</w:t>
        </w:r>
      </w:hyperlink>
    </w:p>
    <w:p>
      <w:pPr>
        <w:tabs>
          <w:tab w:pos="9894" w:val="left" w:leader="dot"/>
        </w:tabs>
        <w:spacing w:before="20"/>
        <w:ind w:left="699" w:right="0" w:firstLine="0"/>
        <w:jc w:val="left"/>
        <w:rPr>
          <w:rFonts w:ascii="Calibri" w:hAnsi="Calibri"/>
          <w:b/>
          <w:sz w:val="20"/>
        </w:rPr>
      </w:pPr>
      <w:hyperlink w:history="true" w:anchor="_bookmark72">
        <w:r>
          <w:rPr>
            <w:b/>
            <w:sz w:val="20"/>
          </w:rPr>
          <w:t>Tableau 36 : Analyse de la variance (ANOVA) du modèle</w:t>
        </w:r>
        <w:r>
          <w:rPr>
            <w:b/>
            <w:spacing w:val="-22"/>
            <w:sz w:val="20"/>
          </w:rPr>
          <w:t> </w:t>
        </w:r>
        <w:r>
          <w:rPr>
            <w:b/>
            <w:sz w:val="20"/>
          </w:rPr>
          <w:t>de</w:t>
        </w:r>
        <w:r>
          <w:rPr>
            <w:b/>
            <w:spacing w:val="3"/>
            <w:sz w:val="20"/>
          </w:rPr>
          <w:t> </w:t>
        </w:r>
        <w:r>
          <w:rPr>
            <w:b/>
            <w:sz w:val="20"/>
          </w:rPr>
          <w:t>régression</w:t>
          <w:tab/>
        </w:r>
        <w:r>
          <w:rPr>
            <w:rFonts w:ascii="Calibri" w:hAnsi="Calibri"/>
            <w:b/>
            <w:sz w:val="20"/>
          </w:rPr>
          <w:t>63</w:t>
        </w:r>
      </w:hyperlink>
    </w:p>
    <w:p>
      <w:pPr>
        <w:tabs>
          <w:tab w:pos="9894" w:val="left" w:leader="dot"/>
        </w:tabs>
        <w:spacing w:before="20"/>
        <w:ind w:left="699" w:right="0" w:firstLine="0"/>
        <w:jc w:val="left"/>
        <w:rPr>
          <w:rFonts w:ascii="Calibri" w:hAnsi="Calibri"/>
          <w:b/>
          <w:sz w:val="20"/>
        </w:rPr>
      </w:pPr>
      <w:hyperlink w:history="true" w:anchor="_bookmark73">
        <w:r>
          <w:rPr>
            <w:b/>
            <w:sz w:val="20"/>
          </w:rPr>
          <w:t>Tableau 37 : Tableau des coefficients </w:t>
        </w:r>
        <w:r>
          <w:rPr>
            <w:b/>
            <w:spacing w:val="-4"/>
            <w:sz w:val="20"/>
          </w:rPr>
          <w:t>de</w:t>
        </w:r>
        <w:r>
          <w:rPr>
            <w:b/>
            <w:spacing w:val="-10"/>
            <w:sz w:val="20"/>
          </w:rPr>
          <w:t> </w:t>
        </w:r>
        <w:r>
          <w:rPr>
            <w:b/>
            <w:sz w:val="20"/>
          </w:rPr>
          <w:t>régression</w:t>
        </w:r>
        <w:r>
          <w:rPr>
            <w:b/>
            <w:spacing w:val="1"/>
            <w:sz w:val="20"/>
          </w:rPr>
          <w:t> </w:t>
        </w:r>
        <w:r>
          <w:rPr>
            <w:b/>
            <w:sz w:val="20"/>
          </w:rPr>
          <w:t>linéaire</w:t>
          <w:tab/>
        </w:r>
        <w:r>
          <w:rPr>
            <w:rFonts w:ascii="Calibri" w:hAnsi="Calibri"/>
            <w:b/>
            <w:sz w:val="20"/>
          </w:rPr>
          <w:t>63</w:t>
        </w:r>
      </w:hyperlink>
    </w:p>
    <w:p>
      <w:pPr>
        <w:tabs>
          <w:tab w:pos="9894" w:val="left" w:leader="dot"/>
        </w:tabs>
        <w:spacing w:before="15"/>
        <w:ind w:left="699" w:right="0" w:firstLine="0"/>
        <w:jc w:val="left"/>
        <w:rPr>
          <w:rFonts w:ascii="Calibri"/>
          <w:b/>
          <w:sz w:val="20"/>
        </w:rPr>
      </w:pPr>
      <w:r>
        <w:rPr>
          <w:b/>
          <w:sz w:val="20"/>
        </w:rPr>
        <w:t>Tableau 38 : Tableaux</w:t>
      </w:r>
      <w:r>
        <w:rPr>
          <w:b/>
          <w:spacing w:val="-12"/>
          <w:sz w:val="20"/>
        </w:rPr>
        <w:t> </w:t>
      </w:r>
      <w:r>
        <w:rPr>
          <w:b/>
          <w:sz w:val="20"/>
        </w:rPr>
        <w:t>des investissements</w:t>
        <w:tab/>
      </w:r>
      <w:r>
        <w:rPr>
          <w:rFonts w:ascii="Calibri"/>
          <w:b/>
          <w:sz w:val="20"/>
        </w:rPr>
        <w:t>93</w:t>
      </w:r>
    </w:p>
    <w:p>
      <w:pPr>
        <w:tabs>
          <w:tab w:pos="9894" w:val="left" w:leader="dot"/>
        </w:tabs>
        <w:spacing w:before="20"/>
        <w:ind w:left="699" w:right="0" w:firstLine="0"/>
        <w:jc w:val="left"/>
        <w:rPr>
          <w:rFonts w:ascii="Calibri"/>
          <w:b/>
          <w:sz w:val="20"/>
        </w:rPr>
      </w:pPr>
      <w:r>
        <w:rPr>
          <w:b/>
          <w:sz w:val="20"/>
        </w:rPr>
        <w:t>Tableau 39 : Tableaux des</w:t>
      </w:r>
      <w:r>
        <w:rPr>
          <w:b/>
          <w:spacing w:val="-8"/>
          <w:sz w:val="20"/>
        </w:rPr>
        <w:t> </w:t>
      </w:r>
      <w:r>
        <w:rPr>
          <w:b/>
          <w:sz w:val="20"/>
        </w:rPr>
        <w:t>achats</w:t>
      </w:r>
      <w:r>
        <w:rPr>
          <w:b/>
          <w:spacing w:val="1"/>
          <w:sz w:val="20"/>
        </w:rPr>
        <w:t> </w:t>
      </w:r>
      <w:r>
        <w:rPr>
          <w:b/>
          <w:sz w:val="20"/>
        </w:rPr>
        <w:t>directs</w:t>
        <w:tab/>
      </w:r>
      <w:r>
        <w:rPr>
          <w:rFonts w:ascii="Calibri"/>
          <w:b/>
          <w:sz w:val="20"/>
        </w:rPr>
        <w:t>94</w:t>
      </w:r>
    </w:p>
    <w:p>
      <w:pPr>
        <w:tabs>
          <w:tab w:pos="9894" w:val="left" w:leader="dot"/>
        </w:tabs>
        <w:spacing w:before="20"/>
        <w:ind w:left="699" w:right="0" w:firstLine="0"/>
        <w:jc w:val="left"/>
        <w:rPr>
          <w:rFonts w:ascii="Calibri"/>
          <w:b/>
          <w:sz w:val="20"/>
        </w:rPr>
      </w:pPr>
      <w:r>
        <w:rPr>
          <w:b/>
          <w:sz w:val="20"/>
        </w:rPr>
        <w:t>Tableau 40 : Tableau des</w:t>
      </w:r>
      <w:r>
        <w:rPr>
          <w:b/>
          <w:spacing w:val="-10"/>
          <w:sz w:val="20"/>
        </w:rPr>
        <w:t> </w:t>
      </w:r>
      <w:r>
        <w:rPr>
          <w:b/>
          <w:sz w:val="20"/>
        </w:rPr>
        <w:t>charges</w:t>
      </w:r>
      <w:r>
        <w:rPr>
          <w:b/>
          <w:spacing w:val="2"/>
          <w:sz w:val="20"/>
        </w:rPr>
        <w:t> </w:t>
      </w:r>
      <w:r>
        <w:rPr>
          <w:b/>
          <w:sz w:val="20"/>
        </w:rPr>
        <w:t>externes</w:t>
        <w:tab/>
      </w:r>
      <w:r>
        <w:rPr>
          <w:rFonts w:ascii="Calibri"/>
          <w:b/>
          <w:sz w:val="20"/>
        </w:rPr>
        <w:t>94</w:t>
      </w:r>
    </w:p>
    <w:p>
      <w:pPr>
        <w:tabs>
          <w:tab w:pos="9894" w:val="left" w:leader="dot"/>
        </w:tabs>
        <w:spacing w:before="20"/>
        <w:ind w:left="699" w:right="0" w:firstLine="0"/>
        <w:jc w:val="left"/>
        <w:rPr>
          <w:rFonts w:ascii="Calibri" w:hAnsi="Calibri"/>
          <w:b/>
          <w:sz w:val="20"/>
        </w:rPr>
      </w:pPr>
      <w:r>
        <w:rPr>
          <w:b/>
          <w:sz w:val="20"/>
        </w:rPr>
        <w:t>Tableau 41 : Tableau du</w:t>
      </w:r>
      <w:r>
        <w:rPr>
          <w:b/>
          <w:spacing w:val="-9"/>
          <w:sz w:val="20"/>
        </w:rPr>
        <w:t> </w:t>
      </w:r>
      <w:r>
        <w:rPr>
          <w:b/>
          <w:sz w:val="20"/>
        </w:rPr>
        <w:t>chiffre d’affaires</w:t>
        <w:tab/>
      </w:r>
      <w:r>
        <w:rPr>
          <w:rFonts w:ascii="Calibri" w:hAnsi="Calibri"/>
          <w:b/>
          <w:sz w:val="20"/>
        </w:rPr>
        <w:t>95</w:t>
      </w:r>
    </w:p>
    <w:p>
      <w:pPr>
        <w:tabs>
          <w:tab w:pos="9894" w:val="left" w:leader="dot"/>
        </w:tabs>
        <w:spacing w:before="20"/>
        <w:ind w:left="699" w:right="0" w:firstLine="0"/>
        <w:jc w:val="left"/>
        <w:rPr>
          <w:rFonts w:ascii="Calibri"/>
          <w:b/>
          <w:sz w:val="20"/>
        </w:rPr>
      </w:pPr>
      <w:r>
        <w:rPr>
          <w:b/>
          <w:sz w:val="20"/>
        </w:rPr>
        <w:t>Tableau 42 : Tableau</w:t>
      </w:r>
      <w:r>
        <w:rPr>
          <w:b/>
          <w:spacing w:val="-8"/>
          <w:sz w:val="20"/>
        </w:rPr>
        <w:t> </w:t>
      </w:r>
      <w:r>
        <w:rPr>
          <w:b/>
          <w:sz w:val="20"/>
        </w:rPr>
        <w:t>du</w:t>
      </w:r>
      <w:r>
        <w:rPr>
          <w:b/>
          <w:spacing w:val="-2"/>
          <w:sz w:val="20"/>
        </w:rPr>
        <w:t> </w:t>
      </w:r>
      <w:r>
        <w:rPr>
          <w:b/>
          <w:sz w:val="20"/>
        </w:rPr>
        <w:t>TCR</w:t>
        <w:tab/>
      </w:r>
      <w:r>
        <w:rPr>
          <w:rFonts w:ascii="Calibri"/>
          <w:b/>
          <w:sz w:val="20"/>
        </w:rPr>
        <w:t>97</w:t>
      </w:r>
    </w:p>
    <w:p>
      <w:pPr>
        <w:tabs>
          <w:tab w:pos="9894" w:val="left" w:leader="dot"/>
        </w:tabs>
        <w:spacing w:before="19"/>
        <w:ind w:left="699" w:right="0" w:firstLine="0"/>
        <w:jc w:val="left"/>
        <w:rPr>
          <w:rFonts w:ascii="Calibri" w:hAnsi="Calibri"/>
          <w:b/>
          <w:sz w:val="20"/>
        </w:rPr>
      </w:pPr>
      <w:r>
        <w:rPr>
          <w:b/>
          <w:sz w:val="20"/>
        </w:rPr>
        <w:t>Tableau 43 : Tableau des flux</w:t>
      </w:r>
      <w:r>
        <w:rPr>
          <w:b/>
          <w:spacing w:val="-15"/>
          <w:sz w:val="20"/>
        </w:rPr>
        <w:t> </w:t>
      </w:r>
      <w:r>
        <w:rPr>
          <w:b/>
          <w:sz w:val="20"/>
        </w:rPr>
        <w:t>de</w:t>
      </w:r>
      <w:r>
        <w:rPr>
          <w:b/>
          <w:spacing w:val="4"/>
          <w:sz w:val="20"/>
        </w:rPr>
        <w:t> </w:t>
      </w:r>
      <w:r>
        <w:rPr>
          <w:b/>
          <w:sz w:val="20"/>
        </w:rPr>
        <w:t>trésorerie</w:t>
        <w:tab/>
      </w:r>
      <w:r>
        <w:rPr>
          <w:rFonts w:ascii="Calibri" w:hAnsi="Calibri"/>
          <w:b/>
          <w:sz w:val="20"/>
        </w:rPr>
        <w:t>98</w:t>
      </w:r>
    </w:p>
    <w:p>
      <w:pPr>
        <w:tabs>
          <w:tab w:pos="9894" w:val="left" w:leader="dot"/>
        </w:tabs>
        <w:spacing w:before="20"/>
        <w:ind w:left="699" w:right="0" w:firstLine="0"/>
        <w:jc w:val="left"/>
        <w:rPr>
          <w:rFonts w:ascii="Calibri" w:hAnsi="Calibri"/>
          <w:b/>
          <w:sz w:val="20"/>
        </w:rPr>
      </w:pPr>
      <w:r>
        <w:rPr>
          <w:b/>
          <w:sz w:val="20"/>
        </w:rPr>
        <w:t>Tableau 44 : Tableau</w:t>
      </w:r>
      <w:r>
        <w:rPr>
          <w:b/>
          <w:spacing w:val="-12"/>
          <w:sz w:val="20"/>
        </w:rPr>
        <w:t> </w:t>
      </w:r>
      <w:r>
        <w:rPr>
          <w:b/>
          <w:sz w:val="20"/>
        </w:rPr>
        <w:t>de</w:t>
      </w:r>
      <w:r>
        <w:rPr>
          <w:b/>
          <w:spacing w:val="4"/>
          <w:sz w:val="20"/>
        </w:rPr>
        <w:t> </w:t>
      </w:r>
      <w:r>
        <w:rPr>
          <w:b/>
          <w:sz w:val="20"/>
        </w:rPr>
        <w:t>synthèse</w:t>
        <w:tab/>
      </w:r>
      <w:r>
        <w:rPr>
          <w:rFonts w:ascii="Calibri" w:hAnsi="Calibri"/>
          <w:b/>
          <w:sz w:val="20"/>
        </w:rPr>
        <w:t>99</w:t>
      </w:r>
    </w:p>
    <w:p>
      <w:pPr>
        <w:spacing w:after="0"/>
        <w:jc w:val="left"/>
        <w:rPr>
          <w:rFonts w:ascii="Calibri" w:hAnsi="Calibri"/>
          <w:sz w:val="20"/>
        </w:rPr>
        <w:sectPr>
          <w:headerReference w:type="default" r:id="rId13"/>
          <w:headerReference w:type="even" r:id="rId14"/>
          <w:pgSz w:w="12240" w:h="15840"/>
          <w:pgMar w:header="727" w:footer="0" w:top="1080" w:bottom="280" w:left="1000" w:right="820"/>
        </w:sectPr>
      </w:pPr>
    </w:p>
    <w:p>
      <w:pPr>
        <w:pStyle w:val="BodyText"/>
        <w:rPr>
          <w:rFonts w:ascii="Calibri"/>
          <w:b/>
          <w:sz w:val="20"/>
        </w:rPr>
      </w:pPr>
    </w:p>
    <w:p>
      <w:pPr>
        <w:pStyle w:val="BodyText"/>
        <w:spacing w:before="11"/>
        <w:rPr>
          <w:rFonts w:ascii="Calibri"/>
          <w:b/>
          <w:sz w:val="15"/>
        </w:rPr>
      </w:pPr>
    </w:p>
    <w:p>
      <w:pPr>
        <w:pStyle w:val="Heading1"/>
        <w:ind w:left="562"/>
      </w:pPr>
      <w:bookmarkStart w:name="Liste des abréviations" w:id="9"/>
      <w:bookmarkEnd w:id="9"/>
      <w:r>
        <w:rPr>
          <w:b w:val="0"/>
        </w:rPr>
      </w:r>
      <w:bookmarkStart w:name="_bookmark4" w:id="10"/>
      <w:bookmarkEnd w:id="10"/>
      <w:r>
        <w:rPr>
          <w:b w:val="0"/>
        </w:rPr>
      </w:r>
      <w:r>
        <w:rPr/>
        <w:t>Liste des abréviations</w:t>
      </w:r>
    </w:p>
    <w:p>
      <w:pPr>
        <w:pStyle w:val="BodyText"/>
        <w:rPr>
          <w:b/>
          <w:sz w:val="20"/>
        </w:rPr>
      </w:pPr>
    </w:p>
    <w:p>
      <w:pPr>
        <w:pStyle w:val="BodyText"/>
        <w:rPr>
          <w:b/>
          <w:sz w:val="20"/>
        </w:rPr>
      </w:pPr>
    </w:p>
    <w:p>
      <w:pPr>
        <w:pStyle w:val="BodyText"/>
        <w:spacing w:before="10"/>
        <w:rPr>
          <w:b/>
          <w:sz w:val="28"/>
        </w:rPr>
      </w:pPr>
    </w:p>
    <w:tbl>
      <w:tblPr>
        <w:tblW w:w="0" w:type="auto"/>
        <w:jc w:val="left"/>
        <w:tblInd w:w="8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4"/>
        <w:gridCol w:w="7207"/>
      </w:tblGrid>
      <w:tr>
        <w:trPr>
          <w:trHeight w:val="273" w:hRule="atLeast"/>
        </w:trPr>
        <w:tc>
          <w:tcPr>
            <w:tcW w:w="1724" w:type="dxa"/>
          </w:tcPr>
          <w:p>
            <w:pPr>
              <w:pStyle w:val="TableParagraph"/>
              <w:spacing w:line="253" w:lineRule="exact"/>
              <w:ind w:left="197"/>
              <w:jc w:val="left"/>
              <w:rPr>
                <w:b/>
                <w:sz w:val="24"/>
              </w:rPr>
            </w:pPr>
            <w:r>
              <w:rPr>
                <w:b/>
                <w:sz w:val="24"/>
              </w:rPr>
              <w:t>Abréviations</w:t>
            </w:r>
          </w:p>
        </w:tc>
        <w:tc>
          <w:tcPr>
            <w:tcW w:w="7207" w:type="dxa"/>
          </w:tcPr>
          <w:p>
            <w:pPr>
              <w:pStyle w:val="TableParagraph"/>
              <w:spacing w:line="253" w:lineRule="exact"/>
              <w:ind w:left="105"/>
              <w:jc w:val="left"/>
              <w:rPr>
                <w:b/>
                <w:sz w:val="24"/>
              </w:rPr>
            </w:pPr>
            <w:r>
              <w:rPr>
                <w:b/>
                <w:sz w:val="24"/>
              </w:rPr>
              <w:t>Signification</w:t>
            </w:r>
          </w:p>
        </w:tc>
      </w:tr>
      <w:tr>
        <w:trPr>
          <w:trHeight w:val="277" w:hRule="atLeast"/>
        </w:trPr>
        <w:tc>
          <w:tcPr>
            <w:tcW w:w="1724" w:type="dxa"/>
          </w:tcPr>
          <w:p>
            <w:pPr>
              <w:pStyle w:val="TableParagraph"/>
              <w:spacing w:line="258" w:lineRule="exact"/>
              <w:ind w:left="105"/>
              <w:jc w:val="left"/>
              <w:rPr>
                <w:sz w:val="24"/>
              </w:rPr>
            </w:pPr>
            <w:r>
              <w:rPr>
                <w:sz w:val="24"/>
              </w:rPr>
              <w:t>ANOVA</w:t>
            </w:r>
          </w:p>
        </w:tc>
        <w:tc>
          <w:tcPr>
            <w:tcW w:w="7207" w:type="dxa"/>
          </w:tcPr>
          <w:p>
            <w:pPr>
              <w:pStyle w:val="TableParagraph"/>
              <w:spacing w:line="258" w:lineRule="exact"/>
              <w:ind w:left="105"/>
              <w:jc w:val="left"/>
              <w:rPr>
                <w:sz w:val="24"/>
              </w:rPr>
            </w:pPr>
            <w:r>
              <w:rPr>
                <w:sz w:val="24"/>
              </w:rPr>
              <w:t>Analyse de la Variance</w:t>
            </w:r>
          </w:p>
        </w:tc>
      </w:tr>
      <w:tr>
        <w:trPr>
          <w:trHeight w:val="273" w:hRule="atLeast"/>
        </w:trPr>
        <w:tc>
          <w:tcPr>
            <w:tcW w:w="1724" w:type="dxa"/>
          </w:tcPr>
          <w:p>
            <w:pPr>
              <w:pStyle w:val="TableParagraph"/>
              <w:spacing w:line="253" w:lineRule="exact"/>
              <w:ind w:left="105"/>
              <w:jc w:val="left"/>
              <w:rPr>
                <w:sz w:val="24"/>
              </w:rPr>
            </w:pPr>
            <w:r>
              <w:rPr>
                <w:sz w:val="24"/>
              </w:rPr>
              <w:t>BDL</w:t>
            </w:r>
          </w:p>
        </w:tc>
        <w:tc>
          <w:tcPr>
            <w:tcW w:w="7207" w:type="dxa"/>
          </w:tcPr>
          <w:p>
            <w:pPr>
              <w:pStyle w:val="TableParagraph"/>
              <w:spacing w:line="253" w:lineRule="exact"/>
              <w:ind w:left="105"/>
              <w:jc w:val="left"/>
              <w:rPr>
                <w:sz w:val="24"/>
              </w:rPr>
            </w:pPr>
            <w:r>
              <w:rPr>
                <w:sz w:val="24"/>
              </w:rPr>
              <w:t>Banque de développement local</w:t>
            </w:r>
          </w:p>
        </w:tc>
      </w:tr>
      <w:tr>
        <w:trPr>
          <w:trHeight w:val="277" w:hRule="atLeast"/>
        </w:trPr>
        <w:tc>
          <w:tcPr>
            <w:tcW w:w="1724" w:type="dxa"/>
          </w:tcPr>
          <w:p>
            <w:pPr>
              <w:pStyle w:val="TableParagraph"/>
              <w:spacing w:line="258" w:lineRule="exact"/>
              <w:ind w:left="105"/>
              <w:jc w:val="left"/>
              <w:rPr>
                <w:sz w:val="24"/>
              </w:rPr>
            </w:pPr>
            <w:r>
              <w:rPr>
                <w:sz w:val="24"/>
              </w:rPr>
              <w:t>BEA</w:t>
            </w:r>
          </w:p>
        </w:tc>
        <w:tc>
          <w:tcPr>
            <w:tcW w:w="7207" w:type="dxa"/>
          </w:tcPr>
          <w:p>
            <w:pPr>
              <w:pStyle w:val="TableParagraph"/>
              <w:spacing w:line="258" w:lineRule="exact"/>
              <w:ind w:left="105"/>
              <w:jc w:val="left"/>
              <w:rPr>
                <w:sz w:val="24"/>
              </w:rPr>
            </w:pPr>
            <w:r>
              <w:rPr>
                <w:sz w:val="24"/>
              </w:rPr>
              <w:t>Banque extérieure d'Algérie</w:t>
            </w:r>
          </w:p>
        </w:tc>
      </w:tr>
      <w:tr>
        <w:trPr>
          <w:trHeight w:val="273" w:hRule="atLeast"/>
        </w:trPr>
        <w:tc>
          <w:tcPr>
            <w:tcW w:w="1724" w:type="dxa"/>
          </w:tcPr>
          <w:p>
            <w:pPr>
              <w:pStyle w:val="TableParagraph"/>
              <w:spacing w:line="254" w:lineRule="exact"/>
              <w:ind w:left="105"/>
              <w:jc w:val="left"/>
              <w:rPr>
                <w:sz w:val="24"/>
              </w:rPr>
            </w:pPr>
            <w:r>
              <w:rPr>
                <w:sz w:val="24"/>
              </w:rPr>
              <w:t>BNA</w:t>
            </w:r>
          </w:p>
        </w:tc>
        <w:tc>
          <w:tcPr>
            <w:tcW w:w="7207" w:type="dxa"/>
          </w:tcPr>
          <w:p>
            <w:pPr>
              <w:pStyle w:val="TableParagraph"/>
              <w:spacing w:line="254" w:lineRule="exact"/>
              <w:ind w:left="105"/>
              <w:jc w:val="left"/>
              <w:rPr>
                <w:sz w:val="24"/>
              </w:rPr>
            </w:pPr>
            <w:r>
              <w:rPr>
                <w:sz w:val="24"/>
              </w:rPr>
              <w:t>Banque nationale d’Algérie</w:t>
            </w:r>
          </w:p>
        </w:tc>
      </w:tr>
      <w:tr>
        <w:trPr>
          <w:trHeight w:val="277" w:hRule="atLeast"/>
        </w:trPr>
        <w:tc>
          <w:tcPr>
            <w:tcW w:w="1724" w:type="dxa"/>
          </w:tcPr>
          <w:p>
            <w:pPr>
              <w:pStyle w:val="TableParagraph"/>
              <w:spacing w:line="258" w:lineRule="exact"/>
              <w:ind w:left="105"/>
              <w:jc w:val="left"/>
              <w:rPr>
                <w:sz w:val="24"/>
              </w:rPr>
            </w:pPr>
            <w:r>
              <w:rPr>
                <w:sz w:val="24"/>
              </w:rPr>
              <w:t>CCP</w:t>
            </w:r>
          </w:p>
        </w:tc>
        <w:tc>
          <w:tcPr>
            <w:tcW w:w="7207" w:type="dxa"/>
          </w:tcPr>
          <w:p>
            <w:pPr>
              <w:pStyle w:val="TableParagraph"/>
              <w:spacing w:line="258" w:lineRule="exact"/>
              <w:ind w:left="105"/>
              <w:jc w:val="left"/>
              <w:rPr>
                <w:sz w:val="24"/>
              </w:rPr>
            </w:pPr>
            <w:r>
              <w:rPr>
                <w:sz w:val="24"/>
              </w:rPr>
              <w:t>Compte Courant Postal</w:t>
            </w:r>
          </w:p>
        </w:tc>
      </w:tr>
      <w:tr>
        <w:trPr>
          <w:trHeight w:val="551" w:hRule="atLeast"/>
        </w:trPr>
        <w:tc>
          <w:tcPr>
            <w:tcW w:w="1724" w:type="dxa"/>
          </w:tcPr>
          <w:p>
            <w:pPr>
              <w:pStyle w:val="TableParagraph"/>
              <w:spacing w:line="268" w:lineRule="exact"/>
              <w:ind w:left="105"/>
              <w:jc w:val="left"/>
              <w:rPr>
                <w:sz w:val="24"/>
              </w:rPr>
            </w:pPr>
            <w:r>
              <w:rPr>
                <w:sz w:val="24"/>
              </w:rPr>
              <w:t>CIB</w:t>
            </w:r>
          </w:p>
        </w:tc>
        <w:tc>
          <w:tcPr>
            <w:tcW w:w="7207" w:type="dxa"/>
          </w:tcPr>
          <w:p>
            <w:pPr>
              <w:pStyle w:val="TableParagraph"/>
              <w:spacing w:line="268" w:lineRule="exact"/>
              <w:ind w:left="105"/>
              <w:jc w:val="left"/>
              <w:rPr>
                <w:sz w:val="24"/>
              </w:rPr>
            </w:pPr>
            <w:r>
              <w:rPr>
                <w:sz w:val="24"/>
              </w:rPr>
              <w:t>Corporate &amp; Investment Banking Card Verification Value (code de</w:t>
            </w:r>
          </w:p>
          <w:p>
            <w:pPr>
              <w:pStyle w:val="TableParagraph"/>
              <w:spacing w:line="261" w:lineRule="exact" w:before="2"/>
              <w:ind w:left="105"/>
              <w:jc w:val="left"/>
              <w:rPr>
                <w:sz w:val="24"/>
              </w:rPr>
            </w:pPr>
            <w:r>
              <w:rPr>
                <w:sz w:val="24"/>
              </w:rPr>
              <w:t>sécurité au dos des cartes bancaires)</w:t>
            </w:r>
          </w:p>
        </w:tc>
      </w:tr>
      <w:tr>
        <w:trPr>
          <w:trHeight w:val="278" w:hRule="atLeast"/>
        </w:trPr>
        <w:tc>
          <w:tcPr>
            <w:tcW w:w="1724" w:type="dxa"/>
          </w:tcPr>
          <w:p>
            <w:pPr>
              <w:pStyle w:val="TableParagraph"/>
              <w:spacing w:line="258" w:lineRule="exact"/>
              <w:ind w:left="105"/>
              <w:jc w:val="left"/>
              <w:rPr>
                <w:sz w:val="24"/>
              </w:rPr>
            </w:pPr>
            <w:r>
              <w:rPr>
                <w:sz w:val="24"/>
              </w:rPr>
              <w:t>CNEP</w:t>
            </w:r>
          </w:p>
        </w:tc>
        <w:tc>
          <w:tcPr>
            <w:tcW w:w="7207" w:type="dxa"/>
          </w:tcPr>
          <w:p>
            <w:pPr>
              <w:pStyle w:val="TableParagraph"/>
              <w:spacing w:line="258" w:lineRule="exact"/>
              <w:ind w:left="105"/>
              <w:jc w:val="left"/>
              <w:rPr>
                <w:sz w:val="24"/>
              </w:rPr>
            </w:pPr>
            <w:r>
              <w:rPr>
                <w:sz w:val="24"/>
              </w:rPr>
              <w:t>La Caisse nationale d'épargne et de prévoyance</w:t>
            </w:r>
          </w:p>
        </w:tc>
      </w:tr>
      <w:tr>
        <w:trPr>
          <w:trHeight w:val="273" w:hRule="atLeast"/>
        </w:trPr>
        <w:tc>
          <w:tcPr>
            <w:tcW w:w="1724" w:type="dxa"/>
          </w:tcPr>
          <w:p>
            <w:pPr>
              <w:pStyle w:val="TableParagraph"/>
              <w:spacing w:line="253" w:lineRule="exact"/>
              <w:ind w:left="105"/>
              <w:jc w:val="left"/>
              <w:rPr>
                <w:sz w:val="24"/>
              </w:rPr>
            </w:pPr>
            <w:r>
              <w:rPr>
                <w:sz w:val="24"/>
              </w:rPr>
              <w:t>CNAS</w:t>
            </w:r>
          </w:p>
        </w:tc>
        <w:tc>
          <w:tcPr>
            <w:tcW w:w="7207" w:type="dxa"/>
          </w:tcPr>
          <w:p>
            <w:pPr>
              <w:pStyle w:val="TableParagraph"/>
              <w:spacing w:line="253" w:lineRule="exact"/>
              <w:ind w:left="105"/>
              <w:jc w:val="left"/>
              <w:rPr>
                <w:sz w:val="24"/>
              </w:rPr>
            </w:pPr>
            <w:r>
              <w:rPr>
                <w:sz w:val="24"/>
              </w:rPr>
              <w:t>Caisse Nationale des Assurances Sociales</w:t>
            </w:r>
          </w:p>
        </w:tc>
      </w:tr>
      <w:tr>
        <w:trPr>
          <w:trHeight w:val="278" w:hRule="atLeast"/>
        </w:trPr>
        <w:tc>
          <w:tcPr>
            <w:tcW w:w="1724" w:type="dxa"/>
          </w:tcPr>
          <w:p>
            <w:pPr>
              <w:pStyle w:val="TableParagraph"/>
              <w:spacing w:line="259" w:lineRule="exact"/>
              <w:ind w:left="105"/>
              <w:jc w:val="left"/>
              <w:rPr>
                <w:sz w:val="24"/>
              </w:rPr>
            </w:pPr>
            <w:r>
              <w:rPr>
                <w:sz w:val="24"/>
              </w:rPr>
              <w:t>CPA</w:t>
            </w:r>
          </w:p>
        </w:tc>
        <w:tc>
          <w:tcPr>
            <w:tcW w:w="7207" w:type="dxa"/>
          </w:tcPr>
          <w:p>
            <w:pPr>
              <w:pStyle w:val="TableParagraph"/>
              <w:spacing w:line="259" w:lineRule="exact"/>
              <w:ind w:left="105"/>
              <w:jc w:val="left"/>
              <w:rPr>
                <w:sz w:val="24"/>
              </w:rPr>
            </w:pPr>
            <w:r>
              <w:rPr>
                <w:sz w:val="24"/>
              </w:rPr>
              <w:t>Coût Par Action</w:t>
            </w:r>
          </w:p>
        </w:tc>
      </w:tr>
      <w:tr>
        <w:trPr>
          <w:trHeight w:val="273" w:hRule="atLeast"/>
        </w:trPr>
        <w:tc>
          <w:tcPr>
            <w:tcW w:w="1724" w:type="dxa"/>
          </w:tcPr>
          <w:p>
            <w:pPr>
              <w:pStyle w:val="TableParagraph"/>
              <w:spacing w:line="253" w:lineRule="exact"/>
              <w:ind w:left="105"/>
              <w:jc w:val="left"/>
              <w:rPr>
                <w:sz w:val="24"/>
              </w:rPr>
            </w:pPr>
            <w:r>
              <w:rPr>
                <w:sz w:val="24"/>
              </w:rPr>
              <w:t>CVV2</w:t>
            </w:r>
          </w:p>
        </w:tc>
        <w:tc>
          <w:tcPr>
            <w:tcW w:w="7207" w:type="dxa"/>
          </w:tcPr>
          <w:p>
            <w:pPr>
              <w:pStyle w:val="TableParagraph"/>
              <w:spacing w:line="253" w:lineRule="exact"/>
              <w:ind w:left="105"/>
              <w:jc w:val="left"/>
              <w:rPr>
                <w:sz w:val="24"/>
              </w:rPr>
            </w:pPr>
            <w:r>
              <w:rPr>
                <w:sz w:val="24"/>
              </w:rPr>
              <w:t>Card Verification Value (code de sécurité au dos des cartes bancaires)</w:t>
            </w:r>
          </w:p>
        </w:tc>
      </w:tr>
      <w:tr>
        <w:trPr>
          <w:trHeight w:val="277" w:hRule="atLeast"/>
        </w:trPr>
        <w:tc>
          <w:tcPr>
            <w:tcW w:w="1724" w:type="dxa"/>
          </w:tcPr>
          <w:p>
            <w:pPr>
              <w:pStyle w:val="TableParagraph"/>
              <w:spacing w:line="258" w:lineRule="exact"/>
              <w:ind w:left="105"/>
              <w:jc w:val="left"/>
              <w:rPr>
                <w:sz w:val="24"/>
              </w:rPr>
            </w:pPr>
            <w:r>
              <w:rPr>
                <w:sz w:val="24"/>
              </w:rPr>
              <w:t>DAB</w:t>
            </w:r>
          </w:p>
        </w:tc>
        <w:tc>
          <w:tcPr>
            <w:tcW w:w="7207" w:type="dxa"/>
          </w:tcPr>
          <w:p>
            <w:pPr>
              <w:pStyle w:val="TableParagraph"/>
              <w:spacing w:line="258" w:lineRule="exact"/>
              <w:ind w:left="105"/>
              <w:jc w:val="left"/>
              <w:rPr>
                <w:sz w:val="24"/>
              </w:rPr>
            </w:pPr>
            <w:r>
              <w:rPr>
                <w:sz w:val="24"/>
              </w:rPr>
              <w:t>Distributeur Automatique de Billets</w:t>
            </w:r>
          </w:p>
        </w:tc>
      </w:tr>
      <w:tr>
        <w:trPr>
          <w:trHeight w:val="277" w:hRule="atLeast"/>
        </w:trPr>
        <w:tc>
          <w:tcPr>
            <w:tcW w:w="1724" w:type="dxa"/>
          </w:tcPr>
          <w:p>
            <w:pPr>
              <w:pStyle w:val="TableParagraph"/>
              <w:spacing w:line="258" w:lineRule="exact"/>
              <w:ind w:left="105"/>
              <w:jc w:val="left"/>
              <w:rPr>
                <w:sz w:val="24"/>
              </w:rPr>
            </w:pPr>
            <w:r>
              <w:rPr>
                <w:sz w:val="24"/>
              </w:rPr>
              <w:t>EMV</w:t>
            </w:r>
          </w:p>
        </w:tc>
        <w:tc>
          <w:tcPr>
            <w:tcW w:w="7207" w:type="dxa"/>
          </w:tcPr>
          <w:p>
            <w:pPr>
              <w:pStyle w:val="TableParagraph"/>
              <w:spacing w:line="258" w:lineRule="exact"/>
              <w:ind w:left="105"/>
              <w:jc w:val="left"/>
              <w:rPr>
                <w:sz w:val="24"/>
              </w:rPr>
            </w:pPr>
            <w:r>
              <w:rPr>
                <w:sz w:val="24"/>
              </w:rPr>
              <w:t>Europay Mastercard Visa (norme de sécurité des cartes à puce)</w:t>
            </w:r>
          </w:p>
        </w:tc>
      </w:tr>
      <w:tr>
        <w:trPr>
          <w:trHeight w:val="273" w:hRule="atLeast"/>
        </w:trPr>
        <w:tc>
          <w:tcPr>
            <w:tcW w:w="1724" w:type="dxa"/>
          </w:tcPr>
          <w:p>
            <w:pPr>
              <w:pStyle w:val="TableParagraph"/>
              <w:spacing w:line="253" w:lineRule="exact"/>
              <w:ind w:left="105"/>
              <w:jc w:val="left"/>
              <w:rPr>
                <w:sz w:val="24"/>
              </w:rPr>
            </w:pPr>
            <w:r>
              <w:rPr>
                <w:sz w:val="24"/>
              </w:rPr>
              <w:t>EMS</w:t>
            </w:r>
          </w:p>
        </w:tc>
        <w:tc>
          <w:tcPr>
            <w:tcW w:w="7207" w:type="dxa"/>
          </w:tcPr>
          <w:p>
            <w:pPr>
              <w:pStyle w:val="TableParagraph"/>
              <w:spacing w:line="253" w:lineRule="exact"/>
              <w:ind w:left="105"/>
              <w:jc w:val="left"/>
              <w:rPr>
                <w:sz w:val="24"/>
              </w:rPr>
            </w:pPr>
            <w:r>
              <w:rPr>
                <w:sz w:val="24"/>
              </w:rPr>
              <w:t>Express Mail Service</w:t>
            </w:r>
          </w:p>
        </w:tc>
      </w:tr>
      <w:tr>
        <w:trPr>
          <w:trHeight w:val="277" w:hRule="atLeast"/>
        </w:trPr>
        <w:tc>
          <w:tcPr>
            <w:tcW w:w="1724" w:type="dxa"/>
          </w:tcPr>
          <w:p>
            <w:pPr>
              <w:pStyle w:val="TableParagraph"/>
              <w:spacing w:line="258" w:lineRule="exact"/>
              <w:ind w:left="105"/>
              <w:jc w:val="left"/>
              <w:rPr>
                <w:sz w:val="24"/>
              </w:rPr>
            </w:pPr>
            <w:r>
              <w:rPr>
                <w:sz w:val="24"/>
              </w:rPr>
              <w:t>GIE</w:t>
            </w:r>
          </w:p>
        </w:tc>
        <w:tc>
          <w:tcPr>
            <w:tcW w:w="7207" w:type="dxa"/>
          </w:tcPr>
          <w:p>
            <w:pPr>
              <w:pStyle w:val="TableParagraph"/>
              <w:spacing w:line="258" w:lineRule="exact"/>
              <w:ind w:left="105"/>
              <w:jc w:val="left"/>
              <w:rPr>
                <w:sz w:val="24"/>
              </w:rPr>
            </w:pPr>
            <w:r>
              <w:rPr>
                <w:sz w:val="24"/>
              </w:rPr>
              <w:t>Groupement d’Intérêt Économique</w:t>
            </w:r>
          </w:p>
        </w:tc>
      </w:tr>
      <w:tr>
        <w:trPr>
          <w:trHeight w:val="273" w:hRule="atLeast"/>
        </w:trPr>
        <w:tc>
          <w:tcPr>
            <w:tcW w:w="1724" w:type="dxa"/>
          </w:tcPr>
          <w:p>
            <w:pPr>
              <w:pStyle w:val="TableParagraph"/>
              <w:spacing w:line="254" w:lineRule="exact"/>
              <w:ind w:left="105"/>
              <w:jc w:val="left"/>
              <w:rPr>
                <w:sz w:val="24"/>
              </w:rPr>
            </w:pPr>
            <w:r>
              <w:rPr>
                <w:sz w:val="24"/>
              </w:rPr>
              <w:t>L’E.P.I.C</w:t>
            </w:r>
          </w:p>
        </w:tc>
        <w:tc>
          <w:tcPr>
            <w:tcW w:w="7207" w:type="dxa"/>
          </w:tcPr>
          <w:p>
            <w:pPr>
              <w:pStyle w:val="TableParagraph"/>
              <w:spacing w:line="254" w:lineRule="exact"/>
              <w:ind w:left="105"/>
              <w:jc w:val="left"/>
              <w:rPr>
                <w:sz w:val="24"/>
              </w:rPr>
            </w:pPr>
            <w:r>
              <w:rPr>
                <w:sz w:val="24"/>
              </w:rPr>
              <w:t>Établissement Public à caractère Industriel et Commercial</w:t>
            </w:r>
          </w:p>
        </w:tc>
      </w:tr>
      <w:tr>
        <w:trPr>
          <w:trHeight w:val="277" w:hRule="atLeast"/>
        </w:trPr>
        <w:tc>
          <w:tcPr>
            <w:tcW w:w="1724" w:type="dxa"/>
          </w:tcPr>
          <w:p>
            <w:pPr>
              <w:pStyle w:val="TableParagraph"/>
              <w:spacing w:line="258" w:lineRule="exact"/>
              <w:ind w:left="105"/>
              <w:jc w:val="left"/>
              <w:rPr>
                <w:sz w:val="24"/>
              </w:rPr>
            </w:pPr>
            <w:r>
              <w:rPr>
                <w:sz w:val="24"/>
              </w:rPr>
              <w:t>L’OCDE</w:t>
            </w:r>
          </w:p>
        </w:tc>
        <w:tc>
          <w:tcPr>
            <w:tcW w:w="7207" w:type="dxa"/>
          </w:tcPr>
          <w:p>
            <w:pPr>
              <w:pStyle w:val="TableParagraph"/>
              <w:spacing w:line="258" w:lineRule="exact"/>
              <w:ind w:left="105"/>
              <w:jc w:val="left"/>
              <w:rPr>
                <w:sz w:val="24"/>
              </w:rPr>
            </w:pPr>
            <w:r>
              <w:rPr>
                <w:sz w:val="24"/>
              </w:rPr>
              <w:t>Organisation de coopération et de développement économiques</w:t>
            </w:r>
          </w:p>
        </w:tc>
      </w:tr>
      <w:tr>
        <w:trPr>
          <w:trHeight w:val="503" w:hRule="atLeast"/>
        </w:trPr>
        <w:tc>
          <w:tcPr>
            <w:tcW w:w="1724" w:type="dxa"/>
          </w:tcPr>
          <w:p>
            <w:pPr>
              <w:pStyle w:val="TableParagraph"/>
              <w:spacing w:line="268" w:lineRule="exact"/>
              <w:ind w:left="105"/>
              <w:jc w:val="left"/>
              <w:rPr>
                <w:sz w:val="24"/>
              </w:rPr>
            </w:pPr>
            <w:r>
              <w:rPr>
                <w:sz w:val="24"/>
              </w:rPr>
              <w:t>MPTTN</w:t>
            </w:r>
          </w:p>
        </w:tc>
        <w:tc>
          <w:tcPr>
            <w:tcW w:w="7207" w:type="dxa"/>
          </w:tcPr>
          <w:p>
            <w:pPr>
              <w:pStyle w:val="TableParagraph"/>
              <w:spacing w:line="250" w:lineRule="exact" w:before="1"/>
              <w:ind w:left="105"/>
              <w:jc w:val="left"/>
              <w:rPr>
                <w:sz w:val="22"/>
              </w:rPr>
            </w:pPr>
            <w:r>
              <w:rPr>
                <w:sz w:val="22"/>
              </w:rPr>
              <w:t>Ministère de la Poste, des Télécommunications, des Technologies et du Numérique</w:t>
            </w:r>
          </w:p>
        </w:tc>
      </w:tr>
      <w:tr>
        <w:trPr>
          <w:trHeight w:val="278" w:hRule="atLeast"/>
        </w:trPr>
        <w:tc>
          <w:tcPr>
            <w:tcW w:w="1724" w:type="dxa"/>
          </w:tcPr>
          <w:p>
            <w:pPr>
              <w:pStyle w:val="TableParagraph"/>
              <w:spacing w:line="258" w:lineRule="exact"/>
              <w:ind w:left="105"/>
              <w:jc w:val="left"/>
              <w:rPr>
                <w:sz w:val="24"/>
              </w:rPr>
            </w:pPr>
            <w:r>
              <w:rPr>
                <w:sz w:val="24"/>
              </w:rPr>
              <w:t>OTP</w:t>
            </w:r>
          </w:p>
        </w:tc>
        <w:tc>
          <w:tcPr>
            <w:tcW w:w="7207" w:type="dxa"/>
          </w:tcPr>
          <w:p>
            <w:pPr>
              <w:pStyle w:val="TableParagraph"/>
              <w:spacing w:line="258" w:lineRule="exact"/>
              <w:ind w:left="105"/>
              <w:jc w:val="left"/>
              <w:rPr>
                <w:sz w:val="24"/>
              </w:rPr>
            </w:pPr>
            <w:r>
              <w:rPr>
                <w:sz w:val="24"/>
              </w:rPr>
              <w:t>One Time Password (mot de passe à usage unique)</w:t>
            </w:r>
          </w:p>
        </w:tc>
      </w:tr>
      <w:tr>
        <w:trPr>
          <w:trHeight w:val="551" w:hRule="atLeast"/>
        </w:trPr>
        <w:tc>
          <w:tcPr>
            <w:tcW w:w="1724" w:type="dxa"/>
          </w:tcPr>
          <w:p>
            <w:pPr>
              <w:pStyle w:val="TableParagraph"/>
              <w:spacing w:line="268" w:lineRule="exact"/>
              <w:ind w:left="105"/>
              <w:jc w:val="left"/>
              <w:rPr>
                <w:sz w:val="24"/>
              </w:rPr>
            </w:pPr>
            <w:r>
              <w:rPr>
                <w:sz w:val="24"/>
              </w:rPr>
              <w:t>PCI DSS</w:t>
            </w:r>
          </w:p>
        </w:tc>
        <w:tc>
          <w:tcPr>
            <w:tcW w:w="7207" w:type="dxa"/>
          </w:tcPr>
          <w:p>
            <w:pPr>
              <w:pStyle w:val="TableParagraph"/>
              <w:spacing w:line="267" w:lineRule="exact"/>
              <w:ind w:left="105"/>
              <w:jc w:val="left"/>
              <w:rPr>
                <w:sz w:val="24"/>
              </w:rPr>
            </w:pPr>
            <w:r>
              <w:rPr>
                <w:sz w:val="24"/>
              </w:rPr>
              <w:t>Payment Card Industry Data Security Standard (norme de sécurité des</w:t>
            </w:r>
          </w:p>
          <w:p>
            <w:pPr>
              <w:pStyle w:val="TableParagraph"/>
              <w:spacing w:line="265" w:lineRule="exact"/>
              <w:ind w:left="105"/>
              <w:jc w:val="left"/>
              <w:rPr>
                <w:sz w:val="24"/>
              </w:rPr>
            </w:pPr>
            <w:r>
              <w:rPr>
                <w:sz w:val="24"/>
              </w:rPr>
              <w:t>données)</w:t>
            </w:r>
          </w:p>
        </w:tc>
      </w:tr>
      <w:tr>
        <w:trPr>
          <w:trHeight w:val="278" w:hRule="atLeast"/>
        </w:trPr>
        <w:tc>
          <w:tcPr>
            <w:tcW w:w="1724" w:type="dxa"/>
          </w:tcPr>
          <w:p>
            <w:pPr>
              <w:pStyle w:val="TableParagraph"/>
              <w:spacing w:line="258" w:lineRule="exact"/>
              <w:ind w:left="105"/>
              <w:jc w:val="left"/>
              <w:rPr>
                <w:sz w:val="24"/>
              </w:rPr>
            </w:pPr>
            <w:r>
              <w:rPr>
                <w:sz w:val="24"/>
              </w:rPr>
              <w:t>PTT</w:t>
            </w:r>
          </w:p>
        </w:tc>
        <w:tc>
          <w:tcPr>
            <w:tcW w:w="7207" w:type="dxa"/>
          </w:tcPr>
          <w:p>
            <w:pPr>
              <w:pStyle w:val="TableParagraph"/>
              <w:spacing w:line="258" w:lineRule="exact"/>
              <w:ind w:left="105"/>
              <w:jc w:val="left"/>
              <w:rPr>
                <w:sz w:val="24"/>
              </w:rPr>
            </w:pPr>
            <w:r>
              <w:rPr>
                <w:sz w:val="24"/>
              </w:rPr>
              <w:t>Poste, Télégraphe et Téléphone</w:t>
            </w:r>
          </w:p>
        </w:tc>
      </w:tr>
      <w:tr>
        <w:trPr>
          <w:trHeight w:val="273" w:hRule="atLeast"/>
        </w:trPr>
        <w:tc>
          <w:tcPr>
            <w:tcW w:w="1724" w:type="dxa"/>
          </w:tcPr>
          <w:p>
            <w:pPr>
              <w:pStyle w:val="TableParagraph"/>
              <w:spacing w:line="253" w:lineRule="exact"/>
              <w:ind w:left="105"/>
              <w:jc w:val="left"/>
              <w:rPr>
                <w:sz w:val="24"/>
              </w:rPr>
            </w:pPr>
            <w:r>
              <w:rPr>
                <w:sz w:val="24"/>
              </w:rPr>
              <w:t>QR CODE</w:t>
            </w:r>
          </w:p>
        </w:tc>
        <w:tc>
          <w:tcPr>
            <w:tcW w:w="7207" w:type="dxa"/>
          </w:tcPr>
          <w:p>
            <w:pPr>
              <w:pStyle w:val="TableParagraph"/>
              <w:spacing w:line="253" w:lineRule="exact"/>
              <w:ind w:left="105"/>
              <w:jc w:val="left"/>
              <w:rPr>
                <w:sz w:val="24"/>
              </w:rPr>
            </w:pPr>
            <w:r>
              <w:rPr>
                <w:sz w:val="24"/>
              </w:rPr>
              <w:t>Quick Response Code (code de réponse rapide à scanner)</w:t>
            </w:r>
          </w:p>
        </w:tc>
      </w:tr>
      <w:tr>
        <w:trPr>
          <w:trHeight w:val="278" w:hRule="atLeast"/>
        </w:trPr>
        <w:tc>
          <w:tcPr>
            <w:tcW w:w="1724" w:type="dxa"/>
          </w:tcPr>
          <w:p>
            <w:pPr>
              <w:pStyle w:val="TableParagraph"/>
              <w:spacing w:line="258" w:lineRule="exact"/>
              <w:ind w:left="105"/>
              <w:jc w:val="left"/>
              <w:rPr>
                <w:sz w:val="24"/>
              </w:rPr>
            </w:pPr>
            <w:r>
              <w:rPr>
                <w:sz w:val="24"/>
              </w:rPr>
              <w:t>SMS</w:t>
            </w:r>
          </w:p>
        </w:tc>
        <w:tc>
          <w:tcPr>
            <w:tcW w:w="7207" w:type="dxa"/>
          </w:tcPr>
          <w:p>
            <w:pPr>
              <w:pStyle w:val="TableParagraph"/>
              <w:spacing w:line="258" w:lineRule="exact"/>
              <w:ind w:left="105"/>
              <w:jc w:val="left"/>
              <w:rPr>
                <w:sz w:val="24"/>
              </w:rPr>
            </w:pPr>
            <w:r>
              <w:rPr>
                <w:sz w:val="24"/>
              </w:rPr>
              <w:t>Short Message Service</w:t>
            </w:r>
          </w:p>
        </w:tc>
      </w:tr>
      <w:tr>
        <w:trPr>
          <w:trHeight w:val="551" w:hRule="atLeast"/>
        </w:trPr>
        <w:tc>
          <w:tcPr>
            <w:tcW w:w="1724" w:type="dxa"/>
          </w:tcPr>
          <w:p>
            <w:pPr>
              <w:pStyle w:val="TableParagraph"/>
              <w:spacing w:line="268" w:lineRule="exact"/>
              <w:ind w:left="105"/>
              <w:jc w:val="left"/>
              <w:rPr>
                <w:sz w:val="24"/>
              </w:rPr>
            </w:pPr>
            <w:r>
              <w:rPr>
                <w:sz w:val="24"/>
              </w:rPr>
              <w:t>SPSS</w:t>
            </w:r>
          </w:p>
        </w:tc>
        <w:tc>
          <w:tcPr>
            <w:tcW w:w="7207" w:type="dxa"/>
          </w:tcPr>
          <w:p>
            <w:pPr>
              <w:pStyle w:val="TableParagraph"/>
              <w:spacing w:line="267" w:lineRule="exact"/>
              <w:ind w:left="105"/>
              <w:jc w:val="left"/>
              <w:rPr>
                <w:sz w:val="24"/>
              </w:rPr>
            </w:pPr>
            <w:r>
              <w:rPr>
                <w:sz w:val="24"/>
              </w:rPr>
              <w:t>Statistical Package for the Social Sciences Europay Mastercard Visa</w:t>
            </w:r>
          </w:p>
          <w:p>
            <w:pPr>
              <w:pStyle w:val="TableParagraph"/>
              <w:spacing w:line="265" w:lineRule="exact"/>
              <w:ind w:left="105"/>
              <w:jc w:val="left"/>
              <w:rPr>
                <w:sz w:val="24"/>
              </w:rPr>
            </w:pPr>
            <w:r>
              <w:rPr>
                <w:sz w:val="24"/>
              </w:rPr>
              <w:t>(norme de sécurité des cartes à puce)</w:t>
            </w:r>
          </w:p>
        </w:tc>
      </w:tr>
      <w:tr>
        <w:trPr>
          <w:trHeight w:val="273" w:hRule="atLeast"/>
        </w:trPr>
        <w:tc>
          <w:tcPr>
            <w:tcW w:w="1724" w:type="dxa"/>
          </w:tcPr>
          <w:p>
            <w:pPr>
              <w:pStyle w:val="TableParagraph"/>
              <w:spacing w:line="254" w:lineRule="exact"/>
              <w:ind w:left="105"/>
              <w:jc w:val="left"/>
              <w:rPr>
                <w:sz w:val="24"/>
              </w:rPr>
            </w:pPr>
            <w:r>
              <w:rPr>
                <w:sz w:val="24"/>
              </w:rPr>
              <w:t>TPE</w:t>
            </w:r>
          </w:p>
        </w:tc>
        <w:tc>
          <w:tcPr>
            <w:tcW w:w="7207" w:type="dxa"/>
          </w:tcPr>
          <w:p>
            <w:pPr>
              <w:pStyle w:val="TableParagraph"/>
              <w:spacing w:line="254" w:lineRule="exact"/>
              <w:ind w:left="105"/>
              <w:jc w:val="left"/>
              <w:rPr>
                <w:sz w:val="24"/>
              </w:rPr>
            </w:pPr>
            <w:r>
              <w:rPr>
                <w:sz w:val="24"/>
              </w:rPr>
              <w:t>Terminal de Paiement Électronique</w:t>
            </w:r>
          </w:p>
        </w:tc>
      </w:tr>
    </w:tbl>
    <w:p>
      <w:pPr>
        <w:spacing w:after="0" w:line="254" w:lineRule="exact"/>
        <w:jc w:val="left"/>
        <w:rPr>
          <w:sz w:val="24"/>
        </w:rPr>
        <w:sectPr>
          <w:pgSz w:w="12240" w:h="15840"/>
          <w:pgMar w:header="727" w:footer="0" w:top="1080" w:bottom="280" w:left="1000" w:right="820"/>
        </w:sectPr>
      </w:pPr>
    </w:p>
    <w:p>
      <w:pPr>
        <w:pStyle w:val="BodyText"/>
        <w:spacing w:before="3"/>
        <w:rPr>
          <w:b/>
          <w:sz w:val="20"/>
        </w:rPr>
      </w:pPr>
    </w:p>
    <w:p>
      <w:pPr>
        <w:pStyle w:val="Heading2"/>
        <w:ind w:left="699"/>
        <w:jc w:val="left"/>
      </w:pPr>
      <w:r>
        <w:rPr/>
        <w:t>Sommaire</w:t>
      </w:r>
    </w:p>
    <w:sdt>
      <w:sdtPr>
        <w:docPartObj>
          <w:docPartGallery w:val="Table of Contents"/>
          <w:docPartUnique/>
        </w:docPartObj>
      </w:sdtPr>
      <w:sdtEndPr/>
      <w:sdtContent>
        <w:p>
          <w:pPr>
            <w:pStyle w:val="TOC2"/>
            <w:tabs>
              <w:tab w:pos="10096" w:val="right" w:leader="dot"/>
            </w:tabs>
            <w:spacing w:before="181"/>
          </w:pPr>
          <w:hyperlink w:history="true" w:anchor="_bookmark0">
            <w:r>
              <w:rPr/>
              <w:t>Dédicaces</w:t>
              <w:tab/>
              <w:t>II</w:t>
            </w:r>
          </w:hyperlink>
        </w:p>
        <w:p>
          <w:pPr>
            <w:pStyle w:val="TOC2"/>
            <w:tabs>
              <w:tab w:pos="10098" w:val="right" w:leader="dot"/>
            </w:tabs>
          </w:pPr>
          <w:hyperlink w:history="true" w:anchor="_bookmark1">
            <w:r>
              <w:rPr/>
              <w:t>Remerciements</w:t>
              <w:tab/>
              <w:t>V</w:t>
            </w:r>
          </w:hyperlink>
        </w:p>
        <w:p>
          <w:pPr>
            <w:pStyle w:val="TOC2"/>
            <w:tabs>
              <w:tab w:pos="10094" w:val="right" w:leader="dot"/>
            </w:tabs>
          </w:pPr>
          <w:hyperlink w:history="true" w:anchor="_bookmark2">
            <w:r>
              <w:rPr/>
              <w:t>Liste</w:t>
            </w:r>
            <w:r>
              <w:rPr>
                <w:spacing w:val="-2"/>
              </w:rPr>
              <w:t> </w:t>
            </w:r>
            <w:r>
              <w:rPr/>
              <w:t>des</w:t>
            </w:r>
            <w:r>
              <w:rPr>
                <w:spacing w:val="1"/>
              </w:rPr>
              <w:t> </w:t>
            </w:r>
            <w:r>
              <w:rPr/>
              <w:t>figures</w:t>
              <w:tab/>
              <w:t>VI</w:t>
            </w:r>
          </w:hyperlink>
        </w:p>
        <w:p>
          <w:pPr>
            <w:pStyle w:val="TOC2"/>
            <w:tabs>
              <w:tab w:pos="10096" w:val="right" w:leader="dot"/>
            </w:tabs>
            <w:spacing w:before="115"/>
          </w:pPr>
          <w:hyperlink w:history="true" w:anchor="_bookmark3">
            <w:r>
              <w:rPr/>
              <w:t>Liste</w:t>
            </w:r>
            <w:r>
              <w:rPr>
                <w:spacing w:val="-1"/>
              </w:rPr>
              <w:t> </w:t>
            </w:r>
            <w:r>
              <w:rPr/>
              <w:t>des tableaux</w:t>
              <w:tab/>
              <w:t>VII</w:t>
            </w:r>
          </w:hyperlink>
        </w:p>
        <w:p>
          <w:pPr>
            <w:pStyle w:val="TOC2"/>
            <w:tabs>
              <w:tab w:pos="10096" w:val="right" w:leader="dot"/>
            </w:tabs>
          </w:pPr>
          <w:hyperlink w:history="true" w:anchor="_bookmark4">
            <w:r>
              <w:rPr/>
              <w:t>Liste</w:t>
            </w:r>
            <w:r>
              <w:rPr>
                <w:spacing w:val="-2"/>
              </w:rPr>
              <w:t> </w:t>
            </w:r>
            <w:r>
              <w:rPr/>
              <w:t>des</w:t>
            </w:r>
            <w:r>
              <w:rPr>
                <w:spacing w:val="1"/>
              </w:rPr>
              <w:t> </w:t>
            </w:r>
            <w:r>
              <w:rPr/>
              <w:t>abréviations</w:t>
              <w:tab/>
              <w:t>VIII</w:t>
            </w:r>
          </w:hyperlink>
        </w:p>
        <w:p>
          <w:pPr>
            <w:pStyle w:val="TOC2"/>
            <w:tabs>
              <w:tab w:pos="10096" w:val="right" w:leader="dot"/>
            </w:tabs>
          </w:pPr>
          <w:hyperlink w:history="true" w:anchor="_bookmark5">
            <w:r>
              <w:rPr/>
              <w:t>Résumé</w:t>
              <w:tab/>
              <w:t>II</w:t>
            </w:r>
          </w:hyperlink>
        </w:p>
        <w:p>
          <w:pPr>
            <w:pStyle w:val="TOC1"/>
            <w:tabs>
              <w:tab w:pos="10098" w:val="right" w:leader="dot"/>
            </w:tabs>
          </w:pPr>
          <w:hyperlink w:history="true" w:anchor="_bookmark6">
            <w:r>
              <w:rPr/>
              <w:t>Partie1 :Amélioration des services </w:t>
            </w:r>
            <w:r>
              <w:rPr>
                <w:spacing w:val="-4"/>
              </w:rPr>
              <w:t>de </w:t>
            </w:r>
            <w:r>
              <w:rPr/>
              <w:t>paiement digital « BaridiMob » </w:t>
            </w:r>
            <w:r>
              <w:rPr>
                <w:spacing w:val="-3"/>
              </w:rPr>
              <w:t>pour une </w:t>
            </w:r>
            <w:r>
              <w:rPr/>
              <w:t>meilleure</w:t>
            </w:r>
            <w:r>
              <w:rPr>
                <w:spacing w:val="17"/>
              </w:rPr>
              <w:t> </w:t>
            </w:r>
            <w:r>
              <w:rPr/>
              <w:t>satisfaction client</w:t>
              <w:tab/>
              <w:t>I</w:t>
            </w:r>
          </w:hyperlink>
        </w:p>
        <w:p>
          <w:pPr>
            <w:pStyle w:val="TOC3"/>
            <w:tabs>
              <w:tab w:pos="10097" w:val="right" w:leader="dot"/>
            </w:tabs>
          </w:pPr>
          <w:hyperlink w:history="true" w:anchor="_bookmark7">
            <w:r>
              <w:rPr/>
              <w:t>Introduction générale</w:t>
              <w:tab/>
              <w:t>1</w:t>
            </w:r>
          </w:hyperlink>
        </w:p>
        <w:p>
          <w:pPr>
            <w:pStyle w:val="TOC3"/>
            <w:tabs>
              <w:tab w:pos="10097" w:val="right" w:leader="dot"/>
            </w:tabs>
            <w:spacing w:before="116"/>
          </w:pPr>
          <w:hyperlink w:history="true" w:anchor="_bookmark8">
            <w:r>
              <w:rPr/>
              <w:t>CHAPITRE 1 : Les </w:t>
            </w:r>
            <w:r>
              <w:rPr>
                <w:spacing w:val="-3"/>
              </w:rPr>
              <w:t>solutions </w:t>
            </w:r>
            <w:r>
              <w:rPr/>
              <w:t>de paiements </w:t>
            </w:r>
            <w:r>
              <w:rPr>
                <w:spacing w:val="-3"/>
              </w:rPr>
              <w:t>digitaux </w:t>
            </w:r>
            <w:r>
              <w:rPr/>
              <w:t>pour évaluer la</w:t>
            </w:r>
            <w:r>
              <w:rPr>
                <w:spacing w:val="19"/>
              </w:rPr>
              <w:t> </w:t>
            </w:r>
            <w:r>
              <w:rPr/>
              <w:t>satisfaction</w:t>
            </w:r>
            <w:r>
              <w:rPr>
                <w:spacing w:val="1"/>
              </w:rPr>
              <w:t> </w:t>
            </w:r>
            <w:r>
              <w:rPr/>
              <w:t>client</w:t>
              <w:tab/>
              <w:t>4</w:t>
            </w:r>
          </w:hyperlink>
        </w:p>
        <w:p>
          <w:pPr>
            <w:pStyle w:val="TOC5"/>
            <w:tabs>
              <w:tab w:pos="10097" w:val="right" w:leader="dot"/>
            </w:tabs>
          </w:pPr>
          <w:hyperlink w:history="true" w:anchor="_bookmark9">
            <w:r>
              <w:rPr/>
              <w:t>Section 01 : Concepts fondamentaux </w:t>
            </w:r>
            <w:r>
              <w:rPr>
                <w:spacing w:val="-3"/>
              </w:rPr>
              <w:t>sur </w:t>
            </w:r>
            <w:r>
              <w:rPr/>
              <w:t>le</w:t>
            </w:r>
            <w:r>
              <w:rPr>
                <w:spacing w:val="4"/>
              </w:rPr>
              <w:t> </w:t>
            </w:r>
            <w:r>
              <w:rPr/>
              <w:t>paiement</w:t>
            </w:r>
            <w:r>
              <w:rPr>
                <w:spacing w:val="-1"/>
              </w:rPr>
              <w:t> </w:t>
            </w:r>
            <w:r>
              <w:rPr/>
              <w:t>digital</w:t>
              <w:tab/>
              <w:t>5</w:t>
            </w:r>
          </w:hyperlink>
        </w:p>
        <w:p>
          <w:pPr>
            <w:pStyle w:val="TOC5"/>
            <w:tabs>
              <w:tab w:pos="10096" w:val="right" w:leader="dot"/>
            </w:tabs>
            <w:spacing w:before="115"/>
          </w:pPr>
          <w:hyperlink w:history="true" w:anchor="_bookmark10">
            <w:r>
              <w:rPr/>
              <w:t>Section 02 : La mesure de la</w:t>
            </w:r>
            <w:r>
              <w:rPr>
                <w:spacing w:val="-3"/>
              </w:rPr>
              <w:t> </w:t>
            </w:r>
            <w:r>
              <w:rPr/>
              <w:t>satisfaction</w:t>
            </w:r>
            <w:r>
              <w:rPr>
                <w:spacing w:val="7"/>
              </w:rPr>
              <w:t> </w:t>
            </w:r>
            <w:r>
              <w:rPr/>
              <w:t>client</w:t>
              <w:tab/>
              <w:t>14</w:t>
            </w:r>
          </w:hyperlink>
        </w:p>
        <w:p>
          <w:pPr>
            <w:pStyle w:val="TOC3"/>
            <w:tabs>
              <w:tab w:pos="10096" w:val="right" w:leader="dot"/>
            </w:tabs>
            <w:spacing w:before="121"/>
          </w:pPr>
          <w:hyperlink w:history="true" w:anchor="_bookmark11">
            <w:r>
              <w:rPr/>
              <w:t>CHAPITRE 02 : Amélioration de BaridiMob afin d’optimiser l’expérience client chez</w:t>
            </w:r>
            <w:r>
              <w:rPr>
                <w:spacing w:val="-29"/>
              </w:rPr>
              <w:t> </w:t>
            </w:r>
            <w:r>
              <w:rPr/>
              <w:t>d’Algérie</w:t>
            </w:r>
            <w:r>
              <w:rPr>
                <w:spacing w:val="-3"/>
              </w:rPr>
              <w:t> </w:t>
            </w:r>
            <w:r>
              <w:rPr/>
              <w:t>poste</w:t>
              <w:tab/>
              <w:t>23</w:t>
            </w:r>
          </w:hyperlink>
        </w:p>
        <w:p>
          <w:pPr>
            <w:pStyle w:val="TOC5"/>
            <w:tabs>
              <w:tab w:pos="10096" w:val="right" w:leader="dot"/>
            </w:tabs>
          </w:pPr>
          <w:hyperlink w:history="true" w:anchor="_bookmark12">
            <w:r>
              <w:rPr/>
              <w:t>Section01 : BaridiMob : </w:t>
            </w:r>
            <w:r>
              <w:rPr>
                <w:spacing w:val="-3"/>
              </w:rPr>
              <w:t>un </w:t>
            </w:r>
            <w:r>
              <w:rPr/>
              <w:t>acteur clé des paiements</w:t>
            </w:r>
            <w:r>
              <w:rPr>
                <w:spacing w:val="8"/>
              </w:rPr>
              <w:t> </w:t>
            </w:r>
            <w:r>
              <w:rPr>
                <w:spacing w:val="-4"/>
              </w:rPr>
              <w:t>en</w:t>
            </w:r>
            <w:r>
              <w:rPr>
                <w:spacing w:val="2"/>
              </w:rPr>
              <w:t> </w:t>
            </w:r>
            <w:r>
              <w:rPr/>
              <w:t>Algérie</w:t>
              <w:tab/>
              <w:t>24</w:t>
            </w:r>
          </w:hyperlink>
        </w:p>
        <w:p>
          <w:pPr>
            <w:pStyle w:val="TOC5"/>
            <w:tabs>
              <w:tab w:pos="10096" w:val="right" w:leader="dot"/>
            </w:tabs>
            <w:spacing w:before="116"/>
          </w:pPr>
          <w:hyperlink w:history="true" w:anchor="_bookmark15">
            <w:r>
              <w:rPr/>
              <w:t>Section 02 :</w:t>
            </w:r>
            <w:r>
              <w:rPr>
                <w:spacing w:val="2"/>
              </w:rPr>
              <w:t> </w:t>
            </w:r>
            <w:r>
              <w:rPr/>
              <w:t>Étude</w:t>
            </w:r>
            <w:r>
              <w:rPr>
                <w:spacing w:val="-1"/>
              </w:rPr>
              <w:t> </w:t>
            </w:r>
            <w:r>
              <w:rPr/>
              <w:t>empirique</w:t>
              <w:tab/>
              <w:t>40</w:t>
            </w:r>
          </w:hyperlink>
        </w:p>
        <w:p>
          <w:pPr>
            <w:pStyle w:val="TOC3"/>
            <w:tabs>
              <w:tab w:pos="10096" w:val="right" w:leader="dot"/>
            </w:tabs>
            <w:spacing w:before="120"/>
          </w:pPr>
          <w:hyperlink w:history="true" w:anchor="_bookmark74">
            <w:r>
              <w:rPr/>
              <w:t>Conclusion générale</w:t>
              <w:tab/>
              <w:t>67</w:t>
            </w:r>
          </w:hyperlink>
        </w:p>
        <w:p>
          <w:pPr>
            <w:pStyle w:val="TOC3"/>
            <w:tabs>
              <w:tab w:pos="10096" w:val="right" w:leader="dot"/>
            </w:tabs>
          </w:pPr>
          <w:hyperlink w:history="true" w:anchor="_bookmark75">
            <w:r>
              <w:rPr/>
              <w:t>Bibliographie</w:t>
              <w:tab/>
              <w:t>70</w:t>
            </w:r>
          </w:hyperlink>
        </w:p>
        <w:p>
          <w:pPr>
            <w:pStyle w:val="TOC3"/>
            <w:tabs>
              <w:tab w:pos="10096" w:val="right" w:leader="dot"/>
            </w:tabs>
            <w:spacing w:before="116"/>
          </w:pPr>
          <w:hyperlink w:history="true" w:anchor="_bookmark76">
            <w:r>
              <w:rPr/>
              <w:t>Annexe</w:t>
              <w:tab/>
              <w:t>72</w:t>
            </w:r>
          </w:hyperlink>
        </w:p>
        <w:p>
          <w:pPr>
            <w:pStyle w:val="TOC1"/>
            <w:tabs>
              <w:tab w:pos="10096" w:val="right" w:leader="dot"/>
            </w:tabs>
            <w:spacing w:before="116"/>
          </w:pPr>
          <w:r>
            <w:rPr/>
            <w:t>Partie</w:t>
          </w:r>
          <w:r>
            <w:rPr>
              <w:spacing w:val="-1"/>
            </w:rPr>
            <w:t> </w:t>
          </w:r>
          <w:r>
            <w:rPr/>
            <w:t>2</w:t>
          </w:r>
          <w:r>
            <w:rPr>
              <w:spacing w:val="-3"/>
            </w:rPr>
            <w:t> </w:t>
          </w:r>
          <w:r>
            <w:rPr/>
            <w:t>:GO-FRIHA</w:t>
            <w:tab/>
            <w:t>79</w:t>
          </w:r>
        </w:p>
        <w:p>
          <w:pPr>
            <w:pStyle w:val="TOC4"/>
            <w:tabs>
              <w:tab w:pos="10096" w:val="right" w:leader="dot"/>
            </w:tabs>
            <w:spacing w:before="110"/>
          </w:pPr>
          <w:r>
            <w:rPr/>
            <w:t>Fiche signalétique</w:t>
          </w:r>
          <w:r>
            <w:rPr>
              <w:spacing w:val="-2"/>
            </w:rPr>
            <w:t> </w:t>
          </w:r>
          <w:r>
            <w:rPr>
              <w:spacing w:val="-3"/>
            </w:rPr>
            <w:t>du</w:t>
          </w:r>
          <w:r>
            <w:rPr>
              <w:spacing w:val="2"/>
            </w:rPr>
            <w:t> </w:t>
          </w:r>
          <w:r>
            <w:rPr>
              <w:spacing w:val="-3"/>
            </w:rPr>
            <w:t>projet</w:t>
            <w:tab/>
          </w:r>
          <w:r>
            <w:rPr/>
            <w:t>70</w:t>
          </w:r>
        </w:p>
        <w:p>
          <w:pPr>
            <w:pStyle w:val="TOC4"/>
            <w:tabs>
              <w:tab w:pos="10096" w:val="right" w:leader="dot"/>
            </w:tabs>
          </w:pPr>
          <w:r>
            <w:rPr/>
            <w:t>Premier axe : présentation</w:t>
          </w:r>
          <w:r>
            <w:rPr>
              <w:spacing w:val="-3"/>
            </w:rPr>
            <w:t> </w:t>
          </w:r>
          <w:r>
            <w:rPr/>
            <w:t>du</w:t>
          </w:r>
          <w:r>
            <w:rPr>
              <w:spacing w:val="-3"/>
            </w:rPr>
            <w:t> projet</w:t>
            <w:tab/>
          </w:r>
          <w:r>
            <w:rPr/>
            <w:t>71</w:t>
          </w:r>
        </w:p>
        <w:p>
          <w:pPr>
            <w:pStyle w:val="TOC4"/>
            <w:tabs>
              <w:tab w:pos="10096" w:val="right" w:leader="dot"/>
            </w:tabs>
          </w:pPr>
          <w:r>
            <w:rPr/>
            <w:t>Deuxième axe :</w:t>
          </w:r>
          <w:r>
            <w:rPr>
              <w:spacing w:val="-4"/>
            </w:rPr>
            <w:t> </w:t>
          </w:r>
          <w:r>
            <w:rPr/>
            <w:t>Aspects</w:t>
          </w:r>
          <w:r>
            <w:rPr>
              <w:spacing w:val="1"/>
            </w:rPr>
            <w:t> </w:t>
          </w:r>
          <w:r>
            <w:rPr/>
            <w:t>innovants</w:t>
            <w:tab/>
            <w:t>78</w:t>
          </w:r>
        </w:p>
        <w:p>
          <w:pPr>
            <w:pStyle w:val="TOC4"/>
            <w:tabs>
              <w:tab w:pos="10096" w:val="right" w:leader="dot"/>
            </w:tabs>
          </w:pPr>
          <w:r>
            <w:rPr/>
            <w:t>Troisième axe : </w:t>
          </w:r>
          <w:r>
            <w:rPr>
              <w:spacing w:val="-3"/>
            </w:rPr>
            <w:t>Analyse </w:t>
          </w:r>
          <w:r>
            <w:rPr/>
            <w:t>stratégique</w:t>
          </w:r>
          <w:r>
            <w:rPr>
              <w:spacing w:val="-7"/>
            </w:rPr>
            <w:t> </w:t>
          </w:r>
          <w:r>
            <w:rPr/>
            <w:t>du</w:t>
          </w:r>
          <w:r>
            <w:rPr>
              <w:spacing w:val="2"/>
            </w:rPr>
            <w:t> </w:t>
          </w:r>
          <w:r>
            <w:rPr/>
            <w:t>Marché</w:t>
            <w:tab/>
            <w:t>79</w:t>
          </w:r>
        </w:p>
        <w:p>
          <w:pPr>
            <w:pStyle w:val="TOC4"/>
            <w:tabs>
              <w:tab w:pos="10096" w:val="right" w:leader="dot"/>
            </w:tabs>
            <w:spacing w:before="115"/>
          </w:pPr>
          <w:r>
            <w:rPr/>
            <w:t>Quatrième axe : Plan de production</w:t>
          </w:r>
          <w:r>
            <w:rPr>
              <w:spacing w:val="-6"/>
            </w:rPr>
            <w:t> </w:t>
          </w:r>
          <w:r>
            <w:rPr/>
            <w:t>et</w:t>
          </w:r>
          <w:r>
            <w:rPr>
              <w:spacing w:val="-1"/>
            </w:rPr>
            <w:t> </w:t>
          </w:r>
          <w:r>
            <w:rPr/>
            <w:t>d’organisation</w:t>
            <w:tab/>
            <w:t>85</w:t>
          </w:r>
        </w:p>
        <w:p>
          <w:pPr>
            <w:pStyle w:val="TOC4"/>
            <w:tabs>
              <w:tab w:pos="10096" w:val="right" w:leader="dot"/>
            </w:tabs>
            <w:spacing w:before="111"/>
          </w:pPr>
          <w:r>
            <w:rPr/>
            <w:t>Cinquième axe :</w:t>
          </w:r>
          <w:r>
            <w:rPr>
              <w:spacing w:val="-9"/>
            </w:rPr>
            <w:t> </w:t>
          </w:r>
          <w:r>
            <w:rPr/>
            <w:t>Plan</w:t>
          </w:r>
          <w:r>
            <w:rPr>
              <w:spacing w:val="2"/>
            </w:rPr>
            <w:t> </w:t>
          </w:r>
          <w:r>
            <w:rPr/>
            <w:t>financier</w:t>
            <w:tab/>
            <w:t>93</w:t>
          </w:r>
        </w:p>
        <w:p>
          <w:pPr>
            <w:pStyle w:val="TOC4"/>
            <w:tabs>
              <w:tab w:pos="10101" w:val="right" w:leader="dot"/>
            </w:tabs>
          </w:pPr>
          <w:r>
            <w:rPr/>
            <w:t>Sixième axe :</w:t>
          </w:r>
          <w:r>
            <w:rPr>
              <w:spacing w:val="-9"/>
            </w:rPr>
            <w:t> </w:t>
          </w:r>
          <w:r>
            <w:rPr/>
            <w:t>Prototype</w:t>
          </w:r>
          <w:r>
            <w:rPr>
              <w:spacing w:val="-1"/>
            </w:rPr>
            <w:t> </w:t>
          </w:r>
          <w:r>
            <w:rPr/>
            <w:t>Expérimental</w:t>
            <w:tab/>
            <w:t>100</w:t>
          </w:r>
        </w:p>
        <w:p>
          <w:pPr>
            <w:pStyle w:val="TOC4"/>
            <w:tabs>
              <w:tab w:pos="10101" w:val="right" w:leader="dot"/>
            </w:tabs>
            <w:spacing w:before="115"/>
          </w:pPr>
          <w:r>
            <w:rPr/>
            <w:t>Annexes</w:t>
            <w:tab/>
            <w:t>101</w:t>
          </w:r>
        </w:p>
        <w:p>
          <w:pPr>
            <w:pStyle w:val="TOC4"/>
            <w:tabs>
              <w:tab w:pos="10101" w:val="right" w:leader="dot"/>
            </w:tabs>
            <w:spacing w:before="117"/>
          </w:pPr>
          <w:r>
            <w:rPr>
              <w:spacing w:val="-3"/>
            </w:rPr>
            <w:t>BMC</w:t>
            <w:tab/>
          </w:r>
          <w:r>
            <w:rPr/>
            <w:t>101</w:t>
          </w:r>
        </w:p>
        <w:p>
          <w:pPr>
            <w:pStyle w:val="TOC1"/>
            <w:tabs>
              <w:tab w:pos="10101" w:val="right" w:leader="dot"/>
            </w:tabs>
          </w:pPr>
          <w:r>
            <w:rPr/>
            <w:t>Table</w:t>
          </w:r>
          <w:r>
            <w:rPr>
              <w:spacing w:val="-1"/>
            </w:rPr>
            <w:t> </w:t>
          </w:r>
          <w:r>
            <w:rPr/>
            <w:t>des</w:t>
          </w:r>
          <w:r>
            <w:rPr>
              <w:spacing w:val="1"/>
            </w:rPr>
            <w:t> </w:t>
          </w:r>
          <w:r>
            <w:rPr/>
            <w:t>matières</w:t>
            <w:tab/>
            <w:t>106</w:t>
          </w:r>
        </w:p>
      </w:sdtContent>
    </w:sdt>
    <w:p>
      <w:pPr>
        <w:spacing w:after="0"/>
        <w:sectPr>
          <w:headerReference w:type="default" r:id="rId15"/>
          <w:headerReference w:type="even" r:id="rId16"/>
          <w:pgSz w:w="12240" w:h="15840"/>
          <w:pgMar w:header="727" w:footer="0" w:top="1080" w:bottom="280" w:left="1000" w:right="820"/>
        </w:sectPr>
      </w:pPr>
    </w:p>
    <w:p>
      <w:pPr>
        <w:tabs>
          <w:tab w:pos="4723" w:val="left" w:leader="none"/>
          <w:tab w:pos="10058" w:val="left" w:leader="none"/>
        </w:tabs>
        <w:spacing w:before="494"/>
        <w:ind w:left="694" w:right="0" w:firstLine="0"/>
        <w:jc w:val="left"/>
        <w:rPr>
          <w:sz w:val="32"/>
        </w:rPr>
      </w:pPr>
      <w:bookmarkStart w:name="_bookmark5" w:id="11"/>
      <w:bookmarkEnd w:id="11"/>
      <w:r>
        <w:rPr/>
      </w:r>
      <w:r>
        <w:rPr>
          <w:w w:val="100"/>
          <w:sz w:val="32"/>
          <w:shd w:fill="FFC000" w:color="auto" w:val="clear"/>
        </w:rPr>
        <w:t> </w:t>
      </w:r>
      <w:r>
        <w:rPr>
          <w:sz w:val="32"/>
          <w:shd w:fill="FFC000" w:color="auto" w:val="clear"/>
        </w:rPr>
        <w:tab/>
        <w:t>Résumé</w:t>
        <w:tab/>
      </w:r>
    </w:p>
    <w:p>
      <w:pPr>
        <w:pStyle w:val="BodyText"/>
        <w:spacing w:line="276" w:lineRule="auto" w:before="278"/>
        <w:ind w:left="699" w:right="314" w:firstLine="283"/>
        <w:jc w:val="both"/>
      </w:pPr>
      <w:r>
        <w:rPr/>
        <w:t>Ce</w:t>
      </w:r>
      <w:r>
        <w:rPr>
          <w:spacing w:val="-9"/>
        </w:rPr>
        <w:t> </w:t>
      </w:r>
      <w:r>
        <w:rPr/>
        <w:t>mémoire</w:t>
      </w:r>
      <w:r>
        <w:rPr>
          <w:spacing w:val="-13"/>
        </w:rPr>
        <w:t> </w:t>
      </w:r>
      <w:r>
        <w:rPr/>
        <w:t>vise</w:t>
      </w:r>
      <w:r>
        <w:rPr>
          <w:spacing w:val="-14"/>
        </w:rPr>
        <w:t> </w:t>
      </w:r>
      <w:r>
        <w:rPr/>
        <w:t>à</w:t>
      </w:r>
      <w:r>
        <w:rPr>
          <w:spacing w:val="-13"/>
        </w:rPr>
        <w:t> </w:t>
      </w:r>
      <w:r>
        <w:rPr/>
        <w:t>optimiser</w:t>
      </w:r>
      <w:r>
        <w:rPr>
          <w:spacing w:val="-6"/>
        </w:rPr>
        <w:t> </w:t>
      </w:r>
      <w:r>
        <w:rPr>
          <w:spacing w:val="-3"/>
        </w:rPr>
        <w:t>les</w:t>
      </w:r>
      <w:r>
        <w:rPr>
          <w:spacing w:val="-14"/>
        </w:rPr>
        <w:t> </w:t>
      </w:r>
      <w:r>
        <w:rPr/>
        <w:t>services</w:t>
      </w:r>
      <w:r>
        <w:rPr>
          <w:spacing w:val="-14"/>
        </w:rPr>
        <w:t> </w:t>
      </w:r>
      <w:r>
        <w:rPr/>
        <w:t>de</w:t>
      </w:r>
      <w:r>
        <w:rPr>
          <w:spacing w:val="-14"/>
        </w:rPr>
        <w:t> </w:t>
      </w:r>
      <w:r>
        <w:rPr/>
        <w:t>paiement</w:t>
      </w:r>
      <w:r>
        <w:rPr>
          <w:spacing w:val="-7"/>
        </w:rPr>
        <w:t> </w:t>
      </w:r>
      <w:r>
        <w:rPr/>
        <w:t>digital</w:t>
      </w:r>
      <w:r>
        <w:rPr>
          <w:spacing w:val="-21"/>
        </w:rPr>
        <w:t> </w:t>
      </w:r>
      <w:r>
        <w:rPr/>
        <w:t>offerts</w:t>
      </w:r>
      <w:r>
        <w:rPr>
          <w:spacing w:val="-14"/>
        </w:rPr>
        <w:t> </w:t>
      </w:r>
      <w:r>
        <w:rPr/>
        <w:t>par</w:t>
      </w:r>
      <w:r>
        <w:rPr>
          <w:spacing w:val="-15"/>
        </w:rPr>
        <w:t> </w:t>
      </w:r>
      <w:r>
        <w:rPr/>
        <w:t>l’application</w:t>
      </w:r>
      <w:r>
        <w:rPr>
          <w:spacing w:val="-16"/>
        </w:rPr>
        <w:t> </w:t>
      </w:r>
      <w:r>
        <w:rPr/>
        <w:t>BaridiMob d’Algérie Poste, en identifiant </w:t>
      </w:r>
      <w:r>
        <w:rPr>
          <w:spacing w:val="-3"/>
        </w:rPr>
        <w:t>les </w:t>
      </w:r>
      <w:r>
        <w:rPr/>
        <w:t>problèmes réels rencontrés par </w:t>
      </w:r>
      <w:r>
        <w:rPr>
          <w:spacing w:val="-4"/>
        </w:rPr>
        <w:t>les </w:t>
      </w:r>
      <w:r>
        <w:rPr/>
        <w:t>utilisateurs afin de proposer des pistes d’amélioration concrètes. Pour ce faire, une enquête a été </w:t>
      </w:r>
      <w:r>
        <w:rPr>
          <w:spacing w:val="-3"/>
        </w:rPr>
        <w:t>menée </w:t>
      </w:r>
      <w:r>
        <w:rPr/>
        <w:t>auprès des clients utilisateurs de l’application. En analysant </w:t>
      </w:r>
      <w:r>
        <w:rPr>
          <w:spacing w:val="-3"/>
        </w:rPr>
        <w:t>les </w:t>
      </w:r>
      <w:r>
        <w:rPr/>
        <w:t>données issues de 400 répondants, l’étude </w:t>
      </w:r>
      <w:r>
        <w:rPr>
          <w:spacing w:val="-4"/>
        </w:rPr>
        <w:t>met </w:t>
      </w:r>
      <w:r>
        <w:rPr/>
        <w:t>en évidence </w:t>
      </w:r>
      <w:r>
        <w:rPr>
          <w:spacing w:val="-4"/>
        </w:rPr>
        <w:t>les </w:t>
      </w:r>
      <w:r>
        <w:rPr/>
        <w:t>principaux facteurs impactant </w:t>
      </w:r>
      <w:r>
        <w:rPr>
          <w:spacing w:val="-5"/>
        </w:rPr>
        <w:t>la </w:t>
      </w:r>
      <w:r>
        <w:rPr/>
        <w:t>satisfaction client, notamment </w:t>
      </w:r>
      <w:r>
        <w:rPr>
          <w:spacing w:val="-5"/>
        </w:rPr>
        <w:t>la </w:t>
      </w:r>
      <w:r>
        <w:rPr/>
        <w:t>sécurité perçue, </w:t>
      </w:r>
      <w:r>
        <w:rPr>
          <w:spacing w:val="-5"/>
        </w:rPr>
        <w:t>la </w:t>
      </w:r>
      <w:r>
        <w:rPr/>
        <w:t>disponibilité</w:t>
      </w:r>
      <w:r>
        <w:rPr>
          <w:spacing w:val="-8"/>
        </w:rPr>
        <w:t> </w:t>
      </w:r>
      <w:r>
        <w:rPr/>
        <w:t>du</w:t>
      </w:r>
      <w:r>
        <w:rPr>
          <w:spacing w:val="-7"/>
        </w:rPr>
        <w:t> </w:t>
      </w:r>
      <w:r>
        <w:rPr/>
        <w:t>service, </w:t>
      </w:r>
      <w:r>
        <w:rPr>
          <w:spacing w:val="-5"/>
        </w:rPr>
        <w:t>la</w:t>
      </w:r>
      <w:r>
        <w:rPr>
          <w:spacing w:val="-4"/>
        </w:rPr>
        <w:t> </w:t>
      </w:r>
      <w:r>
        <w:rPr/>
        <w:t>fréquence</w:t>
      </w:r>
      <w:r>
        <w:rPr>
          <w:spacing w:val="-7"/>
        </w:rPr>
        <w:t> </w:t>
      </w:r>
      <w:r>
        <w:rPr/>
        <w:t>des</w:t>
      </w:r>
      <w:r>
        <w:rPr>
          <w:spacing w:val="-9"/>
        </w:rPr>
        <w:t> </w:t>
      </w:r>
      <w:r>
        <w:rPr/>
        <w:t>bugs</w:t>
      </w:r>
      <w:r>
        <w:rPr>
          <w:spacing w:val="-9"/>
        </w:rPr>
        <w:t> </w:t>
      </w:r>
      <w:r>
        <w:rPr/>
        <w:t>techniques</w:t>
      </w:r>
      <w:r>
        <w:rPr>
          <w:spacing w:val="-9"/>
        </w:rPr>
        <w:t> </w:t>
      </w:r>
      <w:r>
        <w:rPr/>
        <w:t>et</w:t>
      </w:r>
      <w:r>
        <w:rPr>
          <w:spacing w:val="-5"/>
        </w:rPr>
        <w:t> </w:t>
      </w:r>
      <w:r>
        <w:rPr>
          <w:spacing w:val="-3"/>
        </w:rPr>
        <w:t>la</w:t>
      </w:r>
      <w:r>
        <w:rPr>
          <w:spacing w:val="-8"/>
        </w:rPr>
        <w:t> </w:t>
      </w:r>
      <w:r>
        <w:rPr/>
        <w:t>qualité</w:t>
      </w:r>
      <w:r>
        <w:rPr>
          <w:spacing w:val="-8"/>
        </w:rPr>
        <w:t> </w:t>
      </w:r>
      <w:r>
        <w:rPr/>
        <w:t>de</w:t>
      </w:r>
      <w:r>
        <w:rPr>
          <w:spacing w:val="-3"/>
        </w:rPr>
        <w:t> </w:t>
      </w:r>
      <w:r>
        <w:rPr/>
        <w:t>l’assistance.</w:t>
      </w:r>
      <w:r>
        <w:rPr>
          <w:spacing w:val="-5"/>
        </w:rPr>
        <w:t> </w:t>
      </w:r>
      <w:r>
        <w:rPr/>
        <w:t>Les</w:t>
      </w:r>
      <w:r>
        <w:rPr>
          <w:spacing w:val="-9"/>
        </w:rPr>
        <w:t> </w:t>
      </w:r>
      <w:r>
        <w:rPr/>
        <w:t>résultats montrent</w:t>
      </w:r>
      <w:r>
        <w:rPr>
          <w:spacing w:val="-2"/>
        </w:rPr>
        <w:t> </w:t>
      </w:r>
      <w:r>
        <w:rPr/>
        <w:t>que</w:t>
      </w:r>
      <w:r>
        <w:rPr>
          <w:spacing w:val="-12"/>
        </w:rPr>
        <w:t> </w:t>
      </w:r>
      <w:r>
        <w:rPr>
          <w:spacing w:val="-4"/>
        </w:rPr>
        <w:t>les</w:t>
      </w:r>
      <w:r>
        <w:rPr>
          <w:spacing w:val="-9"/>
        </w:rPr>
        <w:t> </w:t>
      </w:r>
      <w:r>
        <w:rPr/>
        <w:t>dysfonctionnements</w:t>
      </w:r>
      <w:r>
        <w:rPr>
          <w:spacing w:val="-8"/>
        </w:rPr>
        <w:t> </w:t>
      </w:r>
      <w:r>
        <w:rPr/>
        <w:t>fréquents,</w:t>
      </w:r>
      <w:r>
        <w:rPr>
          <w:spacing w:val="-4"/>
        </w:rPr>
        <w:t> les </w:t>
      </w:r>
      <w:r>
        <w:rPr/>
        <w:t>interruptions</w:t>
      </w:r>
      <w:r>
        <w:rPr>
          <w:spacing w:val="-8"/>
        </w:rPr>
        <w:t> </w:t>
      </w:r>
      <w:r>
        <w:rPr/>
        <w:t>nocturnes</w:t>
      </w:r>
      <w:r>
        <w:rPr>
          <w:spacing w:val="-9"/>
        </w:rPr>
        <w:t> </w:t>
      </w:r>
      <w:r>
        <w:rPr/>
        <w:t>et</w:t>
      </w:r>
      <w:r>
        <w:rPr>
          <w:spacing w:val="-5"/>
        </w:rPr>
        <w:t> la</w:t>
      </w:r>
      <w:r>
        <w:rPr>
          <w:spacing w:val="-3"/>
        </w:rPr>
        <w:t> </w:t>
      </w:r>
      <w:r>
        <w:rPr/>
        <w:t>lenteur</w:t>
      </w:r>
      <w:r>
        <w:rPr>
          <w:spacing w:val="-9"/>
        </w:rPr>
        <w:t> </w:t>
      </w:r>
      <w:r>
        <w:rPr/>
        <w:t>du</w:t>
      </w:r>
      <w:r>
        <w:rPr>
          <w:spacing w:val="-7"/>
        </w:rPr>
        <w:t> </w:t>
      </w:r>
      <w:r>
        <w:rPr/>
        <w:t>support réduisent </w:t>
      </w:r>
      <w:r>
        <w:rPr>
          <w:spacing w:val="-5"/>
        </w:rPr>
        <w:t>la </w:t>
      </w:r>
      <w:r>
        <w:rPr/>
        <w:t>confiance des clients. Ce mémoire propose ainsi des recommandations visant à offrir une expérience utilisateur plus fluide, plus sécurisée et plus fiable, en soutien à </w:t>
      </w:r>
      <w:r>
        <w:rPr>
          <w:spacing w:val="-3"/>
        </w:rPr>
        <w:t>la </w:t>
      </w:r>
      <w:r>
        <w:rPr/>
        <w:t>stratégie de digitalisation d’Algérie</w:t>
      </w:r>
      <w:r>
        <w:rPr>
          <w:spacing w:val="-3"/>
        </w:rPr>
        <w:t> </w:t>
      </w:r>
      <w:r>
        <w:rPr/>
        <w:t>Poste.</w:t>
      </w:r>
    </w:p>
    <w:p>
      <w:pPr>
        <w:pStyle w:val="ListParagraph"/>
        <w:numPr>
          <w:ilvl w:val="0"/>
          <w:numId w:val="5"/>
        </w:numPr>
        <w:tabs>
          <w:tab w:pos="1410" w:val="left" w:leader="none"/>
          <w:tab w:pos="1411" w:val="left" w:leader="none"/>
        </w:tabs>
        <w:spacing w:line="240" w:lineRule="auto" w:before="166" w:after="0"/>
        <w:ind w:left="1410" w:right="0" w:hanging="361"/>
        <w:jc w:val="left"/>
        <w:rPr>
          <w:sz w:val="24"/>
        </w:rPr>
      </w:pPr>
      <w:r>
        <w:rPr/>
        <w:pict>
          <v:shape style="position:absolute;margin-left:84.984001pt;margin-top:29.484457pt;width:468.2pt;height:20.2pt;mso-position-horizontal-relative:page;mso-position-vertical-relative:paragraph;z-index:251667456" type="#_x0000_t202" filled="true" fillcolor="#ffd966" stroked="true" strokeweight=".47998pt" strokecolor="#ffc000">
            <v:textbox inset="0,0,0,0">
              <w:txbxContent>
                <w:p>
                  <w:pPr>
                    <w:spacing w:line="364" w:lineRule="exact" w:before="0"/>
                    <w:ind w:left="4156" w:right="4148" w:firstLine="0"/>
                    <w:jc w:val="center"/>
                    <w:rPr>
                      <w:rFonts w:ascii="Calibri Light"/>
                      <w:b w:val="0"/>
                      <w:sz w:val="30"/>
                    </w:rPr>
                  </w:pPr>
                  <w:r>
                    <w:rPr>
                      <w:rFonts w:ascii="Calibri Light"/>
                      <w:b w:val="0"/>
                      <w:sz w:val="30"/>
                    </w:rPr>
                    <w:t>Abstract</w:t>
                  </w:r>
                </w:p>
              </w:txbxContent>
            </v:textbox>
            <v:fill type="solid"/>
            <v:stroke dashstyle="solid"/>
            <w10:wrap type="none"/>
          </v:shape>
        </w:pict>
      </w:r>
      <w:r>
        <w:rPr>
          <w:b/>
          <w:sz w:val="24"/>
        </w:rPr>
        <w:t>Mots-clés </w:t>
      </w:r>
      <w:r>
        <w:rPr>
          <w:sz w:val="24"/>
        </w:rPr>
        <w:t>: paiement </w:t>
      </w:r>
      <w:r>
        <w:rPr>
          <w:spacing w:val="-3"/>
          <w:sz w:val="24"/>
        </w:rPr>
        <w:t>digital, </w:t>
      </w:r>
      <w:r>
        <w:rPr>
          <w:sz w:val="24"/>
        </w:rPr>
        <w:t>application mobile, satisfaction client, expérience</w:t>
      </w:r>
      <w:r>
        <w:rPr>
          <w:spacing w:val="3"/>
          <w:sz w:val="24"/>
        </w:rPr>
        <w:t> </w:t>
      </w:r>
      <w:r>
        <w:rPr>
          <w:sz w:val="24"/>
        </w:rPr>
        <w:t>utilisateur</w:t>
      </w:r>
    </w:p>
    <w:p>
      <w:pPr>
        <w:pStyle w:val="BodyText"/>
        <w:spacing w:line="276" w:lineRule="auto" w:before="793"/>
        <w:ind w:left="699" w:right="315" w:firstLine="360"/>
        <w:jc w:val="both"/>
      </w:pPr>
      <w:r>
        <w:rPr/>
        <w:t>This</w:t>
      </w:r>
      <w:r>
        <w:rPr>
          <w:spacing w:val="-19"/>
        </w:rPr>
        <w:t> </w:t>
      </w:r>
      <w:r>
        <w:rPr/>
        <w:t>This</w:t>
      </w:r>
      <w:r>
        <w:rPr>
          <w:spacing w:val="-18"/>
        </w:rPr>
        <w:t> </w:t>
      </w:r>
      <w:r>
        <w:rPr/>
        <w:t>thesis</w:t>
      </w:r>
      <w:r>
        <w:rPr>
          <w:spacing w:val="-18"/>
        </w:rPr>
        <w:t> </w:t>
      </w:r>
      <w:r>
        <w:rPr/>
        <w:t>aims</w:t>
      </w:r>
      <w:r>
        <w:rPr>
          <w:spacing w:val="-18"/>
        </w:rPr>
        <w:t> </w:t>
      </w:r>
      <w:r>
        <w:rPr>
          <w:spacing w:val="2"/>
        </w:rPr>
        <w:t>to</w:t>
      </w:r>
      <w:r>
        <w:rPr>
          <w:spacing w:val="-16"/>
        </w:rPr>
        <w:t> </w:t>
      </w:r>
      <w:r>
        <w:rPr/>
        <w:t>optimize</w:t>
      </w:r>
      <w:r>
        <w:rPr>
          <w:spacing w:val="-16"/>
        </w:rPr>
        <w:t> </w:t>
      </w:r>
      <w:r>
        <w:rPr/>
        <w:t>the</w:t>
      </w:r>
      <w:r>
        <w:rPr>
          <w:spacing w:val="-17"/>
        </w:rPr>
        <w:t> </w:t>
      </w:r>
      <w:r>
        <w:rPr/>
        <w:t>digital</w:t>
      </w:r>
      <w:r>
        <w:rPr>
          <w:spacing w:val="-24"/>
        </w:rPr>
        <w:t> </w:t>
      </w:r>
      <w:r>
        <w:rPr/>
        <w:t>payment</w:t>
      </w:r>
      <w:r>
        <w:rPr>
          <w:spacing w:val="-11"/>
        </w:rPr>
        <w:t> </w:t>
      </w:r>
      <w:r>
        <w:rPr/>
        <w:t>services</w:t>
      </w:r>
      <w:r>
        <w:rPr>
          <w:spacing w:val="-18"/>
        </w:rPr>
        <w:t> </w:t>
      </w:r>
      <w:r>
        <w:rPr/>
        <w:t>offered</w:t>
      </w:r>
      <w:r>
        <w:rPr>
          <w:spacing w:val="-15"/>
        </w:rPr>
        <w:t> </w:t>
      </w:r>
      <w:r>
        <w:rPr/>
        <w:t>by</w:t>
      </w:r>
      <w:r>
        <w:rPr>
          <w:spacing w:val="-20"/>
        </w:rPr>
        <w:t> </w:t>
      </w:r>
      <w:r>
        <w:rPr/>
        <w:t>BaridiMob,</w:t>
      </w:r>
      <w:r>
        <w:rPr>
          <w:spacing w:val="-14"/>
        </w:rPr>
        <w:t> </w:t>
      </w:r>
      <w:r>
        <w:rPr/>
        <w:t>the</w:t>
      </w:r>
      <w:r>
        <w:rPr>
          <w:spacing w:val="-12"/>
        </w:rPr>
        <w:t> </w:t>
      </w:r>
      <w:r>
        <w:rPr/>
        <w:t>mobile application </w:t>
      </w:r>
      <w:r>
        <w:rPr>
          <w:spacing w:val="4"/>
        </w:rPr>
        <w:t>of </w:t>
      </w:r>
      <w:r>
        <w:rPr/>
        <w:t>Algérie Poste, by identifying the real issues experienced by users and proposing concrete improvement measures. To achieve this, a survey was conducted </w:t>
      </w:r>
      <w:r>
        <w:rPr>
          <w:spacing w:val="-3"/>
        </w:rPr>
        <w:t>among </w:t>
      </w:r>
      <w:r>
        <w:rPr/>
        <w:t>the</w:t>
      </w:r>
      <w:r>
        <w:rPr>
          <w:spacing w:val="-41"/>
        </w:rPr>
        <w:t> </w:t>
      </w:r>
      <w:r>
        <w:rPr/>
        <w:t>application's users. By analyzing the data from 400 respondents, the study highlights the </w:t>
      </w:r>
      <w:r>
        <w:rPr>
          <w:spacing w:val="-3"/>
        </w:rPr>
        <w:t>main </w:t>
      </w:r>
      <w:r>
        <w:rPr/>
        <w:t>factors affecting customer</w:t>
      </w:r>
      <w:r>
        <w:rPr>
          <w:spacing w:val="-7"/>
        </w:rPr>
        <w:t> </w:t>
      </w:r>
      <w:r>
        <w:rPr/>
        <w:t>satisfaction,</w:t>
      </w:r>
      <w:r>
        <w:rPr>
          <w:spacing w:val="-2"/>
        </w:rPr>
        <w:t> </w:t>
      </w:r>
      <w:r>
        <w:rPr/>
        <w:t>including</w:t>
      </w:r>
      <w:r>
        <w:rPr>
          <w:spacing w:val="-8"/>
        </w:rPr>
        <w:t> </w:t>
      </w:r>
      <w:r>
        <w:rPr/>
        <w:t>perceived</w:t>
      </w:r>
      <w:r>
        <w:rPr>
          <w:spacing w:val="-3"/>
        </w:rPr>
        <w:t> </w:t>
      </w:r>
      <w:r>
        <w:rPr/>
        <w:t>security,</w:t>
      </w:r>
      <w:r>
        <w:rPr>
          <w:spacing w:val="-7"/>
        </w:rPr>
        <w:t> </w:t>
      </w:r>
      <w:r>
        <w:rPr/>
        <w:t>service</w:t>
      </w:r>
      <w:r>
        <w:rPr>
          <w:spacing w:val="-9"/>
        </w:rPr>
        <w:t> </w:t>
      </w:r>
      <w:r>
        <w:rPr/>
        <w:t>availability,</w:t>
      </w:r>
      <w:r>
        <w:rPr>
          <w:spacing w:val="-6"/>
        </w:rPr>
        <w:t> </w:t>
      </w:r>
      <w:r>
        <w:rPr/>
        <w:t>the</w:t>
      </w:r>
      <w:r>
        <w:rPr>
          <w:spacing w:val="-4"/>
        </w:rPr>
        <w:t> </w:t>
      </w:r>
      <w:r>
        <w:rPr/>
        <w:t>frequency</w:t>
      </w:r>
      <w:r>
        <w:rPr>
          <w:spacing w:val="-13"/>
        </w:rPr>
        <w:t> </w:t>
      </w:r>
      <w:r>
        <w:rPr>
          <w:spacing w:val="4"/>
        </w:rPr>
        <w:t>of</w:t>
      </w:r>
      <w:r>
        <w:rPr>
          <w:spacing w:val="-16"/>
        </w:rPr>
        <w:t> </w:t>
      </w:r>
      <w:r>
        <w:rPr/>
        <w:t>technical bugs,</w:t>
      </w:r>
      <w:r>
        <w:rPr>
          <w:spacing w:val="-5"/>
        </w:rPr>
        <w:t> </w:t>
      </w:r>
      <w:r>
        <w:rPr/>
        <w:t>and</w:t>
      </w:r>
      <w:r>
        <w:rPr>
          <w:spacing w:val="-7"/>
        </w:rPr>
        <w:t> </w:t>
      </w:r>
      <w:r>
        <w:rPr/>
        <w:t>the</w:t>
      </w:r>
      <w:r>
        <w:rPr>
          <w:spacing w:val="-8"/>
        </w:rPr>
        <w:t> </w:t>
      </w:r>
      <w:r>
        <w:rPr/>
        <w:t>quality</w:t>
      </w:r>
      <w:r>
        <w:rPr>
          <w:spacing w:val="-11"/>
        </w:rPr>
        <w:t> </w:t>
      </w:r>
      <w:r>
        <w:rPr>
          <w:spacing w:val="4"/>
        </w:rPr>
        <w:t>of</w:t>
      </w:r>
      <w:r>
        <w:rPr>
          <w:spacing w:val="-15"/>
        </w:rPr>
        <w:t> </w:t>
      </w:r>
      <w:r>
        <w:rPr/>
        <w:t>customer</w:t>
      </w:r>
      <w:r>
        <w:rPr>
          <w:spacing w:val="-4"/>
        </w:rPr>
        <w:t> </w:t>
      </w:r>
      <w:r>
        <w:rPr/>
        <w:t>support.</w:t>
      </w:r>
      <w:r>
        <w:rPr>
          <w:spacing w:val="-4"/>
        </w:rPr>
        <w:t> </w:t>
      </w:r>
      <w:r>
        <w:rPr/>
        <w:t>The</w:t>
      </w:r>
      <w:r>
        <w:rPr>
          <w:spacing w:val="-8"/>
        </w:rPr>
        <w:t> </w:t>
      </w:r>
      <w:r>
        <w:rPr/>
        <w:t>results</w:t>
      </w:r>
      <w:r>
        <w:rPr>
          <w:spacing w:val="-4"/>
        </w:rPr>
        <w:t> </w:t>
      </w:r>
      <w:r>
        <w:rPr/>
        <w:t>show</w:t>
      </w:r>
      <w:r>
        <w:rPr>
          <w:spacing w:val="-7"/>
        </w:rPr>
        <w:t> </w:t>
      </w:r>
      <w:r>
        <w:rPr/>
        <w:t>that</w:t>
      </w:r>
      <w:r>
        <w:rPr>
          <w:spacing w:val="-2"/>
        </w:rPr>
        <w:t> </w:t>
      </w:r>
      <w:r>
        <w:rPr/>
        <w:t>frequent</w:t>
      </w:r>
      <w:r>
        <w:rPr>
          <w:spacing w:val="3"/>
        </w:rPr>
        <w:t> </w:t>
      </w:r>
      <w:r>
        <w:rPr/>
        <w:t>malfunctions,</w:t>
      </w:r>
      <w:r>
        <w:rPr>
          <w:spacing w:val="-1"/>
        </w:rPr>
        <w:t> </w:t>
      </w:r>
      <w:r>
        <w:rPr/>
        <w:t>night-time service interruptions, and slow support responses reduce customer trust. This research offers recommendations aimed at ensuring a smoother, more secure, and more reliable user experience, </w:t>
      </w:r>
      <w:r>
        <w:rPr>
          <w:spacing w:val="-3"/>
        </w:rPr>
        <w:t>in </w:t>
      </w:r>
      <w:r>
        <w:rPr/>
        <w:t>support of Algérie Poste’s digitalization</w:t>
      </w:r>
      <w:r>
        <w:rPr>
          <w:spacing w:val="-3"/>
        </w:rPr>
        <w:t> </w:t>
      </w:r>
      <w:r>
        <w:rPr/>
        <w:t>strategy.</w:t>
      </w:r>
    </w:p>
    <w:p>
      <w:pPr>
        <w:pStyle w:val="ListParagraph"/>
        <w:numPr>
          <w:ilvl w:val="0"/>
          <w:numId w:val="5"/>
        </w:numPr>
        <w:tabs>
          <w:tab w:pos="1410" w:val="left" w:leader="none"/>
          <w:tab w:pos="1411" w:val="left" w:leader="none"/>
        </w:tabs>
        <w:spacing w:line="240" w:lineRule="auto" w:before="161" w:after="0"/>
        <w:ind w:left="1410" w:right="0" w:hanging="361"/>
        <w:jc w:val="left"/>
        <w:rPr>
          <w:sz w:val="24"/>
        </w:rPr>
      </w:pPr>
      <w:r>
        <w:rPr/>
        <w:pict>
          <v:shape style="position:absolute;margin-left:84.984001pt;margin-top:29.234451pt;width:473pt;height:19.7pt;mso-position-horizontal-relative:page;mso-position-vertical-relative:paragraph;z-index:-251650048;mso-wrap-distance-left:0;mso-wrap-distance-right:0" type="#_x0000_t202" filled="true" fillcolor="#ffe499" stroked="true" strokeweight=".47998pt" strokecolor="#ffc000">
            <v:textbox inset="0,0,0,0">
              <w:txbxContent>
                <w:p>
                  <w:pPr>
                    <w:bidi/>
                    <w:spacing w:line="364" w:lineRule="exact" w:before="0"/>
                    <w:ind w:left="4026" w:right="4032" w:firstLine="0"/>
                    <w:jc w:val="center"/>
                    <w:rPr>
                      <w:rFonts w:ascii="Calibri Light" w:cs="Calibri Light"/>
                      <w:b w:val="0"/>
                      <w:bCs w:val="0"/>
                      <w:sz w:val="30"/>
                      <w:szCs w:val="30"/>
                    </w:rPr>
                  </w:pPr>
                  <w:r>
                    <w:rPr>
                      <w:rFonts w:ascii="Calibri Light" w:cs="Calibri Light"/>
                      <w:b w:val="0"/>
                      <w:bCs w:val="0"/>
                      <w:w w:val="77"/>
                      <w:sz w:val="30"/>
                      <w:szCs w:val="30"/>
                      <w:rtl/>
                    </w:rPr>
                    <w:t>م</w:t>
                  </w:r>
                  <w:r>
                    <w:rPr>
                      <w:rFonts w:ascii="Calibri Light" w:cs="Calibri Light"/>
                      <w:b w:val="0"/>
                      <w:bCs w:val="0"/>
                      <w:w w:val="49"/>
                      <w:sz w:val="30"/>
                      <w:szCs w:val="30"/>
                      <w:rtl/>
                    </w:rPr>
                    <w:t>ل</w:t>
                  </w:r>
                  <w:r>
                    <w:rPr>
                      <w:rFonts w:ascii="Calibri Light" w:cs="Calibri Light"/>
                      <w:b w:val="0"/>
                      <w:bCs w:val="0"/>
                      <w:spacing w:val="-6"/>
                      <w:w w:val="123"/>
                      <w:sz w:val="30"/>
                      <w:szCs w:val="30"/>
                      <w:rtl/>
                    </w:rPr>
                    <w:t>خ</w:t>
                  </w:r>
                  <w:r>
                    <w:rPr>
                      <w:rFonts w:ascii="Calibri Light" w:cs="Calibri Light"/>
                      <w:b w:val="0"/>
                      <w:bCs w:val="0"/>
                      <w:spacing w:val="-11"/>
                      <w:w w:val="205"/>
                      <w:sz w:val="30"/>
                      <w:szCs w:val="30"/>
                      <w:rtl/>
                    </w:rPr>
                    <w:t>ص</w:t>
                  </w:r>
                </w:p>
              </w:txbxContent>
            </v:textbox>
            <v:fill type="solid"/>
            <v:stroke dashstyle="solid"/>
            <w10:wrap type="topAndBottom"/>
          </v:shape>
        </w:pict>
      </w:r>
      <w:r>
        <w:rPr>
          <w:b/>
          <w:sz w:val="24"/>
        </w:rPr>
        <w:t>Keywords : </w:t>
      </w:r>
      <w:r>
        <w:rPr>
          <w:sz w:val="24"/>
        </w:rPr>
        <w:t>digital payment, </w:t>
      </w:r>
      <w:r>
        <w:rPr>
          <w:spacing w:val="-3"/>
          <w:sz w:val="24"/>
        </w:rPr>
        <w:t>mobile </w:t>
      </w:r>
      <w:r>
        <w:rPr>
          <w:sz w:val="24"/>
        </w:rPr>
        <w:t>application, customer satisfaction, user</w:t>
      </w:r>
      <w:r>
        <w:rPr>
          <w:spacing w:val="3"/>
          <w:sz w:val="24"/>
        </w:rPr>
        <w:t> </w:t>
      </w:r>
      <w:r>
        <w:rPr>
          <w:sz w:val="24"/>
        </w:rPr>
        <w:t>experience</w:t>
      </w:r>
    </w:p>
    <w:p>
      <w:pPr>
        <w:pStyle w:val="BodyText"/>
        <w:spacing w:before="5"/>
        <w:rPr>
          <w:sz w:val="20"/>
        </w:rPr>
      </w:pPr>
    </w:p>
    <w:p>
      <w:pPr>
        <w:pStyle w:val="BodyText"/>
        <w:bidi/>
        <w:spacing w:line="275" w:lineRule="exact" w:before="1"/>
        <w:ind w:left="0" w:right="709"/>
        <w:jc w:val="right"/>
        <w:rPr>
          <w:rFonts w:ascii="Arial" w:cs="Arial"/>
        </w:rPr>
      </w:pPr>
      <w:r>
        <w:rPr>
          <w:rFonts w:ascii="Arial" w:cs="Arial"/>
          <w:w w:val="38"/>
          <w:rtl/>
        </w:rPr>
        <w:t>ي</w:t>
      </w:r>
      <w:r>
        <w:rPr>
          <w:rFonts w:ascii="Arial" w:cs="Arial"/>
          <w:spacing w:val="1"/>
          <w:w w:val="118"/>
          <w:rtl/>
        </w:rPr>
        <w:t>ه</w:t>
      </w:r>
      <w:r>
        <w:rPr>
          <w:rFonts w:ascii="Arial" w:cs="Arial"/>
          <w:spacing w:val="-1"/>
          <w:w w:val="118"/>
          <w:rtl/>
        </w:rPr>
        <w:t>د</w:t>
      </w:r>
      <w:r>
        <w:rPr>
          <w:rFonts w:ascii="Arial" w:cs="Arial"/>
          <w:spacing w:val="-3"/>
          <w:rtl/>
        </w:rPr>
        <w:t>ف</w:t>
      </w:r>
      <w:r>
        <w:rPr>
          <w:rFonts w:ascii="Arial" w:cs="Arial"/>
          <w:spacing w:val="12"/>
          <w:rtl/>
        </w:rPr>
        <w:t> </w:t>
      </w:r>
      <w:r>
        <w:rPr>
          <w:rFonts w:ascii="Arial" w:cs="Arial"/>
          <w:w w:val="127"/>
          <w:rtl/>
        </w:rPr>
        <w:t>ه</w:t>
      </w:r>
      <w:r>
        <w:rPr>
          <w:rFonts w:ascii="Arial" w:cs="Arial"/>
          <w:spacing w:val="-1"/>
          <w:w w:val="127"/>
          <w:rtl/>
        </w:rPr>
        <w:t>ذ</w:t>
      </w:r>
      <w:r>
        <w:rPr>
          <w:rFonts w:ascii="Arial" w:cs="Arial"/>
          <w:spacing w:val="-2"/>
          <w:rtl/>
        </w:rPr>
        <w:t>ا</w:t>
      </w:r>
      <w:r>
        <w:rPr>
          <w:rFonts w:ascii="Arial" w:cs="Arial"/>
          <w:spacing w:val="8"/>
          <w:rtl/>
        </w:rPr>
        <w:t> </w:t>
      </w:r>
      <w:r>
        <w:rPr>
          <w:rFonts w:ascii="Arial" w:cs="Arial"/>
          <w:rtl/>
        </w:rPr>
        <w:t>ا</w:t>
      </w:r>
      <w:r>
        <w:rPr>
          <w:rFonts w:ascii="Arial" w:cs="Arial"/>
          <w:spacing w:val="-2"/>
          <w:w w:val="40"/>
          <w:rtl/>
        </w:rPr>
        <w:t>ل</w:t>
      </w:r>
      <w:r>
        <w:rPr>
          <w:rFonts w:ascii="Arial" w:cs="Arial"/>
          <w:spacing w:val="3"/>
          <w:w w:val="34"/>
          <w:rtl/>
        </w:rPr>
        <w:t>ب</w:t>
      </w:r>
      <w:r>
        <w:rPr>
          <w:rFonts w:ascii="Arial" w:cs="Arial"/>
          <w:spacing w:val="-3"/>
          <w:w w:val="94"/>
          <w:rtl/>
        </w:rPr>
        <w:t>ح</w:t>
      </w:r>
      <w:r>
        <w:rPr>
          <w:rFonts w:ascii="Arial" w:cs="Arial"/>
          <w:spacing w:val="1"/>
          <w:rtl/>
        </w:rPr>
        <w:t>ث</w:t>
      </w:r>
      <w:r>
        <w:rPr>
          <w:rFonts w:ascii="Arial" w:cs="Arial"/>
          <w:spacing w:val="8"/>
          <w:rtl/>
        </w:rPr>
        <w:t> </w:t>
      </w:r>
      <w:r>
        <w:rPr>
          <w:rFonts w:ascii="Arial" w:cs="Arial"/>
          <w:rtl/>
        </w:rPr>
        <w:t>إ</w:t>
      </w:r>
      <w:r>
        <w:rPr>
          <w:rFonts w:ascii="Arial" w:cs="Arial"/>
          <w:spacing w:val="2"/>
          <w:w w:val="40"/>
          <w:rtl/>
        </w:rPr>
        <w:t>ل</w:t>
      </w:r>
      <w:r>
        <w:rPr>
          <w:rFonts w:ascii="Arial" w:cs="Arial"/>
          <w:spacing w:val="-3"/>
          <w:w w:val="92"/>
          <w:rtl/>
        </w:rPr>
        <w:t>ى</w:t>
      </w:r>
      <w:r>
        <w:rPr>
          <w:rFonts w:ascii="Arial" w:cs="Arial"/>
          <w:spacing w:val="13"/>
          <w:rtl/>
        </w:rPr>
        <w:t> </w:t>
      </w:r>
      <w:r>
        <w:rPr>
          <w:rFonts w:ascii="Arial" w:cs="Arial"/>
          <w:w w:val="34"/>
          <w:rtl/>
        </w:rPr>
        <w:t>ت</w:t>
      </w:r>
      <w:r>
        <w:rPr>
          <w:rFonts w:ascii="Arial" w:cs="Arial"/>
          <w:spacing w:val="-3"/>
          <w:w w:val="94"/>
          <w:rtl/>
        </w:rPr>
        <w:t>ح</w:t>
      </w:r>
      <w:r>
        <w:rPr>
          <w:rFonts w:ascii="Arial" w:cs="Arial"/>
          <w:spacing w:val="1"/>
          <w:w w:val="64"/>
          <w:rtl/>
        </w:rPr>
        <w:t>س</w:t>
      </w:r>
      <w:r>
        <w:rPr>
          <w:rFonts w:ascii="Arial" w:cs="Arial"/>
          <w:spacing w:val="-1"/>
          <w:w w:val="38"/>
          <w:rtl/>
        </w:rPr>
        <w:t>ي</w:t>
      </w:r>
      <w:r>
        <w:rPr>
          <w:rFonts w:ascii="Arial" w:cs="Arial"/>
          <w:spacing w:val="-2"/>
          <w:rtl/>
        </w:rPr>
        <w:t>ن</w:t>
      </w:r>
      <w:r>
        <w:rPr>
          <w:rFonts w:ascii="Arial" w:cs="Arial"/>
          <w:spacing w:val="12"/>
          <w:rtl/>
        </w:rPr>
        <w:t> </w:t>
      </w:r>
      <w:r>
        <w:rPr>
          <w:rFonts w:ascii="Arial" w:cs="Arial"/>
          <w:w w:val="96"/>
          <w:rtl/>
        </w:rPr>
        <w:t>خ</w:t>
      </w:r>
      <w:r>
        <w:rPr>
          <w:rFonts w:ascii="Arial" w:cs="Arial"/>
          <w:spacing w:val="-1"/>
          <w:w w:val="96"/>
          <w:rtl/>
        </w:rPr>
        <w:t>د</w:t>
      </w:r>
      <w:r>
        <w:rPr>
          <w:rFonts w:ascii="Arial" w:cs="Arial"/>
          <w:spacing w:val="1"/>
          <w:w w:val="116"/>
          <w:rtl/>
        </w:rPr>
        <w:t>م</w:t>
      </w:r>
      <w:r>
        <w:rPr>
          <w:rFonts w:ascii="Arial" w:cs="Arial"/>
          <w:spacing w:val="-3"/>
          <w:w w:val="110"/>
          <w:rtl/>
        </w:rPr>
        <w:t>ا</w:t>
      </w:r>
      <w:r>
        <w:rPr>
          <w:rFonts w:ascii="Arial" w:cs="Arial"/>
          <w:spacing w:val="1"/>
          <w:rtl/>
        </w:rPr>
        <w:t>ت</w:t>
      </w:r>
      <w:r>
        <w:rPr>
          <w:rFonts w:ascii="Arial" w:cs="Arial"/>
          <w:spacing w:val="8"/>
          <w:rtl/>
        </w:rPr>
        <w:t> </w:t>
      </w:r>
      <w:r>
        <w:rPr>
          <w:rFonts w:ascii="Arial" w:cs="Arial"/>
          <w:rtl/>
        </w:rPr>
        <w:t>ا</w:t>
      </w:r>
      <w:r>
        <w:rPr>
          <w:rFonts w:ascii="Arial" w:cs="Arial"/>
          <w:spacing w:val="-2"/>
          <w:w w:val="64"/>
          <w:rtl/>
        </w:rPr>
        <w:t>ل</w:t>
      </w:r>
      <w:r>
        <w:rPr>
          <w:rFonts w:ascii="Arial" w:cs="Arial"/>
          <w:spacing w:val="-1"/>
          <w:w w:val="64"/>
          <w:rtl/>
        </w:rPr>
        <w:t>د</w:t>
      </w:r>
      <w:r>
        <w:rPr>
          <w:rFonts w:ascii="Arial" w:cs="Arial"/>
          <w:spacing w:val="-2"/>
          <w:w w:val="33"/>
          <w:rtl/>
        </w:rPr>
        <w:t>ف</w:t>
      </w:r>
      <w:r>
        <w:rPr>
          <w:rFonts w:ascii="Arial" w:cs="Arial"/>
          <w:spacing w:val="2"/>
          <w:w w:val="82"/>
          <w:rtl/>
        </w:rPr>
        <w:t>ع</w:t>
      </w:r>
      <w:r>
        <w:rPr>
          <w:rFonts w:ascii="Arial" w:cs="Arial"/>
          <w:spacing w:val="13"/>
          <w:rtl/>
        </w:rPr>
        <w:t> </w:t>
      </w:r>
      <w:r>
        <w:rPr>
          <w:rFonts w:ascii="Arial" w:cs="Arial"/>
          <w:rtl/>
        </w:rPr>
        <w:t>ا</w:t>
      </w:r>
      <w:r>
        <w:rPr>
          <w:rFonts w:ascii="Arial" w:cs="Arial"/>
          <w:spacing w:val="-2"/>
          <w:w w:val="40"/>
          <w:rtl/>
        </w:rPr>
        <w:t>ل</w:t>
      </w:r>
      <w:r>
        <w:rPr>
          <w:rFonts w:ascii="Arial" w:cs="Arial"/>
          <w:spacing w:val="2"/>
          <w:rtl/>
        </w:rPr>
        <w:t>ر</w:t>
      </w:r>
      <w:r>
        <w:rPr>
          <w:rFonts w:ascii="Arial" w:cs="Arial"/>
          <w:spacing w:val="-2"/>
          <w:w w:val="46"/>
          <w:rtl/>
        </w:rPr>
        <w:t>ق</w:t>
      </w:r>
      <w:r>
        <w:rPr>
          <w:rFonts w:ascii="Arial" w:cs="Arial"/>
          <w:spacing w:val="1"/>
          <w:w w:val="116"/>
          <w:rtl/>
        </w:rPr>
        <w:t>م</w:t>
      </w:r>
      <w:r>
        <w:rPr>
          <w:rFonts w:ascii="Arial" w:cs="Arial"/>
          <w:spacing w:val="-3"/>
          <w:w w:val="92"/>
          <w:rtl/>
        </w:rPr>
        <w:t>ي</w:t>
      </w:r>
      <w:r>
        <w:rPr>
          <w:rFonts w:ascii="Arial" w:cs="Arial"/>
          <w:spacing w:val="12"/>
          <w:rtl/>
        </w:rPr>
        <w:t> </w:t>
      </w:r>
      <w:r>
        <w:rPr>
          <w:rFonts w:ascii="Arial" w:cs="Arial"/>
          <w:rtl/>
        </w:rPr>
        <w:t>ا</w:t>
      </w:r>
      <w:r>
        <w:rPr>
          <w:rFonts w:ascii="Arial" w:cs="Arial"/>
          <w:spacing w:val="-2"/>
          <w:w w:val="40"/>
          <w:rtl/>
        </w:rPr>
        <w:t>ل</w:t>
      </w:r>
      <w:r>
        <w:rPr>
          <w:rFonts w:ascii="Arial" w:cs="Arial"/>
          <w:spacing w:val="-1"/>
          <w:w w:val="34"/>
          <w:rtl/>
        </w:rPr>
        <w:t>ت</w:t>
      </w:r>
      <w:r>
        <w:rPr>
          <w:rFonts w:ascii="Arial" w:cs="Arial"/>
          <w:spacing w:val="2"/>
          <w:w w:val="92"/>
          <w:rtl/>
        </w:rPr>
        <w:t>ي</w:t>
      </w:r>
      <w:r>
        <w:rPr>
          <w:rFonts w:ascii="Arial" w:cs="Arial"/>
          <w:spacing w:val="8"/>
          <w:rtl/>
        </w:rPr>
        <w:t> </w:t>
      </w:r>
      <w:r>
        <w:rPr>
          <w:rFonts w:ascii="Arial" w:cs="Arial"/>
          <w:w w:val="54"/>
          <w:rtl/>
        </w:rPr>
        <w:t>ي</w:t>
      </w:r>
      <w:r>
        <w:rPr>
          <w:rFonts w:ascii="Arial" w:cs="Arial"/>
          <w:spacing w:val="-1"/>
          <w:w w:val="54"/>
          <w:rtl/>
        </w:rPr>
        <w:t>قد</w:t>
      </w:r>
      <w:r>
        <w:rPr>
          <w:rFonts w:ascii="Arial" w:cs="Arial"/>
          <w:spacing w:val="1"/>
          <w:w w:val="116"/>
          <w:rtl/>
        </w:rPr>
        <w:t>م</w:t>
      </w:r>
      <w:r>
        <w:rPr>
          <w:rFonts w:ascii="Arial" w:cs="Arial"/>
          <w:spacing w:val="1"/>
          <w:w w:val="139"/>
          <w:rtl/>
        </w:rPr>
        <w:t>ه</w:t>
      </w:r>
      <w:r>
        <w:rPr>
          <w:rFonts w:ascii="Arial" w:cs="Arial"/>
          <w:spacing w:val="-3"/>
          <w:w w:val="110"/>
          <w:rtl/>
        </w:rPr>
        <w:t>ا</w:t>
      </w:r>
      <w:r>
        <w:rPr>
          <w:rFonts w:ascii="Arial" w:cs="Arial"/>
          <w:spacing w:val="13"/>
          <w:rtl/>
        </w:rPr>
        <w:t> </w:t>
      </w:r>
      <w:r>
        <w:rPr>
          <w:rFonts w:ascii="Arial" w:cs="Arial"/>
          <w:w w:val="63"/>
          <w:rtl/>
        </w:rPr>
        <w:t>تط</w:t>
      </w:r>
      <w:r>
        <w:rPr>
          <w:rFonts w:ascii="Arial" w:cs="Arial"/>
          <w:spacing w:val="-1"/>
          <w:w w:val="34"/>
          <w:rtl/>
        </w:rPr>
        <w:t>ب</w:t>
      </w:r>
      <w:r>
        <w:rPr>
          <w:rFonts w:ascii="Arial" w:cs="Arial"/>
          <w:spacing w:val="-2"/>
          <w:w w:val="67"/>
          <w:rtl/>
        </w:rPr>
        <w:t>ي</w:t>
      </w:r>
      <w:r>
        <w:rPr>
          <w:rFonts w:ascii="Arial" w:cs="Arial"/>
          <w:w w:val="67"/>
          <w:rtl/>
        </w:rPr>
        <w:t>ق</w:t>
      </w:r>
      <w:r>
        <w:rPr>
          <w:rFonts w:ascii="Arial" w:cs="Arial"/>
          <w:spacing w:val="12"/>
          <w:rtl/>
        </w:rPr>
        <w:t> </w:t>
      </w:r>
      <w:r>
        <w:rPr>
          <w:rFonts w:ascii="Arial" w:cs="Arial"/>
          <w:spacing w:val="-2"/>
        </w:rPr>
        <w:t>B</w:t>
      </w:r>
      <w:r>
        <w:rPr>
          <w:rFonts w:ascii="Arial" w:cs="Arial"/>
          <w:w w:val="99"/>
        </w:rPr>
        <w:t>a</w:t>
      </w:r>
      <w:r>
        <w:rPr>
          <w:rFonts w:ascii="Arial" w:cs="Arial"/>
          <w:spacing w:val="1"/>
          <w:w w:val="99"/>
        </w:rPr>
        <w:t>r</w:t>
      </w:r>
      <w:r>
        <w:rPr>
          <w:rFonts w:ascii="Arial" w:cs="Arial"/>
          <w:spacing w:val="4"/>
          <w:w w:val="99"/>
        </w:rPr>
        <w:t>i</w:t>
      </w:r>
      <w:r>
        <w:rPr>
          <w:rFonts w:ascii="Arial" w:cs="Arial"/>
          <w:w w:val="99"/>
        </w:rPr>
        <w:t>d</w:t>
      </w:r>
      <w:r>
        <w:rPr>
          <w:rFonts w:ascii="Arial" w:cs="Arial"/>
          <w:spacing w:val="4"/>
          <w:w w:val="99"/>
        </w:rPr>
        <w:t>i</w:t>
      </w:r>
      <w:r>
        <w:rPr>
          <w:rFonts w:ascii="Arial" w:cs="Arial"/>
          <w:spacing w:val="-4"/>
          <w:w w:val="99"/>
        </w:rPr>
        <w:t>M</w:t>
      </w:r>
      <w:r>
        <w:rPr>
          <w:rFonts w:ascii="Arial" w:cs="Arial"/>
          <w:w w:val="99"/>
        </w:rPr>
        <w:t>ob</w:t>
      </w:r>
      <w:r>
        <w:rPr>
          <w:rFonts w:ascii="Arial" w:cs="Arial"/>
          <w:spacing w:val="12"/>
          <w:rtl/>
        </w:rPr>
        <w:t> </w:t>
      </w:r>
      <w:r>
        <w:rPr>
          <w:rFonts w:ascii="Arial" w:cs="Arial"/>
          <w:rtl/>
        </w:rPr>
        <w:t>ا</w:t>
      </w:r>
      <w:r>
        <w:rPr>
          <w:rFonts w:ascii="Arial" w:cs="Arial"/>
          <w:spacing w:val="-2"/>
          <w:w w:val="40"/>
          <w:rtl/>
        </w:rPr>
        <w:t>ل</w:t>
      </w:r>
      <w:r>
        <w:rPr>
          <w:rFonts w:ascii="Arial" w:cs="Arial"/>
          <w:spacing w:val="-1"/>
          <w:w w:val="34"/>
          <w:rtl/>
        </w:rPr>
        <w:t>ت</w:t>
      </w:r>
      <w:r>
        <w:rPr>
          <w:rFonts w:ascii="Arial" w:cs="Arial"/>
          <w:spacing w:val="-3"/>
          <w:w w:val="110"/>
          <w:rtl/>
        </w:rPr>
        <w:t>ا</w:t>
      </w:r>
      <w:r>
        <w:rPr>
          <w:rFonts w:ascii="Arial" w:cs="Arial"/>
          <w:spacing w:val="-1"/>
          <w:w w:val="34"/>
          <w:rtl/>
        </w:rPr>
        <w:t>ب</w:t>
      </w:r>
      <w:r>
        <w:rPr>
          <w:rFonts w:ascii="Arial" w:cs="Arial"/>
          <w:spacing w:val="2"/>
          <w:w w:val="82"/>
          <w:rtl/>
        </w:rPr>
        <w:t>ع</w:t>
      </w:r>
      <w:r>
        <w:rPr>
          <w:rFonts w:ascii="Arial" w:cs="Arial"/>
          <w:spacing w:val="8"/>
          <w:rtl/>
        </w:rPr>
        <w:t> </w:t>
      </w:r>
      <w:r>
        <w:rPr>
          <w:rFonts w:ascii="Arial" w:cs="Arial"/>
          <w:w w:val="40"/>
          <w:rtl/>
        </w:rPr>
        <w:t>ل</w:t>
      </w:r>
      <w:r>
        <w:rPr>
          <w:rFonts w:ascii="Arial" w:cs="Arial"/>
          <w:spacing w:val="-1"/>
          <w:w w:val="34"/>
          <w:rtl/>
        </w:rPr>
        <w:t>ب</w:t>
      </w:r>
      <w:r>
        <w:rPr>
          <w:rFonts w:ascii="Arial" w:cs="Arial"/>
          <w:spacing w:val="2"/>
          <w:w w:val="73"/>
          <w:rtl/>
        </w:rPr>
        <w:t>ر</w:t>
      </w:r>
      <w:r>
        <w:rPr>
          <w:rFonts w:ascii="Arial" w:cs="Arial"/>
          <w:spacing w:val="-1"/>
          <w:w w:val="73"/>
          <w:rtl/>
        </w:rPr>
        <w:t>يد</w:t>
      </w:r>
      <w:r>
        <w:rPr>
          <w:rFonts w:ascii="Arial" w:cs="Arial"/>
          <w:spacing w:val="8"/>
          <w:rtl/>
        </w:rPr>
        <w:t> </w:t>
      </w:r>
      <w:r>
        <w:rPr>
          <w:rFonts w:ascii="Arial" w:cs="Arial"/>
          <w:rtl/>
        </w:rPr>
        <w:t>ا</w:t>
      </w:r>
      <w:r>
        <w:rPr>
          <w:rFonts w:ascii="Arial" w:cs="Arial"/>
          <w:spacing w:val="2"/>
          <w:w w:val="40"/>
          <w:rtl/>
        </w:rPr>
        <w:t>ل</w:t>
      </w:r>
      <w:r>
        <w:rPr>
          <w:rFonts w:ascii="Arial" w:cs="Arial"/>
          <w:spacing w:val="-3"/>
          <w:w w:val="94"/>
          <w:rtl/>
        </w:rPr>
        <w:t>ج</w:t>
      </w:r>
      <w:r>
        <w:rPr>
          <w:rFonts w:ascii="Arial" w:cs="Arial"/>
          <w:spacing w:val="2"/>
          <w:rtl/>
        </w:rPr>
        <w:t>ز</w:t>
      </w:r>
      <w:r>
        <w:rPr>
          <w:rFonts w:ascii="Arial" w:cs="Arial"/>
          <w:spacing w:val="-2"/>
          <w:rtl/>
        </w:rPr>
        <w:t>ا</w:t>
      </w:r>
      <w:r>
        <w:rPr>
          <w:rFonts w:ascii="Arial" w:cs="Arial"/>
          <w:spacing w:val="-1"/>
          <w:w w:val="38"/>
          <w:rtl/>
        </w:rPr>
        <w:t>ئ</w:t>
      </w:r>
      <w:r>
        <w:rPr>
          <w:rFonts w:ascii="Arial" w:cs="Arial"/>
          <w:spacing w:val="-3"/>
          <w:rtl/>
        </w:rPr>
        <w:t>ر</w:t>
      </w:r>
      <w:r>
        <w:rPr>
          <w:rFonts w:ascii="Arial" w:cs="Arial"/>
          <w:spacing w:val="4"/>
          <w:rtl/>
        </w:rPr>
        <w:t>،</w:t>
      </w:r>
      <w:r>
        <w:rPr>
          <w:rFonts w:ascii="Arial" w:cs="Arial"/>
          <w:spacing w:val="11"/>
          <w:rtl/>
        </w:rPr>
        <w:t> </w:t>
      </w:r>
      <w:r>
        <w:rPr>
          <w:rFonts w:ascii="Arial" w:cs="Arial"/>
          <w:w w:val="116"/>
          <w:rtl/>
        </w:rPr>
        <w:t>م</w:t>
      </w:r>
      <w:r>
        <w:rPr>
          <w:rFonts w:ascii="Arial" w:cs="Arial"/>
          <w:spacing w:val="-2"/>
          <w:rtl/>
        </w:rPr>
        <w:t>ن</w:t>
      </w:r>
      <w:r>
        <w:rPr>
          <w:rFonts w:ascii="Arial" w:cs="Arial"/>
          <w:spacing w:val="7"/>
          <w:rtl/>
        </w:rPr>
        <w:t> </w:t>
      </w:r>
      <w:r>
        <w:rPr>
          <w:rFonts w:ascii="Arial" w:cs="Arial"/>
          <w:w w:val="94"/>
          <w:rtl/>
        </w:rPr>
        <w:t>خ</w:t>
      </w:r>
      <w:r>
        <w:rPr>
          <w:rFonts w:ascii="Arial" w:cs="Arial"/>
          <w:spacing w:val="4"/>
          <w:w w:val="84"/>
          <w:rtl/>
        </w:rPr>
        <w:t>ا</w:t>
      </w:r>
      <w:r>
        <w:rPr>
          <w:rFonts w:ascii="Arial" w:cs="Arial"/>
          <w:w w:val="84"/>
          <w:rtl/>
        </w:rPr>
        <w:t>ل</w:t>
      </w:r>
      <w:r>
        <w:rPr>
          <w:rFonts w:ascii="Arial" w:cs="Arial"/>
          <w:spacing w:val="3"/>
          <w:rtl/>
        </w:rPr>
        <w:t>ل</w:t>
      </w:r>
    </w:p>
    <w:p>
      <w:pPr>
        <w:pStyle w:val="BodyText"/>
        <w:bidi/>
        <w:spacing w:line="275" w:lineRule="exact"/>
        <w:ind w:left="0" w:right="708"/>
        <w:jc w:val="right"/>
        <w:rPr>
          <w:rFonts w:ascii="Arial" w:cs="Arial"/>
        </w:rPr>
      </w:pPr>
      <w:r>
        <w:rPr>
          <w:rFonts w:ascii="Arial" w:cs="Arial"/>
          <w:w w:val="34"/>
          <w:rtl/>
        </w:rPr>
        <w:t>ت</w:t>
      </w:r>
      <w:r>
        <w:rPr>
          <w:rFonts w:ascii="Arial" w:cs="Arial"/>
          <w:spacing w:val="-2"/>
          <w:w w:val="96"/>
          <w:rtl/>
        </w:rPr>
        <w:t>ح</w:t>
      </w:r>
      <w:r>
        <w:rPr>
          <w:rFonts w:ascii="Arial" w:cs="Arial"/>
          <w:spacing w:val="-1"/>
          <w:w w:val="96"/>
          <w:rtl/>
        </w:rPr>
        <w:t>د</w:t>
      </w:r>
      <w:r>
        <w:rPr>
          <w:rFonts w:ascii="Arial" w:cs="Arial"/>
          <w:spacing w:val="-1"/>
          <w:w w:val="38"/>
          <w:rtl/>
        </w:rPr>
        <w:t>ي</w:t>
      </w:r>
      <w:r>
        <w:rPr>
          <w:rFonts w:ascii="Arial" w:cs="Arial"/>
          <w:rtl/>
        </w:rPr>
        <w:t>د</w:t>
      </w:r>
      <w:r>
        <w:rPr>
          <w:rFonts w:ascii="Arial" w:cs="Arial"/>
          <w:spacing w:val="-2"/>
          <w:rtl/>
        </w:rPr>
        <w:t> </w:t>
      </w:r>
      <w:r>
        <w:rPr>
          <w:rFonts w:ascii="Arial" w:cs="Arial"/>
          <w:rtl/>
        </w:rPr>
        <w:t>ا</w:t>
      </w:r>
      <w:r>
        <w:rPr>
          <w:rFonts w:ascii="Arial" w:cs="Arial"/>
          <w:spacing w:val="-2"/>
          <w:w w:val="40"/>
          <w:rtl/>
        </w:rPr>
        <w:t>ل</w:t>
      </w:r>
      <w:r>
        <w:rPr>
          <w:rFonts w:ascii="Arial" w:cs="Arial"/>
          <w:spacing w:val="1"/>
          <w:w w:val="116"/>
          <w:rtl/>
        </w:rPr>
        <w:t>م</w:t>
      </w:r>
      <w:r>
        <w:rPr>
          <w:rFonts w:ascii="Arial" w:cs="Arial"/>
          <w:spacing w:val="1"/>
          <w:w w:val="64"/>
          <w:rtl/>
        </w:rPr>
        <w:t>ش</w:t>
      </w:r>
      <w:r>
        <w:rPr>
          <w:rFonts w:ascii="Arial" w:cs="Arial"/>
          <w:spacing w:val="-3"/>
          <w:w w:val="110"/>
          <w:rtl/>
        </w:rPr>
        <w:t>ا</w:t>
      </w:r>
      <w:r>
        <w:rPr>
          <w:rFonts w:ascii="Arial" w:cs="Arial"/>
          <w:spacing w:val="1"/>
          <w:w w:val="65"/>
          <w:rtl/>
        </w:rPr>
        <w:t>ك</w:t>
      </w:r>
      <w:r>
        <w:rPr>
          <w:rFonts w:ascii="Arial" w:cs="Arial"/>
          <w:spacing w:val="-2"/>
          <w:rtl/>
        </w:rPr>
        <w:t>ل </w:t>
      </w:r>
      <w:r>
        <w:rPr>
          <w:rFonts w:ascii="Arial" w:cs="Arial"/>
          <w:rtl/>
        </w:rPr>
        <w:t>ا</w:t>
      </w:r>
      <w:r>
        <w:rPr>
          <w:rFonts w:ascii="Arial" w:cs="Arial"/>
          <w:spacing w:val="-2"/>
          <w:w w:val="40"/>
          <w:rtl/>
        </w:rPr>
        <w:t>ل</w:t>
      </w:r>
      <w:r>
        <w:rPr>
          <w:rFonts w:ascii="Arial" w:cs="Arial"/>
          <w:spacing w:val="-3"/>
          <w:w w:val="94"/>
          <w:rtl/>
        </w:rPr>
        <w:t>ح</w:t>
      </w:r>
      <w:r>
        <w:rPr>
          <w:rFonts w:ascii="Arial" w:cs="Arial"/>
          <w:spacing w:val="-1"/>
          <w:w w:val="45"/>
          <w:rtl/>
        </w:rPr>
        <w:t>ق</w:t>
      </w:r>
      <w:r>
        <w:rPr>
          <w:rFonts w:ascii="Arial" w:cs="Arial"/>
          <w:spacing w:val="3"/>
          <w:w w:val="38"/>
          <w:rtl/>
        </w:rPr>
        <w:t>ي</w:t>
      </w:r>
      <w:r>
        <w:rPr>
          <w:rFonts w:ascii="Arial" w:cs="Arial"/>
          <w:spacing w:val="-1"/>
          <w:w w:val="45"/>
          <w:rtl/>
        </w:rPr>
        <w:t>ق</w:t>
      </w:r>
      <w:r>
        <w:rPr>
          <w:rFonts w:ascii="Arial" w:cs="Arial"/>
          <w:spacing w:val="-1"/>
          <w:w w:val="38"/>
          <w:rtl/>
        </w:rPr>
        <w:t>ي</w:t>
      </w:r>
      <w:r>
        <w:rPr>
          <w:rFonts w:ascii="Arial" w:cs="Arial"/>
          <w:spacing w:val="1"/>
          <w:w w:val="132"/>
          <w:rtl/>
        </w:rPr>
        <w:t>ة</w:t>
      </w:r>
      <w:r>
        <w:rPr>
          <w:rFonts w:ascii="Arial" w:cs="Arial"/>
          <w:spacing w:val="-2"/>
          <w:rtl/>
        </w:rPr>
        <w:t> </w:t>
      </w:r>
      <w:r>
        <w:rPr>
          <w:rFonts w:ascii="Arial" w:cs="Arial"/>
          <w:rtl/>
        </w:rPr>
        <w:t>ا</w:t>
      </w:r>
      <w:r>
        <w:rPr>
          <w:rFonts w:ascii="Arial" w:cs="Arial"/>
          <w:spacing w:val="-2"/>
          <w:w w:val="40"/>
          <w:rtl/>
        </w:rPr>
        <w:t>ل</w:t>
      </w:r>
      <w:r>
        <w:rPr>
          <w:rFonts w:ascii="Arial" w:cs="Arial"/>
          <w:spacing w:val="-1"/>
          <w:w w:val="34"/>
          <w:rtl/>
        </w:rPr>
        <w:t>ت</w:t>
      </w:r>
      <w:r>
        <w:rPr>
          <w:rFonts w:ascii="Arial" w:cs="Arial"/>
          <w:spacing w:val="-2"/>
          <w:w w:val="92"/>
          <w:rtl/>
        </w:rPr>
        <w:t>ي</w:t>
      </w:r>
      <w:r>
        <w:rPr>
          <w:rFonts w:ascii="Arial" w:cs="Arial"/>
          <w:spacing w:val="-1"/>
          <w:rtl/>
        </w:rPr>
        <w:t> </w:t>
      </w:r>
      <w:r>
        <w:rPr>
          <w:rFonts w:ascii="Arial" w:cs="Arial"/>
          <w:w w:val="38"/>
          <w:rtl/>
        </w:rPr>
        <w:t>ي</w:t>
      </w:r>
      <w:r>
        <w:rPr>
          <w:rFonts w:ascii="Arial" w:cs="Arial"/>
          <w:spacing w:val="1"/>
          <w:rtl/>
        </w:rPr>
        <w:t>و</w:t>
      </w:r>
      <w:r>
        <w:rPr>
          <w:rFonts w:ascii="Arial" w:cs="Arial"/>
          <w:spacing w:val="-2"/>
          <w:rtl/>
        </w:rPr>
        <w:t>ا</w:t>
      </w:r>
      <w:r>
        <w:rPr>
          <w:rFonts w:ascii="Arial" w:cs="Arial"/>
          <w:spacing w:val="-3"/>
          <w:w w:val="94"/>
          <w:rtl/>
        </w:rPr>
        <w:t>ج</w:t>
      </w:r>
      <w:r>
        <w:rPr>
          <w:rFonts w:ascii="Arial" w:cs="Arial"/>
          <w:spacing w:val="1"/>
          <w:w w:val="139"/>
          <w:rtl/>
        </w:rPr>
        <w:t>هه</w:t>
      </w:r>
      <w:r>
        <w:rPr>
          <w:rFonts w:ascii="Arial" w:cs="Arial"/>
          <w:spacing w:val="-2"/>
          <w:w w:val="110"/>
          <w:rtl/>
        </w:rPr>
        <w:t>ا</w:t>
      </w:r>
      <w:r>
        <w:rPr>
          <w:rFonts w:ascii="Arial" w:cs="Arial"/>
          <w:spacing w:val="-2"/>
          <w:rtl/>
        </w:rPr>
        <w:t> </w:t>
      </w:r>
      <w:r>
        <w:rPr>
          <w:rFonts w:ascii="Arial" w:cs="Arial"/>
          <w:rtl/>
        </w:rPr>
        <w:t>ا</w:t>
      </w:r>
      <w:r>
        <w:rPr>
          <w:rFonts w:ascii="Arial" w:cs="Arial"/>
          <w:spacing w:val="-2"/>
          <w:w w:val="40"/>
          <w:rtl/>
        </w:rPr>
        <w:t>ل</w:t>
      </w:r>
      <w:r>
        <w:rPr>
          <w:rFonts w:ascii="Arial" w:cs="Arial"/>
          <w:spacing w:val="1"/>
          <w:w w:val="116"/>
          <w:rtl/>
        </w:rPr>
        <w:t>م</w:t>
      </w:r>
      <w:r>
        <w:rPr>
          <w:rFonts w:ascii="Arial" w:cs="Arial"/>
          <w:spacing w:val="1"/>
          <w:w w:val="64"/>
          <w:rtl/>
        </w:rPr>
        <w:t>س</w:t>
      </w:r>
      <w:r>
        <w:rPr>
          <w:rFonts w:ascii="Arial" w:cs="Arial"/>
          <w:spacing w:val="-1"/>
          <w:w w:val="34"/>
          <w:rtl/>
        </w:rPr>
        <w:t>ت</w:t>
      </w:r>
      <w:r>
        <w:rPr>
          <w:rFonts w:ascii="Arial" w:cs="Arial"/>
          <w:spacing w:val="-2"/>
          <w:w w:val="96"/>
          <w:rtl/>
        </w:rPr>
        <w:t>خ</w:t>
      </w:r>
      <w:r>
        <w:rPr>
          <w:rFonts w:ascii="Arial" w:cs="Arial"/>
          <w:spacing w:val="-1"/>
          <w:w w:val="96"/>
          <w:rtl/>
        </w:rPr>
        <w:t>د</w:t>
      </w:r>
      <w:r>
        <w:rPr>
          <w:rFonts w:ascii="Arial" w:cs="Arial"/>
          <w:spacing w:val="1"/>
          <w:w w:val="116"/>
          <w:rtl/>
        </w:rPr>
        <w:t>م</w:t>
      </w:r>
      <w:r>
        <w:rPr>
          <w:rFonts w:ascii="Arial" w:cs="Arial"/>
          <w:spacing w:val="1"/>
          <w:rtl/>
        </w:rPr>
        <w:t>و</w:t>
      </w:r>
      <w:r>
        <w:rPr>
          <w:rFonts w:ascii="Arial" w:cs="Arial"/>
          <w:spacing w:val="-1"/>
          <w:rtl/>
        </w:rPr>
        <w:t>ن</w:t>
      </w:r>
      <w:r>
        <w:rPr>
          <w:rFonts w:ascii="Arial" w:cs="Arial"/>
          <w:spacing w:val="1"/>
          <w:rtl/>
        </w:rPr>
        <w:t> </w:t>
      </w:r>
      <w:r>
        <w:rPr>
          <w:rFonts w:ascii="Arial" w:cs="Arial"/>
          <w:rtl/>
        </w:rPr>
        <w:t>و</w:t>
      </w:r>
      <w:r>
        <w:rPr>
          <w:rFonts w:ascii="Arial" w:cs="Arial"/>
          <w:spacing w:val="-2"/>
          <w:rtl/>
        </w:rPr>
        <w:t>ا</w:t>
      </w:r>
      <w:r>
        <w:rPr>
          <w:rFonts w:ascii="Arial" w:cs="Arial"/>
          <w:spacing w:val="-2"/>
          <w:w w:val="46"/>
          <w:rtl/>
        </w:rPr>
        <w:t>ق</w:t>
      </w:r>
      <w:r>
        <w:rPr>
          <w:rFonts w:ascii="Arial" w:cs="Arial"/>
          <w:spacing w:val="-1"/>
          <w:w w:val="34"/>
          <w:rtl/>
        </w:rPr>
        <w:t>ت</w:t>
      </w:r>
      <w:r>
        <w:rPr>
          <w:rFonts w:ascii="Arial" w:cs="Arial"/>
          <w:spacing w:val="2"/>
          <w:rtl/>
        </w:rPr>
        <w:t>ر</w:t>
      </w:r>
      <w:r>
        <w:rPr>
          <w:rFonts w:ascii="Arial" w:cs="Arial"/>
          <w:spacing w:val="-2"/>
          <w:rtl/>
        </w:rPr>
        <w:t>ا</w:t>
      </w:r>
      <w:r>
        <w:rPr>
          <w:rFonts w:ascii="Arial" w:cs="Arial"/>
          <w:rtl/>
        </w:rPr>
        <w:t>ح</w:t>
      </w:r>
      <w:r>
        <w:rPr>
          <w:rFonts w:ascii="Arial" w:cs="Arial"/>
          <w:spacing w:val="-3"/>
          <w:rtl/>
        </w:rPr>
        <w:t> </w:t>
      </w:r>
      <w:r>
        <w:rPr>
          <w:rFonts w:ascii="Arial" w:cs="Arial"/>
          <w:w w:val="94"/>
          <w:rtl/>
        </w:rPr>
        <w:t>ح</w:t>
      </w:r>
      <w:r>
        <w:rPr>
          <w:rFonts w:ascii="Arial" w:cs="Arial"/>
          <w:spacing w:val="-2"/>
          <w:w w:val="40"/>
          <w:rtl/>
        </w:rPr>
        <w:t>ل</w:t>
      </w:r>
      <w:r>
        <w:rPr>
          <w:rFonts w:ascii="Arial" w:cs="Arial"/>
          <w:spacing w:val="1"/>
          <w:rtl/>
        </w:rPr>
        <w:t>و</w:t>
      </w:r>
      <w:r>
        <w:rPr>
          <w:rFonts w:ascii="Arial" w:cs="Arial"/>
          <w:spacing w:val="-2"/>
          <w:rtl/>
        </w:rPr>
        <w:t>ل</w:t>
      </w:r>
      <w:r>
        <w:rPr>
          <w:rFonts w:ascii="Arial" w:cs="Arial"/>
          <w:spacing w:val="1"/>
          <w:rtl/>
        </w:rPr>
        <w:t> </w:t>
      </w:r>
      <w:r>
        <w:rPr>
          <w:rFonts w:ascii="Arial" w:cs="Arial"/>
          <w:w w:val="116"/>
          <w:rtl/>
        </w:rPr>
        <w:t>م</w:t>
      </w:r>
      <w:r>
        <w:rPr>
          <w:rFonts w:ascii="Arial" w:cs="Arial"/>
          <w:spacing w:val="-2"/>
          <w:w w:val="40"/>
          <w:rtl/>
        </w:rPr>
        <w:t>ل</w:t>
      </w:r>
      <w:r>
        <w:rPr>
          <w:rFonts w:ascii="Arial" w:cs="Arial"/>
          <w:spacing w:val="1"/>
          <w:w w:val="116"/>
          <w:rtl/>
        </w:rPr>
        <w:t>م</w:t>
      </w:r>
      <w:r>
        <w:rPr>
          <w:rFonts w:ascii="Arial" w:cs="Arial"/>
          <w:spacing w:val="1"/>
          <w:rtl/>
        </w:rPr>
        <w:t>و</w:t>
      </w:r>
      <w:r>
        <w:rPr>
          <w:rFonts w:ascii="Arial" w:cs="Arial"/>
          <w:spacing w:val="1"/>
          <w:w w:val="64"/>
          <w:rtl/>
        </w:rPr>
        <w:t>س</w:t>
      </w:r>
      <w:r>
        <w:rPr>
          <w:rFonts w:ascii="Arial" w:cs="Arial"/>
          <w:spacing w:val="-4"/>
          <w:w w:val="132"/>
          <w:rtl/>
        </w:rPr>
        <w:t>ة</w:t>
      </w:r>
      <w:r>
        <w:rPr>
          <w:rFonts w:ascii="Arial" w:cs="Arial"/>
          <w:spacing w:val="-2"/>
          <w:rtl/>
        </w:rPr>
        <w:t> </w:t>
      </w:r>
      <w:r>
        <w:rPr>
          <w:rFonts w:ascii="Arial" w:cs="Arial"/>
          <w:w w:val="40"/>
          <w:rtl/>
        </w:rPr>
        <w:t>ل</w:t>
      </w:r>
      <w:r>
        <w:rPr>
          <w:rFonts w:ascii="Arial" w:cs="Arial"/>
          <w:spacing w:val="-1"/>
          <w:w w:val="34"/>
          <w:rtl/>
        </w:rPr>
        <w:t>ت</w:t>
      </w:r>
      <w:r>
        <w:rPr>
          <w:rFonts w:ascii="Arial" w:cs="Arial"/>
          <w:spacing w:val="-3"/>
          <w:w w:val="94"/>
          <w:rtl/>
        </w:rPr>
        <w:t>ج</w:t>
      </w:r>
      <w:r>
        <w:rPr>
          <w:rFonts w:ascii="Arial" w:cs="Arial"/>
          <w:spacing w:val="-3"/>
          <w:w w:val="110"/>
          <w:rtl/>
        </w:rPr>
        <w:t>ا</w:t>
      </w:r>
      <w:r>
        <w:rPr>
          <w:rFonts w:ascii="Arial" w:cs="Arial"/>
          <w:spacing w:val="1"/>
          <w:rtl/>
        </w:rPr>
        <w:t>و</w:t>
      </w:r>
      <w:r>
        <w:rPr>
          <w:rFonts w:ascii="Arial" w:cs="Arial"/>
          <w:spacing w:val="-3"/>
          <w:rtl/>
        </w:rPr>
        <w:t>ز</w:t>
      </w:r>
      <w:r>
        <w:rPr>
          <w:rFonts w:ascii="Arial" w:cs="Arial"/>
          <w:spacing w:val="2"/>
          <w:w w:val="159"/>
          <w:rtl/>
        </w:rPr>
        <w:t>ه</w:t>
      </w:r>
      <w:r>
        <w:rPr>
          <w:rFonts w:ascii="Arial" w:cs="Arial"/>
          <w:spacing w:val="-3"/>
          <w:w w:val="110"/>
          <w:rtl/>
        </w:rPr>
        <w:t>ا</w:t>
      </w:r>
      <w:r>
        <w:rPr>
          <w:rFonts w:ascii="Arial" w:cs="Arial"/>
        </w:rPr>
        <w:t>.</w:t>
      </w:r>
      <w:r>
        <w:rPr>
          <w:rFonts w:ascii="Arial" w:cs="Arial"/>
          <w:spacing w:val="-2"/>
          <w:rtl/>
        </w:rPr>
        <w:t> </w:t>
      </w:r>
      <w:r>
        <w:rPr>
          <w:rFonts w:ascii="Arial" w:cs="Arial"/>
          <w:w w:val="40"/>
          <w:rtl/>
        </w:rPr>
        <w:t>ل</w:t>
      </w:r>
      <w:r>
        <w:rPr>
          <w:rFonts w:ascii="Arial" w:cs="Arial"/>
          <w:spacing w:val="-1"/>
          <w:w w:val="34"/>
          <w:rtl/>
        </w:rPr>
        <w:t>ت</w:t>
      </w:r>
      <w:r>
        <w:rPr>
          <w:rFonts w:ascii="Arial" w:cs="Arial"/>
          <w:spacing w:val="-3"/>
          <w:w w:val="94"/>
          <w:rtl/>
        </w:rPr>
        <w:t>ح</w:t>
      </w:r>
      <w:r>
        <w:rPr>
          <w:rFonts w:ascii="Arial" w:cs="Arial"/>
          <w:spacing w:val="-1"/>
          <w:w w:val="45"/>
          <w:rtl/>
        </w:rPr>
        <w:t>ق</w:t>
      </w:r>
      <w:r>
        <w:rPr>
          <w:rFonts w:ascii="Arial" w:cs="Arial"/>
          <w:spacing w:val="-1"/>
          <w:w w:val="67"/>
          <w:rtl/>
        </w:rPr>
        <w:t>ي</w:t>
      </w:r>
      <w:r>
        <w:rPr>
          <w:rFonts w:ascii="Arial" w:cs="Arial"/>
          <w:w w:val="67"/>
          <w:rtl/>
        </w:rPr>
        <w:t>ق</w:t>
      </w:r>
      <w:r>
        <w:rPr>
          <w:rFonts w:ascii="Arial" w:cs="Arial"/>
          <w:spacing w:val="2"/>
          <w:rtl/>
        </w:rPr>
        <w:t> </w:t>
      </w:r>
      <w:r>
        <w:rPr>
          <w:rFonts w:ascii="Arial" w:cs="Arial"/>
          <w:w w:val="127"/>
          <w:rtl/>
        </w:rPr>
        <w:t>ه</w:t>
      </w:r>
      <w:r>
        <w:rPr>
          <w:rFonts w:ascii="Arial" w:cs="Arial"/>
          <w:spacing w:val="-1"/>
          <w:w w:val="127"/>
          <w:rtl/>
        </w:rPr>
        <w:t>ذ</w:t>
      </w:r>
      <w:r>
        <w:rPr>
          <w:rFonts w:ascii="Arial" w:cs="Arial"/>
          <w:spacing w:val="-2"/>
          <w:rtl/>
        </w:rPr>
        <w:t>ا </w:t>
      </w:r>
      <w:r>
        <w:rPr>
          <w:rFonts w:ascii="Arial" w:cs="Arial"/>
          <w:rtl/>
        </w:rPr>
        <w:t>ا</w:t>
      </w:r>
      <w:r>
        <w:rPr>
          <w:rFonts w:ascii="Arial" w:cs="Arial"/>
          <w:spacing w:val="-2"/>
          <w:w w:val="40"/>
          <w:rtl/>
        </w:rPr>
        <w:t>ل</w:t>
      </w:r>
      <w:r>
        <w:rPr>
          <w:rFonts w:ascii="Arial" w:cs="Arial"/>
          <w:spacing w:val="1"/>
          <w:w w:val="118"/>
          <w:rtl/>
        </w:rPr>
        <w:t>ه</w:t>
      </w:r>
      <w:r>
        <w:rPr>
          <w:rFonts w:ascii="Arial" w:cs="Arial"/>
          <w:spacing w:val="-1"/>
          <w:w w:val="118"/>
          <w:rtl/>
        </w:rPr>
        <w:t>د</w:t>
      </w:r>
      <w:r>
        <w:rPr>
          <w:rFonts w:ascii="Arial" w:cs="Arial"/>
          <w:spacing w:val="-3"/>
          <w:rtl/>
        </w:rPr>
        <w:t>ف</w:t>
      </w:r>
      <w:r>
        <w:rPr>
          <w:rFonts w:ascii="Arial" w:cs="Arial"/>
          <w:rtl/>
        </w:rPr>
        <w:t>،</w:t>
      </w:r>
      <w:r>
        <w:rPr>
          <w:rFonts w:ascii="Arial" w:cs="Arial"/>
          <w:spacing w:val="-1"/>
          <w:rtl/>
        </w:rPr>
        <w:t> </w:t>
      </w:r>
      <w:r>
        <w:rPr>
          <w:rFonts w:ascii="Arial" w:cs="Arial"/>
          <w:w w:val="34"/>
          <w:rtl/>
        </w:rPr>
        <w:t>ت</w:t>
      </w:r>
      <w:r>
        <w:rPr>
          <w:rFonts w:ascii="Arial" w:cs="Arial"/>
          <w:rtl/>
        </w:rPr>
        <w:t>م</w:t>
      </w:r>
      <w:r>
        <w:rPr>
          <w:rFonts w:ascii="Arial" w:cs="Arial"/>
          <w:spacing w:val="-2"/>
          <w:rtl/>
        </w:rPr>
        <w:t> </w:t>
      </w:r>
      <w:r>
        <w:rPr>
          <w:rFonts w:ascii="Arial" w:cs="Arial"/>
          <w:rtl/>
        </w:rPr>
        <w:t>إ</w:t>
      </w:r>
      <w:r>
        <w:rPr>
          <w:rFonts w:ascii="Arial" w:cs="Arial"/>
          <w:spacing w:val="-3"/>
          <w:w w:val="94"/>
          <w:rtl/>
        </w:rPr>
        <w:t>ج</w:t>
      </w:r>
      <w:r>
        <w:rPr>
          <w:rFonts w:ascii="Arial" w:cs="Arial"/>
          <w:spacing w:val="-3"/>
          <w:rtl/>
        </w:rPr>
        <w:t>ر</w:t>
      </w:r>
      <w:r>
        <w:rPr>
          <w:rFonts w:ascii="Arial" w:cs="Arial"/>
          <w:spacing w:val="-2"/>
          <w:rtl/>
        </w:rPr>
        <w:t>ا</w:t>
      </w:r>
      <w:r>
        <w:rPr>
          <w:rFonts w:ascii="Arial" w:cs="Arial"/>
          <w:spacing w:val="2"/>
          <w:rtl/>
        </w:rPr>
        <w:t>ء</w:t>
      </w:r>
      <w:r>
        <w:rPr>
          <w:rFonts w:ascii="Arial" w:cs="Arial"/>
          <w:spacing w:val="-2"/>
          <w:rtl/>
        </w:rPr>
        <w:t> </w:t>
      </w:r>
      <w:r>
        <w:rPr>
          <w:rFonts w:ascii="Arial" w:cs="Arial"/>
          <w:rtl/>
        </w:rPr>
        <w:t>ا</w:t>
      </w:r>
      <w:r>
        <w:rPr>
          <w:rFonts w:ascii="Arial" w:cs="Arial"/>
          <w:spacing w:val="1"/>
          <w:w w:val="64"/>
          <w:rtl/>
        </w:rPr>
        <w:t>س</w:t>
      </w:r>
      <w:r>
        <w:rPr>
          <w:rFonts w:ascii="Arial" w:cs="Arial"/>
          <w:spacing w:val="-1"/>
          <w:w w:val="34"/>
          <w:rtl/>
        </w:rPr>
        <w:t>تب</w:t>
      </w:r>
      <w:r>
        <w:rPr>
          <w:rFonts w:ascii="Arial" w:cs="Arial"/>
          <w:spacing w:val="-1"/>
          <w:w w:val="38"/>
          <w:rtl/>
        </w:rPr>
        <w:t>ي</w:t>
      </w:r>
      <w:r>
        <w:rPr>
          <w:rFonts w:ascii="Arial" w:cs="Arial"/>
          <w:spacing w:val="2"/>
          <w:w w:val="110"/>
          <w:rtl/>
        </w:rPr>
        <w:t>ا</w:t>
      </w:r>
      <w:r>
        <w:rPr>
          <w:rFonts w:ascii="Arial" w:cs="Arial"/>
          <w:spacing w:val="-1"/>
          <w:rtl/>
        </w:rPr>
        <w:t>ن</w:t>
      </w:r>
      <w:r>
        <w:rPr>
          <w:rFonts w:ascii="Arial" w:cs="Arial"/>
          <w:spacing w:val="2"/>
          <w:rtl/>
        </w:rPr>
        <w:t> </w:t>
      </w:r>
      <w:r>
        <w:rPr>
          <w:rFonts w:ascii="Arial" w:cs="Arial"/>
          <w:w w:val="64"/>
          <w:rtl/>
        </w:rPr>
        <w:t>ش</w:t>
      </w:r>
      <w:r>
        <w:rPr>
          <w:rFonts w:ascii="Arial" w:cs="Arial"/>
          <w:spacing w:val="1"/>
          <w:w w:val="116"/>
          <w:rtl/>
        </w:rPr>
        <w:t>م</w:t>
      </w:r>
      <w:r>
        <w:rPr>
          <w:rFonts w:ascii="Arial" w:cs="Arial"/>
          <w:spacing w:val="-2"/>
          <w:rtl/>
        </w:rPr>
        <w:t>ل</w:t>
      </w:r>
    </w:p>
    <w:p>
      <w:pPr>
        <w:pStyle w:val="BodyText"/>
        <w:bidi/>
        <w:spacing w:line="275" w:lineRule="exact" w:before="2"/>
        <w:ind w:left="0" w:right="709"/>
        <w:jc w:val="right"/>
        <w:rPr>
          <w:rFonts w:ascii="Arial" w:cs="Arial"/>
        </w:rPr>
      </w:pPr>
      <w:r>
        <w:rPr>
          <w:rFonts w:ascii="Arial" w:cs="Arial"/>
          <w:w w:val="96"/>
          <w:rtl/>
        </w:rPr>
        <w:t>ع</w:t>
      </w:r>
      <w:r>
        <w:rPr>
          <w:rFonts w:ascii="Arial" w:cs="Arial"/>
          <w:spacing w:val="1"/>
          <w:w w:val="94"/>
          <w:rtl/>
        </w:rPr>
        <w:t>م</w:t>
      </w:r>
      <w:r>
        <w:rPr>
          <w:rFonts w:ascii="Arial" w:cs="Arial"/>
          <w:w w:val="94"/>
          <w:rtl/>
        </w:rPr>
        <w:t>ال</w:t>
      </w:r>
      <w:r>
        <w:rPr>
          <w:rFonts w:ascii="Arial" w:cs="Arial"/>
          <w:spacing w:val="1"/>
          <w:rtl/>
        </w:rPr>
        <w:t>ء</w:t>
      </w:r>
      <w:r>
        <w:rPr>
          <w:rFonts w:ascii="Arial" w:cs="Arial"/>
          <w:spacing w:val="-16"/>
          <w:rtl/>
        </w:rPr>
        <w:t> </w:t>
      </w:r>
      <w:r>
        <w:rPr>
          <w:rFonts w:ascii="Arial" w:cs="Arial"/>
          <w:rtl/>
        </w:rPr>
        <w:t>ا</w:t>
      </w:r>
      <w:r>
        <w:rPr>
          <w:rFonts w:ascii="Arial" w:cs="Arial"/>
          <w:spacing w:val="-2"/>
          <w:w w:val="40"/>
          <w:rtl/>
        </w:rPr>
        <w:t>ل</w:t>
      </w:r>
      <w:r>
        <w:rPr>
          <w:rFonts w:ascii="Arial" w:cs="Arial"/>
          <w:spacing w:val="-2"/>
          <w:w w:val="63"/>
          <w:rtl/>
        </w:rPr>
        <w:t>ت</w:t>
      </w:r>
      <w:r>
        <w:rPr>
          <w:rFonts w:ascii="Arial" w:cs="Arial"/>
          <w:w w:val="63"/>
          <w:rtl/>
        </w:rPr>
        <w:t>ط</w:t>
      </w:r>
      <w:r>
        <w:rPr>
          <w:rFonts w:ascii="Arial" w:cs="Arial"/>
          <w:spacing w:val="-1"/>
          <w:w w:val="34"/>
          <w:rtl/>
        </w:rPr>
        <w:t>ب</w:t>
      </w:r>
      <w:r>
        <w:rPr>
          <w:rFonts w:ascii="Arial" w:cs="Arial"/>
          <w:spacing w:val="-2"/>
          <w:w w:val="67"/>
          <w:rtl/>
        </w:rPr>
        <w:t>ي</w:t>
      </w:r>
      <w:r>
        <w:rPr>
          <w:rFonts w:ascii="Arial" w:cs="Arial"/>
          <w:w w:val="67"/>
          <w:rtl/>
        </w:rPr>
        <w:t>ق</w:t>
      </w:r>
      <w:r>
        <w:rPr>
          <w:rFonts w:ascii="Arial" w:cs="Arial"/>
          <w:spacing w:val="5"/>
        </w:rPr>
        <w:t>.</w:t>
      </w:r>
      <w:r>
        <w:rPr>
          <w:rFonts w:ascii="Arial" w:cs="Arial"/>
          <w:spacing w:val="-13"/>
          <w:rtl/>
        </w:rPr>
        <w:t> </w:t>
      </w:r>
      <w:r>
        <w:rPr>
          <w:rFonts w:ascii="Arial" w:cs="Arial"/>
          <w:w w:val="116"/>
          <w:rtl/>
        </w:rPr>
        <w:t>م</w:t>
      </w:r>
      <w:r>
        <w:rPr>
          <w:rFonts w:ascii="Arial" w:cs="Arial"/>
          <w:spacing w:val="-2"/>
          <w:rtl/>
        </w:rPr>
        <w:t>ن</w:t>
      </w:r>
      <w:r>
        <w:rPr>
          <w:rFonts w:ascii="Arial" w:cs="Arial"/>
          <w:spacing w:val="-12"/>
          <w:rtl/>
        </w:rPr>
        <w:t> </w:t>
      </w:r>
      <w:r>
        <w:rPr>
          <w:rFonts w:ascii="Arial" w:cs="Arial"/>
          <w:w w:val="88"/>
          <w:rtl/>
        </w:rPr>
        <w:t>خال</w:t>
      </w:r>
      <w:r>
        <w:rPr>
          <w:rFonts w:ascii="Arial" w:cs="Arial"/>
          <w:spacing w:val="-2"/>
          <w:rtl/>
        </w:rPr>
        <w:t>ل</w:t>
      </w:r>
      <w:r>
        <w:rPr>
          <w:rFonts w:ascii="Arial" w:cs="Arial"/>
          <w:spacing w:val="-11"/>
          <w:rtl/>
        </w:rPr>
        <w:t> </w:t>
      </w:r>
      <w:r>
        <w:rPr>
          <w:rFonts w:ascii="Arial" w:cs="Arial"/>
          <w:w w:val="34"/>
          <w:rtl/>
        </w:rPr>
        <w:t>ت</w:t>
      </w:r>
      <w:r>
        <w:rPr>
          <w:rFonts w:ascii="Arial" w:cs="Arial"/>
          <w:spacing w:val="-3"/>
          <w:w w:val="94"/>
          <w:rtl/>
        </w:rPr>
        <w:t>ح</w:t>
      </w:r>
      <w:r>
        <w:rPr>
          <w:rFonts w:ascii="Arial" w:cs="Arial"/>
          <w:spacing w:val="-2"/>
          <w:w w:val="40"/>
          <w:rtl/>
        </w:rPr>
        <w:t>ل</w:t>
      </w:r>
      <w:r>
        <w:rPr>
          <w:rFonts w:ascii="Arial" w:cs="Arial"/>
          <w:spacing w:val="3"/>
          <w:w w:val="38"/>
          <w:rtl/>
        </w:rPr>
        <w:t>ي</w:t>
      </w:r>
      <w:r>
        <w:rPr>
          <w:rFonts w:ascii="Arial" w:cs="Arial"/>
          <w:spacing w:val="-2"/>
          <w:rtl/>
        </w:rPr>
        <w:t>ل</w:t>
      </w:r>
      <w:r>
        <w:rPr>
          <w:rFonts w:ascii="Arial" w:cs="Arial"/>
          <w:spacing w:val="-15"/>
          <w:rtl/>
        </w:rPr>
        <w:t> </w:t>
      </w:r>
      <w:r>
        <w:rPr>
          <w:rFonts w:ascii="Arial" w:cs="Arial"/>
          <w:w w:val="34"/>
          <w:rtl/>
        </w:rPr>
        <w:t>ب</w:t>
      </w:r>
      <w:r>
        <w:rPr>
          <w:rFonts w:ascii="Arial" w:cs="Arial"/>
          <w:spacing w:val="3"/>
          <w:w w:val="38"/>
          <w:rtl/>
        </w:rPr>
        <w:t>ي</w:t>
      </w:r>
      <w:r>
        <w:rPr>
          <w:rFonts w:ascii="Arial" w:cs="Arial"/>
          <w:spacing w:val="-3"/>
          <w:w w:val="110"/>
          <w:rtl/>
        </w:rPr>
        <w:t>ا</w:t>
      </w:r>
      <w:r>
        <w:rPr>
          <w:rFonts w:ascii="Arial" w:cs="Arial"/>
          <w:spacing w:val="3"/>
          <w:w w:val="46"/>
          <w:rtl/>
        </w:rPr>
        <w:t>ن</w:t>
      </w:r>
      <w:r>
        <w:rPr>
          <w:rFonts w:ascii="Arial" w:cs="Arial"/>
          <w:spacing w:val="-3"/>
          <w:w w:val="110"/>
          <w:rtl/>
        </w:rPr>
        <w:t>ا</w:t>
      </w:r>
      <w:r>
        <w:rPr>
          <w:rFonts w:ascii="Arial" w:cs="Arial"/>
          <w:spacing w:val="1"/>
          <w:rtl/>
        </w:rPr>
        <w:t>ت</w:t>
      </w:r>
      <w:r>
        <w:rPr>
          <w:rFonts w:ascii="Arial" w:cs="Arial"/>
          <w:spacing w:val="-13"/>
          <w:rtl/>
        </w:rPr>
        <w:t> </w:t>
      </w:r>
      <w:r>
        <w:rPr>
          <w:rFonts w:ascii="Arial" w:cs="Arial"/>
        </w:rPr>
        <w:t>400</w:t>
      </w:r>
      <w:r>
        <w:rPr>
          <w:rFonts w:ascii="Arial" w:cs="Arial"/>
          <w:spacing w:val="-6"/>
          <w:rtl/>
        </w:rPr>
        <w:t> </w:t>
      </w:r>
      <w:r>
        <w:rPr>
          <w:rFonts w:ascii="Arial" w:cs="Arial"/>
          <w:w w:val="116"/>
          <w:rtl/>
        </w:rPr>
        <w:t>م</w:t>
      </w:r>
      <w:r>
        <w:rPr>
          <w:rFonts w:ascii="Arial" w:cs="Arial"/>
          <w:spacing w:val="1"/>
          <w:w w:val="64"/>
          <w:rtl/>
        </w:rPr>
        <w:t>ش</w:t>
      </w:r>
      <w:r>
        <w:rPr>
          <w:rFonts w:ascii="Arial" w:cs="Arial"/>
          <w:spacing w:val="-3"/>
          <w:w w:val="110"/>
          <w:rtl/>
        </w:rPr>
        <w:t>ا</w:t>
      </w:r>
      <w:r>
        <w:rPr>
          <w:rFonts w:ascii="Arial" w:cs="Arial"/>
          <w:spacing w:val="-3"/>
          <w:rtl/>
        </w:rPr>
        <w:t>ر</w:t>
      </w:r>
      <w:r>
        <w:rPr>
          <w:rFonts w:ascii="Arial" w:cs="Arial"/>
          <w:rtl/>
        </w:rPr>
        <w:t>ك،</w:t>
      </w:r>
      <w:r>
        <w:rPr>
          <w:rFonts w:ascii="Arial" w:cs="Arial"/>
          <w:spacing w:val="-15"/>
          <w:rtl/>
        </w:rPr>
        <w:t> </w:t>
      </w:r>
      <w:r>
        <w:rPr>
          <w:rFonts w:ascii="Arial" w:cs="Arial"/>
          <w:w w:val="34"/>
          <w:rtl/>
        </w:rPr>
        <w:t>ت</w:t>
      </w:r>
      <w:r>
        <w:rPr>
          <w:rFonts w:ascii="Arial" w:cs="Arial"/>
          <w:spacing w:val="1"/>
          <w:w w:val="64"/>
          <w:rtl/>
        </w:rPr>
        <w:t>س</w:t>
      </w:r>
      <w:r>
        <w:rPr>
          <w:rFonts w:ascii="Arial" w:cs="Arial"/>
          <w:spacing w:val="-3"/>
          <w:w w:val="72"/>
          <w:rtl/>
        </w:rPr>
        <w:t>ل</w:t>
      </w:r>
      <w:r>
        <w:rPr>
          <w:rFonts w:ascii="Arial" w:cs="Arial"/>
          <w:w w:val="72"/>
          <w:rtl/>
        </w:rPr>
        <w:t>ط</w:t>
      </w:r>
      <w:r>
        <w:rPr>
          <w:rFonts w:ascii="Arial" w:cs="Arial"/>
          <w:spacing w:val="-11"/>
          <w:rtl/>
        </w:rPr>
        <w:t> </w:t>
      </w:r>
      <w:r>
        <w:rPr>
          <w:rFonts w:ascii="Arial" w:cs="Arial"/>
          <w:rtl/>
        </w:rPr>
        <w:t>ا</w:t>
      </w:r>
      <w:r>
        <w:rPr>
          <w:rFonts w:ascii="Arial" w:cs="Arial"/>
          <w:spacing w:val="-2"/>
          <w:w w:val="64"/>
          <w:rtl/>
        </w:rPr>
        <w:t>ل</w:t>
      </w:r>
      <w:r>
        <w:rPr>
          <w:rFonts w:ascii="Arial" w:cs="Arial"/>
          <w:spacing w:val="-1"/>
          <w:w w:val="64"/>
          <w:rtl/>
        </w:rPr>
        <w:t>د</w:t>
      </w:r>
      <w:r>
        <w:rPr>
          <w:rFonts w:ascii="Arial" w:cs="Arial"/>
          <w:spacing w:val="2"/>
          <w:rtl/>
        </w:rPr>
        <w:t>را</w:t>
      </w:r>
      <w:r>
        <w:rPr>
          <w:rFonts w:ascii="Arial" w:cs="Arial"/>
          <w:spacing w:val="1"/>
          <w:w w:val="64"/>
          <w:rtl/>
        </w:rPr>
        <w:t>س</w:t>
      </w:r>
      <w:r>
        <w:rPr>
          <w:rFonts w:ascii="Arial" w:cs="Arial"/>
          <w:w w:val="132"/>
          <w:rtl/>
        </w:rPr>
        <w:t>ة</w:t>
      </w:r>
      <w:r>
        <w:rPr>
          <w:rFonts w:ascii="Arial" w:cs="Arial"/>
          <w:spacing w:val="-16"/>
          <w:rtl/>
        </w:rPr>
        <w:t> </w:t>
      </w:r>
      <w:r>
        <w:rPr>
          <w:rFonts w:ascii="Arial" w:cs="Arial"/>
          <w:rtl/>
        </w:rPr>
        <w:t>ا</w:t>
      </w:r>
      <w:r>
        <w:rPr>
          <w:rFonts w:ascii="Arial" w:cs="Arial"/>
          <w:spacing w:val="-2"/>
          <w:w w:val="40"/>
          <w:rtl/>
        </w:rPr>
        <w:t>ل</w:t>
      </w:r>
      <w:r>
        <w:rPr>
          <w:rFonts w:ascii="Arial" w:cs="Arial"/>
          <w:spacing w:val="-2"/>
          <w:w w:val="77"/>
          <w:rtl/>
        </w:rPr>
        <w:t>ض</w:t>
      </w:r>
      <w:r>
        <w:rPr>
          <w:rFonts w:ascii="Arial" w:cs="Arial"/>
          <w:spacing w:val="1"/>
          <w:rtl/>
        </w:rPr>
        <w:t>وء</w:t>
      </w:r>
      <w:r>
        <w:rPr>
          <w:rFonts w:ascii="Arial" w:cs="Arial"/>
          <w:spacing w:val="-16"/>
          <w:rtl/>
        </w:rPr>
        <w:t> </w:t>
      </w:r>
      <w:r>
        <w:rPr>
          <w:rFonts w:ascii="Arial" w:cs="Arial"/>
          <w:w w:val="96"/>
          <w:rtl/>
        </w:rPr>
        <w:t>ع</w:t>
      </w:r>
      <w:r>
        <w:rPr>
          <w:rFonts w:ascii="Arial" w:cs="Arial"/>
          <w:spacing w:val="-2"/>
          <w:w w:val="40"/>
          <w:rtl/>
        </w:rPr>
        <w:t>ل</w:t>
      </w:r>
      <w:r>
        <w:rPr>
          <w:rFonts w:ascii="Arial" w:cs="Arial"/>
          <w:spacing w:val="2"/>
          <w:w w:val="92"/>
          <w:rtl/>
        </w:rPr>
        <w:t>ى</w:t>
      </w:r>
      <w:r>
        <w:rPr>
          <w:rFonts w:ascii="Arial" w:cs="Arial"/>
          <w:spacing w:val="-16"/>
          <w:rtl/>
        </w:rPr>
        <w:t> </w:t>
      </w:r>
      <w:r>
        <w:rPr>
          <w:rFonts w:ascii="Arial" w:cs="Arial"/>
          <w:rtl/>
        </w:rPr>
        <w:t>أ</w:t>
      </w:r>
      <w:r>
        <w:rPr>
          <w:rFonts w:ascii="Arial" w:cs="Arial"/>
          <w:spacing w:val="2"/>
          <w:w w:val="127"/>
          <w:rtl/>
        </w:rPr>
        <w:t>ه</w:t>
      </w:r>
      <w:r>
        <w:rPr>
          <w:rFonts w:ascii="Arial" w:cs="Arial"/>
          <w:w w:val="127"/>
          <w:rtl/>
        </w:rPr>
        <w:t>م</w:t>
      </w:r>
      <w:r>
        <w:rPr>
          <w:rFonts w:ascii="Arial" w:cs="Arial"/>
          <w:spacing w:val="-16"/>
          <w:rtl/>
        </w:rPr>
        <w:t> </w:t>
      </w:r>
      <w:r>
        <w:rPr>
          <w:rFonts w:ascii="Arial" w:cs="Arial"/>
          <w:rtl/>
        </w:rPr>
        <w:t>ا</w:t>
      </w:r>
      <w:r>
        <w:rPr>
          <w:rFonts w:ascii="Arial" w:cs="Arial"/>
          <w:spacing w:val="-2"/>
          <w:w w:val="40"/>
          <w:rtl/>
        </w:rPr>
        <w:t>ل</w:t>
      </w:r>
      <w:r>
        <w:rPr>
          <w:rFonts w:ascii="Arial" w:cs="Arial"/>
          <w:spacing w:val="1"/>
          <w:w w:val="72"/>
          <w:rtl/>
        </w:rPr>
        <w:t>ع</w:t>
      </w:r>
      <w:r>
        <w:rPr>
          <w:rFonts w:ascii="Arial" w:cs="Arial"/>
          <w:spacing w:val="1"/>
          <w:rtl/>
        </w:rPr>
        <w:t>و</w:t>
      </w:r>
      <w:r>
        <w:rPr>
          <w:rFonts w:ascii="Arial" w:cs="Arial"/>
          <w:spacing w:val="-2"/>
          <w:rtl/>
        </w:rPr>
        <w:t>ا</w:t>
      </w:r>
      <w:r>
        <w:rPr>
          <w:rFonts w:ascii="Arial" w:cs="Arial"/>
          <w:spacing w:val="1"/>
          <w:w w:val="116"/>
          <w:rtl/>
        </w:rPr>
        <w:t>م</w:t>
      </w:r>
      <w:r>
        <w:rPr>
          <w:rFonts w:ascii="Arial" w:cs="Arial"/>
          <w:spacing w:val="-2"/>
          <w:rtl/>
        </w:rPr>
        <w:t>ل</w:t>
      </w:r>
      <w:r>
        <w:rPr>
          <w:rFonts w:ascii="Arial" w:cs="Arial"/>
          <w:spacing w:val="-11"/>
          <w:rtl/>
        </w:rPr>
        <w:t> </w:t>
      </w:r>
      <w:r>
        <w:rPr>
          <w:rFonts w:ascii="Arial" w:cs="Arial"/>
          <w:rtl/>
        </w:rPr>
        <w:t>ا</w:t>
      </w:r>
      <w:r>
        <w:rPr>
          <w:rFonts w:ascii="Arial" w:cs="Arial"/>
          <w:spacing w:val="-2"/>
          <w:w w:val="40"/>
          <w:rtl/>
        </w:rPr>
        <w:t>ل</w:t>
      </w:r>
      <w:r>
        <w:rPr>
          <w:rFonts w:ascii="Arial" w:cs="Arial"/>
          <w:spacing w:val="3"/>
          <w:w w:val="34"/>
          <w:rtl/>
        </w:rPr>
        <w:t>ت</w:t>
      </w:r>
      <w:r>
        <w:rPr>
          <w:rFonts w:ascii="Arial" w:cs="Arial"/>
          <w:spacing w:val="-3"/>
          <w:w w:val="92"/>
          <w:rtl/>
        </w:rPr>
        <w:t>ي</w:t>
      </w:r>
      <w:r>
        <w:rPr>
          <w:rFonts w:ascii="Arial" w:cs="Arial"/>
          <w:spacing w:val="-15"/>
          <w:rtl/>
        </w:rPr>
        <w:t> </w:t>
      </w:r>
      <w:r>
        <w:rPr>
          <w:rFonts w:ascii="Arial" w:cs="Arial"/>
          <w:w w:val="34"/>
          <w:rtl/>
        </w:rPr>
        <w:t>ت</w:t>
      </w:r>
      <w:r>
        <w:rPr>
          <w:rFonts w:ascii="Arial" w:cs="Arial"/>
          <w:spacing w:val="1"/>
          <w:rtl/>
        </w:rPr>
        <w:t>ؤ</w:t>
      </w:r>
      <w:r>
        <w:rPr>
          <w:rFonts w:ascii="Arial" w:cs="Arial"/>
          <w:spacing w:val="-1"/>
          <w:w w:val="34"/>
          <w:rtl/>
        </w:rPr>
        <w:t>ث</w:t>
      </w:r>
      <w:r>
        <w:rPr>
          <w:rFonts w:ascii="Arial" w:cs="Arial"/>
          <w:spacing w:val="2"/>
          <w:rtl/>
        </w:rPr>
        <w:t>ر</w:t>
      </w:r>
      <w:r>
        <w:rPr>
          <w:rFonts w:ascii="Arial" w:cs="Arial"/>
          <w:spacing w:val="-16"/>
          <w:rtl/>
        </w:rPr>
        <w:t> </w:t>
      </w:r>
      <w:r>
        <w:rPr>
          <w:rFonts w:ascii="Arial" w:cs="Arial"/>
          <w:w w:val="96"/>
          <w:rtl/>
        </w:rPr>
        <w:t>ع</w:t>
      </w:r>
      <w:r>
        <w:rPr>
          <w:rFonts w:ascii="Arial" w:cs="Arial"/>
          <w:spacing w:val="2"/>
          <w:w w:val="40"/>
          <w:rtl/>
        </w:rPr>
        <w:t>ل</w:t>
      </w:r>
      <w:r>
        <w:rPr>
          <w:rFonts w:ascii="Arial" w:cs="Arial"/>
          <w:spacing w:val="-3"/>
          <w:w w:val="92"/>
          <w:rtl/>
        </w:rPr>
        <w:t>ى</w:t>
      </w:r>
      <w:r>
        <w:rPr>
          <w:rFonts w:ascii="Arial" w:cs="Arial"/>
          <w:spacing w:val="-12"/>
          <w:rtl/>
        </w:rPr>
        <w:t> </w:t>
      </w:r>
      <w:r>
        <w:rPr>
          <w:rFonts w:ascii="Arial" w:cs="Arial"/>
          <w:rtl/>
        </w:rPr>
        <w:t>ر</w:t>
      </w:r>
      <w:r>
        <w:rPr>
          <w:rFonts w:ascii="Arial" w:cs="Arial"/>
          <w:spacing w:val="-2"/>
          <w:w w:val="77"/>
          <w:rtl/>
        </w:rPr>
        <w:t>ض</w:t>
      </w:r>
      <w:r>
        <w:rPr>
          <w:rFonts w:ascii="Arial" w:cs="Arial"/>
          <w:spacing w:val="2"/>
          <w:w w:val="110"/>
          <w:rtl/>
        </w:rPr>
        <w:t>ا</w:t>
      </w:r>
      <w:r>
        <w:rPr>
          <w:rFonts w:ascii="Arial" w:cs="Arial"/>
          <w:spacing w:val="-16"/>
          <w:rtl/>
        </w:rPr>
        <w:t> </w:t>
      </w:r>
      <w:r>
        <w:rPr>
          <w:rFonts w:ascii="Arial" w:cs="Arial"/>
          <w:rtl/>
        </w:rPr>
        <w:t>ا</w:t>
      </w:r>
      <w:r>
        <w:rPr>
          <w:rFonts w:ascii="Arial" w:cs="Arial"/>
          <w:spacing w:val="-2"/>
          <w:w w:val="40"/>
          <w:rtl/>
        </w:rPr>
        <w:t>ل</w:t>
      </w:r>
      <w:r>
        <w:rPr>
          <w:rFonts w:ascii="Arial" w:cs="Arial"/>
          <w:spacing w:val="1"/>
          <w:w w:val="116"/>
          <w:rtl/>
        </w:rPr>
        <w:t>م</w:t>
      </w:r>
      <w:r>
        <w:rPr>
          <w:rFonts w:ascii="Arial" w:cs="Arial"/>
          <w:spacing w:val="1"/>
          <w:w w:val="64"/>
          <w:rtl/>
        </w:rPr>
        <w:t>س</w:t>
      </w:r>
      <w:r>
        <w:rPr>
          <w:rFonts w:ascii="Arial" w:cs="Arial"/>
          <w:spacing w:val="-1"/>
          <w:w w:val="34"/>
          <w:rtl/>
        </w:rPr>
        <w:t>ت</w:t>
      </w:r>
      <w:r>
        <w:rPr>
          <w:rFonts w:ascii="Arial" w:cs="Arial"/>
          <w:spacing w:val="-2"/>
          <w:w w:val="96"/>
          <w:rtl/>
        </w:rPr>
        <w:t>خ</w:t>
      </w:r>
      <w:r>
        <w:rPr>
          <w:rFonts w:ascii="Arial" w:cs="Arial"/>
          <w:spacing w:val="-1"/>
          <w:w w:val="96"/>
          <w:rtl/>
        </w:rPr>
        <w:t>د</w:t>
      </w:r>
      <w:r>
        <w:rPr>
          <w:rFonts w:ascii="Arial" w:cs="Arial"/>
          <w:spacing w:val="1"/>
          <w:w w:val="116"/>
          <w:rtl/>
        </w:rPr>
        <w:t>م</w:t>
      </w:r>
      <w:r>
        <w:rPr>
          <w:rFonts w:ascii="Arial" w:cs="Arial"/>
          <w:spacing w:val="-1"/>
          <w:w w:val="38"/>
          <w:rtl/>
        </w:rPr>
        <w:t>ي</w:t>
      </w:r>
      <w:r>
        <w:rPr>
          <w:rFonts w:ascii="Arial" w:cs="Arial"/>
          <w:spacing w:val="-1"/>
          <w:rtl/>
        </w:rPr>
        <w:t>ن</w:t>
      </w:r>
      <w:r>
        <w:rPr>
          <w:rFonts w:ascii="Arial" w:cs="Arial"/>
          <w:spacing w:val="4"/>
          <w:rtl/>
        </w:rPr>
        <w:t>،</w:t>
      </w:r>
    </w:p>
    <w:p>
      <w:pPr>
        <w:pStyle w:val="BodyText"/>
        <w:bidi/>
        <w:spacing w:line="211" w:lineRule="auto" w:before="21"/>
        <w:ind w:left="306" w:right="347"/>
        <w:jc w:val="left"/>
        <w:rPr>
          <w:rFonts w:ascii="Arial" w:cs="Arial"/>
        </w:rPr>
      </w:pPr>
      <w:r>
        <w:rPr>
          <w:rFonts w:ascii="Arial" w:cs="Arial"/>
          <w:w w:val="116"/>
          <w:rtl/>
        </w:rPr>
        <w:t>م</w:t>
      </w:r>
      <w:r>
        <w:rPr>
          <w:rFonts w:ascii="Arial" w:cs="Arial"/>
          <w:spacing w:val="-1"/>
          <w:w w:val="34"/>
          <w:rtl/>
        </w:rPr>
        <w:t>ث</w:t>
      </w:r>
      <w:r>
        <w:rPr>
          <w:rFonts w:ascii="Arial" w:cs="Arial"/>
          <w:spacing w:val="-2"/>
          <w:rtl/>
        </w:rPr>
        <w:t>ل</w:t>
      </w:r>
      <w:r>
        <w:rPr>
          <w:rFonts w:ascii="Arial" w:cs="Arial"/>
          <w:spacing w:val="13"/>
          <w:rtl/>
        </w:rPr>
        <w:t> </w:t>
      </w:r>
      <w:r>
        <w:rPr>
          <w:rFonts w:ascii="Arial" w:cs="Arial"/>
          <w:rtl/>
        </w:rPr>
        <w:t>ا</w:t>
      </w:r>
      <w:r>
        <w:rPr>
          <w:rFonts w:ascii="Arial" w:cs="Arial"/>
          <w:spacing w:val="-1"/>
          <w:w w:val="76"/>
          <w:rtl/>
        </w:rPr>
        <w:t>أ</w:t>
      </w:r>
      <w:r>
        <w:rPr>
          <w:rFonts w:ascii="Arial" w:cs="Arial"/>
          <w:w w:val="76"/>
          <w:rtl/>
        </w:rPr>
        <w:t>ل</w:t>
      </w:r>
      <w:r>
        <w:rPr>
          <w:rFonts w:ascii="Arial" w:cs="Arial"/>
          <w:spacing w:val="1"/>
          <w:w w:val="116"/>
          <w:rtl/>
        </w:rPr>
        <w:t>م</w:t>
      </w:r>
      <w:r>
        <w:rPr>
          <w:rFonts w:ascii="Arial" w:cs="Arial"/>
          <w:spacing w:val="-3"/>
          <w:w w:val="110"/>
          <w:rtl/>
        </w:rPr>
        <w:t>ا</w:t>
      </w:r>
      <w:r>
        <w:rPr>
          <w:rFonts w:ascii="Arial" w:cs="Arial"/>
          <w:spacing w:val="-2"/>
          <w:rtl/>
        </w:rPr>
        <w:t>ن</w:t>
      </w:r>
      <w:r>
        <w:rPr>
          <w:rFonts w:ascii="Arial" w:cs="Arial"/>
          <w:spacing w:val="13"/>
          <w:rtl/>
        </w:rPr>
        <w:t> </w:t>
      </w:r>
      <w:r>
        <w:rPr>
          <w:rFonts w:ascii="Arial" w:cs="Arial"/>
          <w:rtl/>
        </w:rPr>
        <w:t>ا</w:t>
      </w:r>
      <w:r>
        <w:rPr>
          <w:rFonts w:ascii="Arial" w:cs="Arial"/>
          <w:spacing w:val="-2"/>
          <w:w w:val="40"/>
          <w:rtl/>
        </w:rPr>
        <w:t>ل</w:t>
      </w:r>
      <w:r>
        <w:rPr>
          <w:rFonts w:ascii="Arial" w:cs="Arial"/>
          <w:spacing w:val="14"/>
          <w:position w:val="-2"/>
          <w:rtl/>
        </w:rPr>
        <w:t> </w:t>
      </w:r>
      <w:r>
        <w:rPr>
          <w:rFonts w:ascii="Arial" w:cs="Arial"/>
          <w:position w:val="-2"/>
          <w:rtl/>
        </w:rPr>
        <w:t>ُ</w:t>
      </w:r>
      <w:r>
        <w:rPr>
          <w:rFonts w:ascii="Arial" w:cs="Arial"/>
          <w:spacing w:val="-81"/>
          <w:w w:val="116"/>
          <w:rtl/>
        </w:rPr>
        <w:t>م</w:t>
      </w:r>
      <w:r>
        <w:rPr>
          <w:rFonts w:ascii="Arial" w:cs="Arial"/>
          <w:rtl/>
        </w:rPr>
        <w:t>د</w:t>
      </w:r>
      <w:r>
        <w:rPr>
          <w:rFonts w:ascii="Arial" w:cs="Arial"/>
          <w:spacing w:val="10"/>
          <w:position w:val="-3"/>
          <w:rtl/>
        </w:rPr>
        <w:t> </w:t>
      </w:r>
      <w:r>
        <w:rPr>
          <w:rFonts w:ascii="Arial" w:cs="Arial"/>
          <w:position w:val="-3"/>
          <w:rtl/>
        </w:rPr>
        <w:t>َ</w:t>
      </w:r>
      <w:r>
        <w:rPr>
          <w:rFonts w:ascii="Arial" w:cs="Arial"/>
          <w:spacing w:val="-79"/>
          <w:rtl/>
        </w:rPr>
        <w:t>ر</w:t>
      </w:r>
      <w:r>
        <w:rPr>
          <w:rFonts w:ascii="Arial" w:cs="Arial"/>
          <w:spacing w:val="-1"/>
          <w:rtl/>
        </w:rPr>
        <w:t>ك</w:t>
      </w:r>
      <w:r>
        <w:rPr>
          <w:rFonts w:ascii="Arial" w:cs="Arial"/>
          <w:rtl/>
        </w:rPr>
        <w:t>،</w:t>
      </w:r>
      <w:r>
        <w:rPr>
          <w:rFonts w:ascii="Arial" w:cs="Arial"/>
          <w:spacing w:val="16"/>
          <w:rtl/>
        </w:rPr>
        <w:t> </w:t>
      </w:r>
      <w:r>
        <w:rPr>
          <w:rFonts w:ascii="Arial" w:cs="Arial"/>
          <w:rtl/>
        </w:rPr>
        <w:t>و</w:t>
      </w:r>
      <w:r>
        <w:rPr>
          <w:rFonts w:ascii="Arial" w:cs="Arial"/>
          <w:spacing w:val="-1"/>
          <w:w w:val="34"/>
          <w:rtl/>
        </w:rPr>
        <w:t>ت</w:t>
      </w:r>
      <w:r>
        <w:rPr>
          <w:rFonts w:ascii="Arial" w:cs="Arial"/>
          <w:spacing w:val="1"/>
          <w:rtl/>
        </w:rPr>
        <w:t>و</w:t>
      </w:r>
      <w:r>
        <w:rPr>
          <w:rFonts w:ascii="Arial" w:cs="Arial"/>
          <w:spacing w:val="-2"/>
          <w:w w:val="33"/>
          <w:rtl/>
        </w:rPr>
        <w:t>ف</w:t>
      </w:r>
      <w:r>
        <w:rPr>
          <w:rFonts w:ascii="Arial" w:cs="Arial"/>
          <w:spacing w:val="-3"/>
          <w:rtl/>
        </w:rPr>
        <w:t>ر</w:t>
      </w:r>
      <w:r>
        <w:rPr>
          <w:rFonts w:ascii="Arial" w:cs="Arial"/>
          <w:spacing w:val="13"/>
          <w:rtl/>
        </w:rPr>
        <w:t> </w:t>
      </w:r>
      <w:r>
        <w:rPr>
          <w:rFonts w:ascii="Arial" w:cs="Arial"/>
          <w:rtl/>
        </w:rPr>
        <w:t>ا</w:t>
      </w:r>
      <w:r>
        <w:rPr>
          <w:rFonts w:ascii="Arial" w:cs="Arial"/>
          <w:spacing w:val="3"/>
          <w:w w:val="40"/>
          <w:rtl/>
        </w:rPr>
        <w:t>ل</w:t>
      </w:r>
      <w:r>
        <w:rPr>
          <w:rFonts w:ascii="Arial" w:cs="Arial"/>
          <w:spacing w:val="-3"/>
          <w:w w:val="94"/>
          <w:rtl/>
        </w:rPr>
        <w:t>خ</w:t>
      </w:r>
      <w:r>
        <w:rPr>
          <w:rFonts w:ascii="Arial" w:cs="Arial"/>
          <w:rtl/>
        </w:rPr>
        <w:t>د</w:t>
      </w:r>
      <w:r>
        <w:rPr>
          <w:rFonts w:ascii="Arial" w:cs="Arial"/>
          <w:spacing w:val="1"/>
          <w:w w:val="116"/>
          <w:rtl/>
        </w:rPr>
        <w:t>م</w:t>
      </w:r>
      <w:r>
        <w:rPr>
          <w:rFonts w:ascii="Arial" w:cs="Arial"/>
          <w:spacing w:val="1"/>
          <w:w w:val="132"/>
          <w:rtl/>
        </w:rPr>
        <w:t>ة</w:t>
      </w:r>
      <w:r>
        <w:rPr>
          <w:rFonts w:ascii="Arial" w:cs="Arial"/>
          <w:rtl/>
        </w:rPr>
        <w:t>،</w:t>
      </w:r>
      <w:r>
        <w:rPr>
          <w:rFonts w:ascii="Arial" w:cs="Arial"/>
          <w:spacing w:val="16"/>
          <w:rtl/>
        </w:rPr>
        <w:t> </w:t>
      </w:r>
      <w:r>
        <w:rPr>
          <w:rFonts w:ascii="Arial" w:cs="Arial"/>
          <w:rtl/>
        </w:rPr>
        <w:t>و</w:t>
      </w:r>
      <w:r>
        <w:rPr>
          <w:rFonts w:ascii="Arial" w:cs="Arial"/>
          <w:spacing w:val="-1"/>
          <w:w w:val="34"/>
          <w:rtl/>
        </w:rPr>
        <w:t>ت</w:t>
      </w:r>
      <w:r>
        <w:rPr>
          <w:rFonts w:ascii="Arial" w:cs="Arial"/>
          <w:spacing w:val="1"/>
          <w:w w:val="65"/>
          <w:rtl/>
        </w:rPr>
        <w:t>ك</w:t>
      </w:r>
      <w:r>
        <w:rPr>
          <w:rFonts w:ascii="Arial" w:cs="Arial"/>
          <w:spacing w:val="-3"/>
          <w:rtl/>
        </w:rPr>
        <w:t>ر</w:t>
      </w:r>
      <w:r>
        <w:rPr>
          <w:rFonts w:ascii="Arial" w:cs="Arial"/>
          <w:spacing w:val="-2"/>
          <w:rtl/>
        </w:rPr>
        <w:t>ا</w:t>
      </w:r>
      <w:r>
        <w:rPr>
          <w:rFonts w:ascii="Arial" w:cs="Arial"/>
          <w:spacing w:val="-3"/>
          <w:rtl/>
        </w:rPr>
        <w:t>ر</w:t>
      </w:r>
      <w:r>
        <w:rPr>
          <w:rFonts w:ascii="Arial" w:cs="Arial"/>
          <w:spacing w:val="13"/>
          <w:rtl/>
        </w:rPr>
        <w:t> </w:t>
      </w:r>
      <w:r>
        <w:rPr>
          <w:rFonts w:ascii="Arial" w:cs="Arial"/>
          <w:rtl/>
        </w:rPr>
        <w:t>ا</w:t>
      </w:r>
      <w:r>
        <w:rPr>
          <w:rFonts w:ascii="Arial" w:cs="Arial"/>
          <w:spacing w:val="-1"/>
          <w:w w:val="76"/>
          <w:rtl/>
        </w:rPr>
        <w:t>أ</w:t>
      </w:r>
      <w:r>
        <w:rPr>
          <w:rFonts w:ascii="Arial" w:cs="Arial"/>
          <w:w w:val="76"/>
          <w:rtl/>
        </w:rPr>
        <w:t>ل</w:t>
      </w:r>
      <w:r>
        <w:rPr>
          <w:rFonts w:ascii="Arial" w:cs="Arial"/>
          <w:spacing w:val="-2"/>
          <w:w w:val="96"/>
          <w:rtl/>
        </w:rPr>
        <w:t>ع</w:t>
      </w:r>
      <w:r>
        <w:rPr>
          <w:rFonts w:ascii="Arial" w:cs="Arial"/>
          <w:spacing w:val="-1"/>
          <w:rtl/>
        </w:rPr>
        <w:t>ط</w:t>
      </w:r>
      <w:r>
        <w:rPr>
          <w:rFonts w:ascii="Arial" w:cs="Arial"/>
          <w:spacing w:val="2"/>
          <w:w w:val="110"/>
          <w:rtl/>
        </w:rPr>
        <w:t>ا</w:t>
      </w:r>
      <w:r>
        <w:rPr>
          <w:rFonts w:ascii="Arial" w:cs="Arial"/>
          <w:spacing w:val="-2"/>
          <w:rtl/>
        </w:rPr>
        <w:t>ل</w:t>
      </w:r>
      <w:r>
        <w:rPr>
          <w:rFonts w:ascii="Arial" w:cs="Arial"/>
          <w:spacing w:val="13"/>
          <w:rtl/>
        </w:rPr>
        <w:t> </w:t>
      </w:r>
      <w:r>
        <w:rPr>
          <w:rFonts w:ascii="Arial" w:cs="Arial"/>
          <w:rtl/>
        </w:rPr>
        <w:t>ا</w:t>
      </w:r>
      <w:r>
        <w:rPr>
          <w:rFonts w:ascii="Arial" w:cs="Arial"/>
          <w:spacing w:val="-2"/>
          <w:w w:val="40"/>
          <w:rtl/>
        </w:rPr>
        <w:t>ل</w:t>
      </w:r>
      <w:r>
        <w:rPr>
          <w:rFonts w:ascii="Arial" w:cs="Arial"/>
          <w:spacing w:val="-1"/>
          <w:w w:val="34"/>
          <w:rtl/>
        </w:rPr>
        <w:t>ت</w:t>
      </w:r>
      <w:r>
        <w:rPr>
          <w:rFonts w:ascii="Arial" w:cs="Arial"/>
          <w:spacing w:val="-1"/>
          <w:w w:val="45"/>
          <w:rtl/>
        </w:rPr>
        <w:t>ق</w:t>
      </w:r>
      <w:r>
        <w:rPr>
          <w:rFonts w:ascii="Arial" w:cs="Arial"/>
          <w:spacing w:val="3"/>
          <w:w w:val="46"/>
          <w:rtl/>
        </w:rPr>
        <w:t>ن</w:t>
      </w:r>
      <w:r>
        <w:rPr>
          <w:rFonts w:ascii="Arial" w:cs="Arial"/>
          <w:spacing w:val="-1"/>
          <w:w w:val="38"/>
          <w:rtl/>
        </w:rPr>
        <w:t>ي</w:t>
      </w:r>
      <w:r>
        <w:rPr>
          <w:rFonts w:ascii="Arial" w:cs="Arial"/>
          <w:spacing w:val="1"/>
          <w:w w:val="132"/>
          <w:rtl/>
        </w:rPr>
        <w:t>ة</w:t>
      </w:r>
      <w:r>
        <w:rPr>
          <w:rFonts w:ascii="Arial" w:cs="Arial"/>
          <w:rtl/>
        </w:rPr>
        <w:t>،</w:t>
      </w:r>
      <w:r>
        <w:rPr>
          <w:rFonts w:ascii="Arial" w:cs="Arial"/>
          <w:spacing w:val="16"/>
          <w:rtl/>
        </w:rPr>
        <w:t> </w:t>
      </w:r>
      <w:r>
        <w:rPr>
          <w:rFonts w:ascii="Arial" w:cs="Arial"/>
          <w:rtl/>
        </w:rPr>
        <w:t>و</w:t>
      </w:r>
      <w:r>
        <w:rPr>
          <w:rFonts w:ascii="Arial" w:cs="Arial"/>
          <w:spacing w:val="-3"/>
          <w:w w:val="94"/>
          <w:rtl/>
        </w:rPr>
        <w:t>ج</w:t>
      </w:r>
      <w:r>
        <w:rPr>
          <w:rFonts w:ascii="Arial" w:cs="Arial"/>
          <w:spacing w:val="1"/>
          <w:rtl/>
        </w:rPr>
        <w:t>و</w:t>
      </w:r>
      <w:r>
        <w:rPr>
          <w:rFonts w:ascii="Arial" w:cs="Arial"/>
          <w:rtl/>
        </w:rPr>
        <w:t>د</w:t>
      </w:r>
      <w:r>
        <w:rPr>
          <w:rFonts w:ascii="Arial" w:cs="Arial"/>
          <w:spacing w:val="-1"/>
          <w:rtl/>
        </w:rPr>
        <w:t>ة</w:t>
      </w:r>
      <w:r>
        <w:rPr>
          <w:rFonts w:ascii="Arial" w:cs="Arial"/>
          <w:spacing w:val="13"/>
          <w:rtl/>
        </w:rPr>
        <w:t> </w:t>
      </w:r>
      <w:r>
        <w:rPr>
          <w:rFonts w:ascii="Arial" w:cs="Arial"/>
          <w:rtl/>
        </w:rPr>
        <w:t>ا</w:t>
      </w:r>
      <w:r>
        <w:rPr>
          <w:rFonts w:ascii="Arial" w:cs="Arial"/>
          <w:spacing w:val="-2"/>
          <w:w w:val="40"/>
          <w:rtl/>
        </w:rPr>
        <w:t>ل</w:t>
      </w:r>
      <w:r>
        <w:rPr>
          <w:rFonts w:ascii="Arial" w:cs="Arial"/>
          <w:rtl/>
        </w:rPr>
        <w:t>د</w:t>
      </w:r>
      <w:r>
        <w:rPr>
          <w:rFonts w:ascii="Arial" w:cs="Arial"/>
          <w:spacing w:val="-2"/>
          <w:w w:val="96"/>
          <w:rtl/>
        </w:rPr>
        <w:t>ع</w:t>
      </w:r>
      <w:r>
        <w:rPr>
          <w:rFonts w:ascii="Arial" w:cs="Arial"/>
          <w:rtl/>
        </w:rPr>
        <w:t>م</w:t>
      </w:r>
      <w:r>
        <w:rPr>
          <w:rFonts w:ascii="Arial" w:cs="Arial"/>
          <w:spacing w:val="13"/>
          <w:rtl/>
        </w:rPr>
        <w:t> </w:t>
      </w:r>
      <w:r>
        <w:rPr>
          <w:rFonts w:ascii="Arial" w:cs="Arial"/>
          <w:rtl/>
        </w:rPr>
        <w:t>ا</w:t>
      </w:r>
      <w:r>
        <w:rPr>
          <w:rFonts w:ascii="Arial" w:cs="Arial"/>
          <w:spacing w:val="-2"/>
          <w:w w:val="40"/>
          <w:rtl/>
        </w:rPr>
        <w:t>ل</w:t>
      </w:r>
      <w:r>
        <w:rPr>
          <w:rFonts w:ascii="Arial" w:cs="Arial"/>
          <w:spacing w:val="-1"/>
          <w:w w:val="33"/>
          <w:rtl/>
        </w:rPr>
        <w:t>ف</w:t>
      </w:r>
      <w:r>
        <w:rPr>
          <w:rFonts w:ascii="Arial" w:cs="Arial"/>
          <w:spacing w:val="-1"/>
          <w:w w:val="46"/>
          <w:rtl/>
        </w:rPr>
        <w:t>ن</w:t>
      </w:r>
      <w:r>
        <w:rPr>
          <w:rFonts w:ascii="Arial" w:cs="Arial"/>
          <w:spacing w:val="-3"/>
          <w:w w:val="92"/>
          <w:rtl/>
        </w:rPr>
        <w:t>ي</w:t>
      </w:r>
      <w:r>
        <w:rPr>
          <w:rFonts w:ascii="Arial" w:cs="Arial"/>
        </w:rPr>
        <w:t>.</w:t>
      </w:r>
      <w:r>
        <w:rPr>
          <w:rFonts w:ascii="Arial" w:cs="Arial"/>
          <w:spacing w:val="16"/>
          <w:rtl/>
        </w:rPr>
        <w:t> </w:t>
      </w:r>
      <w:r>
        <w:rPr>
          <w:rFonts w:ascii="Arial" w:cs="Arial"/>
          <w:rtl/>
        </w:rPr>
        <w:t>و</w:t>
      </w:r>
      <w:r>
        <w:rPr>
          <w:rFonts w:ascii="Arial" w:cs="Arial"/>
          <w:spacing w:val="-2"/>
          <w:w w:val="46"/>
          <w:rtl/>
        </w:rPr>
        <w:t>ق</w:t>
      </w:r>
      <w:r>
        <w:rPr>
          <w:rFonts w:ascii="Arial" w:cs="Arial"/>
          <w:rtl/>
        </w:rPr>
        <w:t>د</w:t>
      </w:r>
      <w:r>
        <w:rPr>
          <w:rFonts w:ascii="Arial" w:cs="Arial"/>
          <w:spacing w:val="13"/>
          <w:rtl/>
        </w:rPr>
        <w:t> </w:t>
      </w:r>
      <w:r>
        <w:rPr>
          <w:rFonts w:ascii="Arial" w:cs="Arial"/>
          <w:rtl/>
        </w:rPr>
        <w:t>أ</w:t>
      </w:r>
      <w:r>
        <w:rPr>
          <w:rFonts w:ascii="Arial" w:cs="Arial"/>
          <w:spacing w:val="-1"/>
          <w:rtl/>
        </w:rPr>
        <w:t>ظ</w:t>
      </w:r>
      <w:r>
        <w:rPr>
          <w:rFonts w:ascii="Arial" w:cs="Arial"/>
          <w:spacing w:val="1"/>
          <w:w w:val="139"/>
          <w:rtl/>
        </w:rPr>
        <w:t>ه</w:t>
      </w:r>
      <w:r>
        <w:rPr>
          <w:rFonts w:ascii="Arial" w:cs="Arial"/>
          <w:spacing w:val="-3"/>
          <w:rtl/>
        </w:rPr>
        <w:t>ر</w:t>
      </w:r>
      <w:r>
        <w:rPr>
          <w:rFonts w:ascii="Arial" w:cs="Arial"/>
          <w:spacing w:val="1"/>
          <w:rtl/>
        </w:rPr>
        <w:t>ت</w:t>
      </w:r>
      <w:r>
        <w:rPr>
          <w:rFonts w:ascii="Arial" w:cs="Arial"/>
          <w:spacing w:val="13"/>
          <w:rtl/>
        </w:rPr>
        <w:t> </w:t>
      </w:r>
      <w:r>
        <w:rPr>
          <w:rFonts w:ascii="Arial" w:cs="Arial"/>
          <w:rtl/>
        </w:rPr>
        <w:t>ا</w:t>
      </w:r>
      <w:r>
        <w:rPr>
          <w:rFonts w:ascii="Arial" w:cs="Arial"/>
          <w:spacing w:val="-2"/>
          <w:w w:val="40"/>
          <w:rtl/>
        </w:rPr>
        <w:t>ل</w:t>
      </w:r>
      <w:r>
        <w:rPr>
          <w:rFonts w:ascii="Arial" w:cs="Arial"/>
          <w:spacing w:val="-1"/>
          <w:w w:val="46"/>
          <w:rtl/>
        </w:rPr>
        <w:t>ن</w:t>
      </w:r>
      <w:r>
        <w:rPr>
          <w:rFonts w:ascii="Arial" w:cs="Arial"/>
          <w:spacing w:val="-1"/>
          <w:w w:val="34"/>
          <w:rtl/>
        </w:rPr>
        <w:t>ت</w:t>
      </w:r>
      <w:r>
        <w:rPr>
          <w:rFonts w:ascii="Arial" w:cs="Arial"/>
          <w:spacing w:val="-3"/>
          <w:w w:val="110"/>
          <w:rtl/>
        </w:rPr>
        <w:t>ا</w:t>
      </w:r>
      <w:r>
        <w:rPr>
          <w:rFonts w:ascii="Arial" w:cs="Arial"/>
          <w:spacing w:val="3"/>
          <w:w w:val="38"/>
          <w:rtl/>
        </w:rPr>
        <w:t>ئ</w:t>
      </w:r>
      <w:r>
        <w:rPr>
          <w:rFonts w:ascii="Arial" w:cs="Arial"/>
          <w:spacing w:val="-2"/>
          <w:w w:val="93"/>
          <w:rtl/>
        </w:rPr>
        <w:t>ج</w:t>
      </w:r>
      <w:r>
        <w:rPr>
          <w:rFonts w:ascii="Arial" w:cs="Arial"/>
          <w:spacing w:val="13"/>
          <w:rtl/>
        </w:rPr>
        <w:t> </w:t>
      </w:r>
      <w:r>
        <w:rPr>
          <w:rFonts w:ascii="Arial" w:cs="Arial"/>
          <w:rtl/>
        </w:rPr>
        <w:t>أ</w:t>
      </w:r>
      <w:r>
        <w:rPr>
          <w:rFonts w:ascii="Arial" w:cs="Arial"/>
          <w:spacing w:val="-2"/>
          <w:rtl/>
        </w:rPr>
        <w:t>ن</w:t>
      </w:r>
      <w:r>
        <w:rPr>
          <w:rFonts w:ascii="Arial" w:cs="Arial"/>
          <w:spacing w:val="13"/>
          <w:rtl/>
        </w:rPr>
        <w:t> </w:t>
      </w:r>
      <w:r>
        <w:rPr>
          <w:rFonts w:ascii="Arial" w:cs="Arial"/>
          <w:rtl/>
        </w:rPr>
        <w:t>ا</w:t>
      </w:r>
      <w:r>
        <w:rPr>
          <w:rFonts w:ascii="Arial" w:cs="Arial"/>
          <w:spacing w:val="-1"/>
          <w:w w:val="76"/>
          <w:rtl/>
        </w:rPr>
        <w:t>أ</w:t>
      </w:r>
      <w:r>
        <w:rPr>
          <w:rFonts w:ascii="Arial" w:cs="Arial"/>
          <w:w w:val="76"/>
          <w:rtl/>
        </w:rPr>
        <w:t>ل</w:t>
      </w:r>
      <w:r>
        <w:rPr>
          <w:rFonts w:ascii="Arial" w:cs="Arial"/>
          <w:spacing w:val="3"/>
          <w:w w:val="96"/>
          <w:rtl/>
        </w:rPr>
        <w:t>ع</w:t>
      </w:r>
      <w:r>
        <w:rPr>
          <w:rFonts w:ascii="Arial" w:cs="Arial"/>
          <w:spacing w:val="-1"/>
          <w:rtl/>
        </w:rPr>
        <w:t>ط</w:t>
      </w:r>
      <w:r>
        <w:rPr>
          <w:rFonts w:ascii="Arial" w:cs="Arial"/>
          <w:spacing w:val="-3"/>
          <w:w w:val="110"/>
          <w:rtl/>
        </w:rPr>
        <w:t>ا</w:t>
      </w:r>
      <w:r>
        <w:rPr>
          <w:rFonts w:ascii="Arial" w:cs="Arial"/>
          <w:spacing w:val="-2"/>
          <w:rtl/>
        </w:rPr>
        <w:t>ل</w:t>
      </w:r>
      <w:r>
        <w:rPr>
          <w:rFonts w:ascii="Arial" w:cs="Arial"/>
          <w:spacing w:val="18"/>
          <w:rtl/>
        </w:rPr>
        <w:t> </w:t>
      </w:r>
      <w:r>
        <w:rPr>
          <w:rFonts w:ascii="Arial" w:cs="Arial"/>
          <w:rtl/>
        </w:rPr>
        <w:t>ا</w:t>
      </w:r>
      <w:r>
        <w:rPr>
          <w:rFonts w:ascii="Arial" w:cs="Arial"/>
          <w:spacing w:val="-2"/>
          <w:w w:val="40"/>
          <w:rtl/>
        </w:rPr>
        <w:t>ل</w:t>
      </w:r>
      <w:r>
        <w:rPr>
          <w:rFonts w:ascii="Arial" w:cs="Arial"/>
          <w:spacing w:val="1"/>
          <w:w w:val="116"/>
          <w:rtl/>
        </w:rPr>
        <w:t>م</w:t>
      </w:r>
      <w:r>
        <w:rPr>
          <w:rFonts w:ascii="Arial" w:cs="Arial"/>
          <w:spacing w:val="-1"/>
          <w:w w:val="34"/>
          <w:rtl/>
        </w:rPr>
        <w:t>ت</w:t>
      </w:r>
      <w:r>
        <w:rPr>
          <w:rFonts w:ascii="Arial" w:cs="Arial"/>
          <w:spacing w:val="1"/>
          <w:w w:val="65"/>
          <w:rtl/>
        </w:rPr>
        <w:t>ك</w:t>
      </w:r>
      <w:r>
        <w:rPr>
          <w:rFonts w:ascii="Arial" w:cs="Arial"/>
          <w:spacing w:val="-3"/>
          <w:rtl/>
        </w:rPr>
        <w:t>رر</w:t>
      </w:r>
      <w:r>
        <w:rPr>
          <w:rFonts w:ascii="Arial" w:cs="Arial"/>
          <w:spacing w:val="-1"/>
          <w:rtl/>
        </w:rPr>
        <w:t>ة</w:t>
      </w:r>
      <w:r>
        <w:rPr>
          <w:rFonts w:ascii="Arial" w:cs="Arial"/>
          <w:spacing w:val="5"/>
          <w:rtl/>
        </w:rPr>
        <w:t>،</w:t>
      </w:r>
      <w:r>
        <w:rPr>
          <w:rFonts w:ascii="Arial" w:cs="Arial"/>
          <w:w w:val="116"/>
          <w:rtl/>
        </w:rPr>
        <w:t> </w:t>
      </w:r>
      <w:r>
        <w:rPr>
          <w:rFonts w:ascii="Arial" w:cs="Arial"/>
          <w:rtl/>
        </w:rPr>
        <w:t>و</w:t>
      </w:r>
      <w:r>
        <w:rPr>
          <w:rFonts w:ascii="Arial" w:cs="Arial"/>
          <w:spacing w:val="-2"/>
          <w:rtl/>
        </w:rPr>
        <w:t>ا</w:t>
      </w:r>
      <w:r>
        <w:rPr>
          <w:rFonts w:ascii="Arial" w:cs="Arial"/>
          <w:spacing w:val="-1"/>
          <w:w w:val="76"/>
          <w:rtl/>
        </w:rPr>
        <w:t>ا</w:t>
      </w:r>
      <w:r>
        <w:rPr>
          <w:rFonts w:ascii="Arial" w:cs="Arial"/>
          <w:w w:val="76"/>
          <w:rtl/>
        </w:rPr>
        <w:t>ل</w:t>
      </w:r>
      <w:r>
        <w:rPr>
          <w:rFonts w:ascii="Arial" w:cs="Arial"/>
          <w:spacing w:val="-1"/>
          <w:w w:val="46"/>
          <w:rtl/>
        </w:rPr>
        <w:t>ن</w:t>
      </w:r>
      <w:r>
        <w:rPr>
          <w:rFonts w:ascii="Arial" w:cs="Arial"/>
          <w:spacing w:val="-1"/>
          <w:w w:val="45"/>
          <w:rtl/>
        </w:rPr>
        <w:t>ق</w:t>
      </w:r>
      <w:r>
        <w:rPr>
          <w:rFonts w:ascii="Arial" w:cs="Arial"/>
          <w:spacing w:val="-1"/>
          <w:rtl/>
        </w:rPr>
        <w:t>ط</w:t>
      </w:r>
      <w:r>
        <w:rPr>
          <w:rFonts w:ascii="Arial" w:cs="Arial"/>
          <w:spacing w:val="-3"/>
          <w:w w:val="110"/>
          <w:rtl/>
        </w:rPr>
        <w:t>ا</w:t>
      </w:r>
      <w:r>
        <w:rPr>
          <w:rFonts w:ascii="Arial" w:cs="Arial"/>
          <w:spacing w:val="3"/>
          <w:w w:val="96"/>
          <w:rtl/>
        </w:rPr>
        <w:t>ع</w:t>
      </w:r>
      <w:r>
        <w:rPr>
          <w:rFonts w:ascii="Arial" w:cs="Arial"/>
          <w:spacing w:val="-3"/>
          <w:w w:val="110"/>
          <w:rtl/>
        </w:rPr>
        <w:t>ا</w:t>
      </w:r>
      <w:r>
        <w:rPr>
          <w:rFonts w:ascii="Arial" w:cs="Arial"/>
          <w:spacing w:val="1"/>
          <w:rtl/>
        </w:rPr>
        <w:t>ت</w:t>
      </w:r>
      <w:r>
        <w:rPr>
          <w:rFonts w:ascii="Arial" w:cs="Arial"/>
          <w:spacing w:val="-6"/>
          <w:rtl/>
        </w:rPr>
        <w:t> </w:t>
      </w:r>
      <w:r>
        <w:rPr>
          <w:rFonts w:ascii="Arial" w:cs="Arial"/>
          <w:rtl/>
        </w:rPr>
        <w:t>ا</w:t>
      </w:r>
      <w:r>
        <w:rPr>
          <w:rFonts w:ascii="Arial" w:cs="Arial"/>
          <w:spacing w:val="-2"/>
          <w:w w:val="40"/>
          <w:rtl/>
        </w:rPr>
        <w:t>ل</w:t>
      </w:r>
      <w:r>
        <w:rPr>
          <w:rFonts w:ascii="Arial" w:cs="Arial"/>
          <w:spacing w:val="3"/>
          <w:w w:val="40"/>
          <w:rtl/>
        </w:rPr>
        <w:t>ل</w:t>
      </w:r>
      <w:r>
        <w:rPr>
          <w:rFonts w:ascii="Arial" w:cs="Arial"/>
          <w:spacing w:val="-1"/>
          <w:w w:val="38"/>
          <w:rtl/>
        </w:rPr>
        <w:t>ي</w:t>
      </w:r>
      <w:r>
        <w:rPr>
          <w:rFonts w:ascii="Arial" w:cs="Arial"/>
          <w:spacing w:val="-2"/>
          <w:w w:val="40"/>
          <w:rtl/>
        </w:rPr>
        <w:t>ل</w:t>
      </w:r>
      <w:r>
        <w:rPr>
          <w:rFonts w:ascii="Arial" w:cs="Arial"/>
          <w:spacing w:val="-1"/>
          <w:w w:val="38"/>
          <w:rtl/>
        </w:rPr>
        <w:t>ي</w:t>
      </w:r>
      <w:r>
        <w:rPr>
          <w:rFonts w:ascii="Arial" w:cs="Arial"/>
          <w:spacing w:val="1"/>
          <w:w w:val="132"/>
          <w:rtl/>
        </w:rPr>
        <w:t>ة</w:t>
      </w:r>
      <w:r>
        <w:rPr>
          <w:rFonts w:ascii="Arial" w:cs="Arial"/>
          <w:rtl/>
        </w:rPr>
        <w:t>،</w:t>
      </w:r>
      <w:r>
        <w:rPr>
          <w:rFonts w:ascii="Arial" w:cs="Arial"/>
          <w:spacing w:val="-3"/>
          <w:rtl/>
        </w:rPr>
        <w:t> </w:t>
      </w:r>
      <w:r>
        <w:rPr>
          <w:rFonts w:ascii="Arial" w:cs="Arial"/>
          <w:rtl/>
        </w:rPr>
        <w:t>و</w:t>
      </w:r>
      <w:r>
        <w:rPr>
          <w:rFonts w:ascii="Arial" w:cs="Arial"/>
          <w:spacing w:val="-1"/>
          <w:w w:val="34"/>
          <w:rtl/>
        </w:rPr>
        <w:t>ب</w:t>
      </w:r>
      <w:r>
        <w:rPr>
          <w:rFonts w:ascii="Arial" w:cs="Arial"/>
          <w:spacing w:val="-1"/>
          <w:rtl/>
        </w:rPr>
        <w:t>ط</w:t>
      </w:r>
      <w:r>
        <w:rPr>
          <w:rFonts w:ascii="Arial" w:cs="Arial"/>
          <w:spacing w:val="1"/>
          <w:rtl/>
        </w:rPr>
        <w:t>ء</w:t>
      </w:r>
      <w:r>
        <w:rPr>
          <w:rFonts w:ascii="Arial" w:cs="Arial"/>
          <w:spacing w:val="-6"/>
          <w:rtl/>
        </w:rPr>
        <w:t> </w:t>
      </w:r>
      <w:r>
        <w:rPr>
          <w:rFonts w:ascii="Arial" w:cs="Arial"/>
          <w:rtl/>
        </w:rPr>
        <w:t>ا</w:t>
      </w:r>
      <w:r>
        <w:rPr>
          <w:rFonts w:ascii="Arial" w:cs="Arial"/>
          <w:spacing w:val="-1"/>
          <w:w w:val="76"/>
          <w:rtl/>
        </w:rPr>
        <w:t>ا</w:t>
      </w:r>
      <w:r>
        <w:rPr>
          <w:rFonts w:ascii="Arial" w:cs="Arial"/>
          <w:w w:val="76"/>
          <w:rtl/>
        </w:rPr>
        <w:t>ل</w:t>
      </w:r>
      <w:r>
        <w:rPr>
          <w:rFonts w:ascii="Arial" w:cs="Arial"/>
          <w:spacing w:val="2"/>
          <w:w w:val="64"/>
          <w:rtl/>
        </w:rPr>
        <w:t>س</w:t>
      </w:r>
      <w:r>
        <w:rPr>
          <w:rFonts w:ascii="Arial" w:cs="Arial"/>
          <w:spacing w:val="-1"/>
          <w:w w:val="34"/>
          <w:rtl/>
        </w:rPr>
        <w:t>ت</w:t>
      </w:r>
      <w:r>
        <w:rPr>
          <w:rFonts w:ascii="Arial" w:cs="Arial"/>
          <w:spacing w:val="-3"/>
          <w:w w:val="94"/>
          <w:rtl/>
        </w:rPr>
        <w:t>ج</w:t>
      </w:r>
      <w:r>
        <w:rPr>
          <w:rFonts w:ascii="Arial" w:cs="Arial"/>
          <w:spacing w:val="-3"/>
          <w:w w:val="110"/>
          <w:rtl/>
        </w:rPr>
        <w:t>ا</w:t>
      </w:r>
      <w:r>
        <w:rPr>
          <w:rFonts w:ascii="Arial" w:cs="Arial"/>
          <w:spacing w:val="-1"/>
          <w:w w:val="34"/>
          <w:rtl/>
        </w:rPr>
        <w:t>ب</w:t>
      </w:r>
      <w:r>
        <w:rPr>
          <w:rFonts w:ascii="Arial" w:cs="Arial"/>
          <w:spacing w:val="1"/>
          <w:w w:val="132"/>
          <w:rtl/>
        </w:rPr>
        <w:t>ة</w:t>
      </w:r>
      <w:r>
        <w:rPr>
          <w:rFonts w:ascii="Arial" w:cs="Arial"/>
          <w:spacing w:val="-3"/>
          <w:rtl/>
        </w:rPr>
        <w:t> </w:t>
      </w:r>
      <w:r>
        <w:rPr>
          <w:rFonts w:ascii="Arial" w:cs="Arial"/>
          <w:w w:val="116"/>
          <w:rtl/>
        </w:rPr>
        <w:t>م</w:t>
      </w:r>
      <w:r>
        <w:rPr>
          <w:rFonts w:ascii="Arial" w:cs="Arial"/>
          <w:spacing w:val="-2"/>
          <w:rtl/>
        </w:rPr>
        <w:t>ن </w:t>
      </w:r>
      <w:r>
        <w:rPr>
          <w:rFonts w:ascii="Arial" w:cs="Arial"/>
          <w:rtl/>
        </w:rPr>
        <w:t>ا</w:t>
      </w:r>
      <w:r>
        <w:rPr>
          <w:rFonts w:ascii="Arial" w:cs="Arial"/>
          <w:spacing w:val="-2"/>
          <w:w w:val="40"/>
          <w:rtl/>
        </w:rPr>
        <w:t>ل</w:t>
      </w:r>
      <w:r>
        <w:rPr>
          <w:rFonts w:ascii="Arial" w:cs="Arial"/>
          <w:rtl/>
        </w:rPr>
        <w:t>د</w:t>
      </w:r>
      <w:r>
        <w:rPr>
          <w:rFonts w:ascii="Arial" w:cs="Arial"/>
          <w:spacing w:val="-2"/>
          <w:w w:val="96"/>
          <w:rtl/>
        </w:rPr>
        <w:t>ع</w:t>
      </w:r>
      <w:r>
        <w:rPr>
          <w:rFonts w:ascii="Arial" w:cs="Arial"/>
          <w:rtl/>
        </w:rPr>
        <w:t>م</w:t>
      </w:r>
      <w:r>
        <w:rPr>
          <w:rFonts w:ascii="Arial" w:cs="Arial"/>
          <w:spacing w:val="-6"/>
          <w:rtl/>
        </w:rPr>
        <w:t> </w:t>
      </w:r>
      <w:r>
        <w:rPr>
          <w:rFonts w:ascii="Arial" w:cs="Arial"/>
          <w:w w:val="34"/>
          <w:rtl/>
        </w:rPr>
        <w:t>ت</w:t>
      </w:r>
      <w:r>
        <w:rPr>
          <w:rFonts w:ascii="Arial" w:cs="Arial"/>
          <w:spacing w:val="1"/>
          <w:rtl/>
        </w:rPr>
        <w:t>ؤ</w:t>
      </w:r>
      <w:r>
        <w:rPr>
          <w:rFonts w:ascii="Arial" w:cs="Arial"/>
          <w:rtl/>
        </w:rPr>
        <w:t>دي</w:t>
      </w:r>
      <w:r>
        <w:rPr>
          <w:rFonts w:ascii="Arial" w:cs="Arial"/>
          <w:spacing w:val="-6"/>
          <w:rtl/>
        </w:rPr>
        <w:t> </w:t>
      </w:r>
      <w:r>
        <w:rPr>
          <w:rFonts w:ascii="Arial" w:cs="Arial"/>
          <w:rtl/>
        </w:rPr>
        <w:t>إ</w:t>
      </w:r>
      <w:r>
        <w:rPr>
          <w:rFonts w:ascii="Arial" w:cs="Arial"/>
          <w:spacing w:val="-2"/>
          <w:w w:val="40"/>
          <w:rtl/>
        </w:rPr>
        <w:t>ل</w:t>
      </w:r>
      <w:r>
        <w:rPr>
          <w:rFonts w:ascii="Arial" w:cs="Arial"/>
          <w:spacing w:val="-3"/>
          <w:w w:val="92"/>
          <w:rtl/>
        </w:rPr>
        <w:t>ى</w:t>
      </w:r>
      <w:r>
        <w:rPr>
          <w:rFonts w:ascii="Arial" w:cs="Arial"/>
          <w:spacing w:val="-1"/>
          <w:rtl/>
        </w:rPr>
        <w:t> </w:t>
      </w:r>
      <w:r>
        <w:rPr>
          <w:rFonts w:ascii="Arial" w:cs="Arial"/>
          <w:w w:val="34"/>
          <w:rtl/>
        </w:rPr>
        <w:t>ت</w:t>
      </w:r>
      <w:r>
        <w:rPr>
          <w:rFonts w:ascii="Arial" w:cs="Arial"/>
          <w:spacing w:val="-3"/>
          <w:rtl/>
        </w:rPr>
        <w:t>ر</w:t>
      </w:r>
      <w:r>
        <w:rPr>
          <w:rFonts w:ascii="Arial" w:cs="Arial"/>
          <w:spacing w:val="-2"/>
          <w:rtl/>
        </w:rPr>
        <w:t>ا</w:t>
      </w:r>
      <w:r>
        <w:rPr>
          <w:rFonts w:ascii="Arial" w:cs="Arial"/>
          <w:spacing w:val="-3"/>
          <w:w w:val="94"/>
          <w:rtl/>
        </w:rPr>
        <w:t>ج</w:t>
      </w:r>
      <w:r>
        <w:rPr>
          <w:rFonts w:ascii="Arial" w:cs="Arial"/>
          <w:spacing w:val="2"/>
          <w:w w:val="82"/>
          <w:rtl/>
        </w:rPr>
        <w:t>ع</w:t>
      </w:r>
      <w:r>
        <w:rPr>
          <w:rFonts w:ascii="Arial" w:cs="Arial"/>
          <w:spacing w:val="-1"/>
          <w:rtl/>
        </w:rPr>
        <w:t> </w:t>
      </w:r>
      <w:r>
        <w:rPr>
          <w:rFonts w:ascii="Arial" w:cs="Arial"/>
          <w:w w:val="34"/>
          <w:rtl/>
        </w:rPr>
        <w:t>ث</w:t>
      </w:r>
      <w:r>
        <w:rPr>
          <w:rFonts w:ascii="Arial" w:cs="Arial"/>
          <w:spacing w:val="-1"/>
          <w:w w:val="45"/>
          <w:rtl/>
        </w:rPr>
        <w:t>ق</w:t>
      </w:r>
      <w:r>
        <w:rPr>
          <w:rFonts w:ascii="Arial" w:cs="Arial"/>
          <w:spacing w:val="1"/>
          <w:w w:val="132"/>
          <w:rtl/>
        </w:rPr>
        <w:t>ة</w:t>
      </w:r>
      <w:r>
        <w:rPr>
          <w:rFonts w:ascii="Arial" w:cs="Arial"/>
          <w:spacing w:val="-6"/>
          <w:rtl/>
        </w:rPr>
        <w:t> </w:t>
      </w:r>
      <w:r>
        <w:rPr>
          <w:rFonts w:ascii="Arial" w:cs="Arial"/>
          <w:rtl/>
        </w:rPr>
        <w:t>ا</w:t>
      </w:r>
      <w:r>
        <w:rPr>
          <w:rFonts w:ascii="Arial" w:cs="Arial"/>
          <w:spacing w:val="-2"/>
          <w:w w:val="40"/>
          <w:rtl/>
        </w:rPr>
        <w:t>ل</w:t>
      </w:r>
      <w:r>
        <w:rPr>
          <w:rFonts w:ascii="Arial" w:cs="Arial"/>
          <w:spacing w:val="1"/>
          <w:w w:val="72"/>
          <w:rtl/>
        </w:rPr>
        <w:t>ع</w:t>
      </w:r>
      <w:r>
        <w:rPr>
          <w:rFonts w:ascii="Arial" w:cs="Arial"/>
          <w:spacing w:val="1"/>
          <w:w w:val="116"/>
          <w:rtl/>
        </w:rPr>
        <w:t>م</w:t>
      </w:r>
      <w:r>
        <w:rPr>
          <w:rFonts w:ascii="Arial" w:cs="Arial"/>
          <w:spacing w:val="-1"/>
          <w:w w:val="84"/>
          <w:rtl/>
        </w:rPr>
        <w:t>ا</w:t>
      </w:r>
      <w:r>
        <w:rPr>
          <w:rFonts w:ascii="Arial" w:cs="Arial"/>
          <w:w w:val="84"/>
          <w:rtl/>
        </w:rPr>
        <w:t>ل</w:t>
      </w:r>
      <w:r>
        <w:rPr>
          <w:rFonts w:ascii="Arial" w:cs="Arial"/>
          <w:spacing w:val="1"/>
          <w:rtl/>
        </w:rPr>
        <w:t>ء</w:t>
      </w:r>
      <w:r>
        <w:rPr>
          <w:rFonts w:ascii="Arial" w:cs="Arial"/>
        </w:rPr>
        <w:t>.</w:t>
      </w:r>
      <w:r>
        <w:rPr>
          <w:rFonts w:ascii="Arial" w:cs="Arial"/>
          <w:spacing w:val="-3"/>
          <w:rtl/>
        </w:rPr>
        <w:t> </w:t>
      </w:r>
      <w:r>
        <w:rPr>
          <w:rFonts w:ascii="Arial" w:cs="Arial"/>
          <w:rtl/>
        </w:rPr>
        <w:t>و</w:t>
      </w:r>
      <w:r>
        <w:rPr>
          <w:rFonts w:ascii="Arial" w:cs="Arial"/>
          <w:spacing w:val="-1"/>
          <w:w w:val="34"/>
          <w:rtl/>
        </w:rPr>
        <w:t>ب</w:t>
      </w:r>
      <w:r>
        <w:rPr>
          <w:rFonts w:ascii="Arial" w:cs="Arial"/>
          <w:spacing w:val="-1"/>
          <w:w w:val="46"/>
          <w:rtl/>
        </w:rPr>
        <w:t>ن</w:t>
      </w:r>
      <w:r>
        <w:rPr>
          <w:rFonts w:ascii="Arial" w:cs="Arial"/>
          <w:spacing w:val="-3"/>
          <w:w w:val="110"/>
          <w:rtl/>
        </w:rPr>
        <w:t>ا</w:t>
      </w:r>
      <w:r>
        <w:rPr>
          <w:rFonts w:ascii="Arial" w:cs="Arial"/>
          <w:spacing w:val="19"/>
          <w:position w:val="-2"/>
          <w:rtl/>
        </w:rPr>
        <w:t> </w:t>
      </w:r>
      <w:r>
        <w:rPr>
          <w:rFonts w:ascii="Arial" w:cs="Arial"/>
          <w:position w:val="-2"/>
          <w:rtl/>
        </w:rPr>
        <w:t>ً</w:t>
      </w:r>
      <w:r>
        <w:rPr>
          <w:rFonts w:ascii="Arial" w:cs="Arial"/>
          <w:spacing w:val="-85"/>
          <w:rtl/>
        </w:rPr>
        <w:t>ء</w:t>
      </w:r>
      <w:r>
        <w:rPr>
          <w:rFonts w:ascii="Arial" w:cs="Arial"/>
          <w:spacing w:val="-6"/>
          <w:rtl/>
        </w:rPr>
        <w:t> </w:t>
      </w:r>
      <w:r>
        <w:rPr>
          <w:rFonts w:ascii="Arial" w:cs="Arial"/>
          <w:w w:val="96"/>
          <w:rtl/>
        </w:rPr>
        <w:t>ع</w:t>
      </w:r>
      <w:r>
        <w:rPr>
          <w:rFonts w:ascii="Arial" w:cs="Arial"/>
          <w:spacing w:val="-2"/>
          <w:w w:val="40"/>
          <w:rtl/>
        </w:rPr>
        <w:t>ل</w:t>
      </w:r>
      <w:r>
        <w:rPr>
          <w:rFonts w:ascii="Arial" w:cs="Arial"/>
          <w:spacing w:val="-3"/>
          <w:w w:val="92"/>
          <w:rtl/>
        </w:rPr>
        <w:t>ى</w:t>
      </w:r>
      <w:r>
        <w:rPr>
          <w:rFonts w:ascii="Arial" w:cs="Arial"/>
          <w:spacing w:val="-4"/>
          <w:rtl/>
        </w:rPr>
        <w:t> </w:t>
      </w:r>
      <w:r>
        <w:rPr>
          <w:rFonts w:ascii="Arial" w:cs="Arial"/>
          <w:rtl/>
        </w:rPr>
        <w:t>ذ</w:t>
      </w:r>
      <w:r>
        <w:rPr>
          <w:rFonts w:ascii="Arial" w:cs="Arial"/>
          <w:spacing w:val="-2"/>
          <w:w w:val="40"/>
          <w:rtl/>
        </w:rPr>
        <w:t>ل</w:t>
      </w:r>
      <w:r>
        <w:rPr>
          <w:rFonts w:ascii="Arial" w:cs="Arial"/>
          <w:spacing w:val="-1"/>
          <w:rtl/>
        </w:rPr>
        <w:t>ك</w:t>
      </w:r>
      <w:r>
        <w:rPr>
          <w:rFonts w:ascii="Arial" w:cs="Arial"/>
          <w:rtl/>
        </w:rPr>
        <w:t>،</w:t>
      </w:r>
      <w:r>
        <w:rPr>
          <w:rFonts w:ascii="Arial" w:cs="Arial"/>
          <w:spacing w:val="-6"/>
          <w:rtl/>
        </w:rPr>
        <w:t> </w:t>
      </w:r>
      <w:r>
        <w:rPr>
          <w:rFonts w:ascii="Arial" w:cs="Arial"/>
          <w:w w:val="38"/>
          <w:rtl/>
        </w:rPr>
        <w:t>ي</w:t>
      </w:r>
      <w:r>
        <w:rPr>
          <w:rFonts w:ascii="Arial" w:cs="Arial"/>
          <w:spacing w:val="-1"/>
          <w:w w:val="45"/>
          <w:rtl/>
        </w:rPr>
        <w:t>ق</w:t>
      </w:r>
      <w:r>
        <w:rPr>
          <w:rFonts w:ascii="Arial" w:cs="Arial"/>
          <w:spacing w:val="-1"/>
          <w:w w:val="34"/>
          <w:rtl/>
        </w:rPr>
        <w:t>ت</w:t>
      </w:r>
      <w:r>
        <w:rPr>
          <w:rFonts w:ascii="Arial" w:cs="Arial"/>
          <w:spacing w:val="-3"/>
          <w:rtl/>
        </w:rPr>
        <w:t>ر</w:t>
      </w:r>
      <w:r>
        <w:rPr>
          <w:rFonts w:ascii="Arial" w:cs="Arial"/>
          <w:spacing w:val="-1"/>
          <w:rtl/>
        </w:rPr>
        <w:t>ح</w:t>
      </w:r>
      <w:r>
        <w:rPr>
          <w:rFonts w:ascii="Arial" w:cs="Arial"/>
          <w:spacing w:val="-2"/>
          <w:rtl/>
        </w:rPr>
        <w:t> </w:t>
      </w:r>
      <w:r>
        <w:rPr>
          <w:rFonts w:ascii="Arial" w:cs="Arial"/>
          <w:w w:val="159"/>
          <w:rtl/>
        </w:rPr>
        <w:t>ه</w:t>
      </w:r>
      <w:r>
        <w:rPr>
          <w:rFonts w:ascii="Arial" w:cs="Arial"/>
          <w:rtl/>
        </w:rPr>
        <w:t>ذ</w:t>
      </w:r>
      <w:r>
        <w:rPr>
          <w:rFonts w:ascii="Arial" w:cs="Arial"/>
          <w:spacing w:val="-2"/>
          <w:rtl/>
        </w:rPr>
        <w:t>ا</w:t>
      </w:r>
      <w:r>
        <w:rPr>
          <w:rFonts w:ascii="Arial" w:cs="Arial"/>
          <w:spacing w:val="-6"/>
          <w:rtl/>
        </w:rPr>
        <w:t> </w:t>
      </w:r>
      <w:r>
        <w:rPr>
          <w:rFonts w:ascii="Arial" w:cs="Arial"/>
          <w:rtl/>
        </w:rPr>
        <w:t>ا</w:t>
      </w:r>
      <w:r>
        <w:rPr>
          <w:rFonts w:ascii="Arial" w:cs="Arial"/>
          <w:spacing w:val="3"/>
          <w:w w:val="40"/>
          <w:rtl/>
        </w:rPr>
        <w:t>ل</w:t>
      </w:r>
      <w:r>
        <w:rPr>
          <w:rFonts w:ascii="Arial" w:cs="Arial"/>
          <w:spacing w:val="-1"/>
          <w:w w:val="34"/>
          <w:rtl/>
        </w:rPr>
        <w:t>ب</w:t>
      </w:r>
      <w:r>
        <w:rPr>
          <w:rFonts w:ascii="Arial" w:cs="Arial"/>
          <w:spacing w:val="-3"/>
          <w:w w:val="94"/>
          <w:rtl/>
        </w:rPr>
        <w:t>ح</w:t>
      </w:r>
      <w:r>
        <w:rPr>
          <w:rFonts w:ascii="Arial" w:cs="Arial"/>
          <w:spacing w:val="1"/>
          <w:rtl/>
        </w:rPr>
        <w:t>ث</w:t>
      </w:r>
      <w:r>
        <w:rPr>
          <w:rFonts w:ascii="Arial" w:cs="Arial"/>
          <w:spacing w:val="-6"/>
          <w:rtl/>
        </w:rPr>
        <w:t> </w:t>
      </w:r>
      <w:r>
        <w:rPr>
          <w:rFonts w:ascii="Arial" w:cs="Arial"/>
          <w:w w:val="34"/>
          <w:rtl/>
        </w:rPr>
        <w:t>ت</w:t>
      </w:r>
      <w:r>
        <w:rPr>
          <w:rFonts w:ascii="Arial" w:cs="Arial"/>
          <w:spacing w:val="1"/>
          <w:rtl/>
        </w:rPr>
        <w:t>و</w:t>
      </w:r>
      <w:r>
        <w:rPr>
          <w:rFonts w:ascii="Arial" w:cs="Arial"/>
          <w:spacing w:val="-2"/>
          <w:w w:val="77"/>
          <w:rtl/>
        </w:rPr>
        <w:t>ص</w:t>
      </w:r>
      <w:r>
        <w:rPr>
          <w:rFonts w:ascii="Arial" w:cs="Arial"/>
          <w:spacing w:val="-1"/>
          <w:w w:val="38"/>
          <w:rtl/>
        </w:rPr>
        <w:t>ي</w:t>
      </w:r>
      <w:r>
        <w:rPr>
          <w:rFonts w:ascii="Arial" w:cs="Arial"/>
          <w:spacing w:val="-3"/>
          <w:w w:val="110"/>
          <w:rtl/>
        </w:rPr>
        <w:t>ا</w:t>
      </w:r>
      <w:r>
        <w:rPr>
          <w:rFonts w:ascii="Arial" w:cs="Arial"/>
          <w:spacing w:val="1"/>
          <w:rtl/>
        </w:rPr>
        <w:t>ت</w:t>
      </w:r>
      <w:r>
        <w:rPr>
          <w:rFonts w:ascii="Arial" w:cs="Arial"/>
          <w:spacing w:val="-6"/>
          <w:rtl/>
        </w:rPr>
        <w:t> </w:t>
      </w:r>
      <w:r>
        <w:rPr>
          <w:rFonts w:ascii="Arial" w:cs="Arial"/>
          <w:w w:val="34"/>
          <w:rtl/>
        </w:rPr>
        <w:t>ت</w:t>
      </w:r>
      <w:r>
        <w:rPr>
          <w:rFonts w:ascii="Arial" w:cs="Arial"/>
          <w:spacing w:val="1"/>
          <w:w w:val="139"/>
          <w:rtl/>
        </w:rPr>
        <w:t>ه</w:t>
      </w:r>
      <w:r>
        <w:rPr>
          <w:rFonts w:ascii="Arial" w:cs="Arial"/>
          <w:rtl/>
        </w:rPr>
        <w:t>د</w:t>
      </w:r>
      <w:r>
        <w:rPr>
          <w:rFonts w:ascii="Arial" w:cs="Arial"/>
          <w:spacing w:val="2"/>
          <w:rtl/>
        </w:rPr>
        <w:t>ف</w:t>
      </w:r>
    </w:p>
    <w:p>
      <w:pPr>
        <w:pStyle w:val="BodyText"/>
        <w:bidi/>
        <w:spacing w:line="285" w:lineRule="exact"/>
        <w:ind w:left="302" w:right="347"/>
        <w:jc w:val="left"/>
        <w:rPr>
          <w:rFonts w:ascii="Arial" w:cs="Arial"/>
        </w:rPr>
      </w:pPr>
      <w:r>
        <w:rPr>
          <w:rFonts w:ascii="Arial" w:cs="Arial"/>
          <w:rtl/>
        </w:rPr>
        <w:t>إ</w:t>
      </w:r>
      <w:r>
        <w:rPr>
          <w:rFonts w:ascii="Arial" w:cs="Arial"/>
          <w:spacing w:val="-2"/>
          <w:w w:val="40"/>
          <w:rtl/>
        </w:rPr>
        <w:t>ل</w:t>
      </w:r>
      <w:r>
        <w:rPr>
          <w:rFonts w:ascii="Arial" w:cs="Arial"/>
          <w:spacing w:val="-2"/>
          <w:w w:val="92"/>
          <w:rtl/>
        </w:rPr>
        <w:t>ى</w:t>
      </w:r>
      <w:r>
        <w:rPr>
          <w:rFonts w:ascii="Arial" w:cs="Arial"/>
          <w:spacing w:val="-2"/>
          <w:rtl/>
        </w:rPr>
        <w:t> </w:t>
      </w:r>
      <w:r>
        <w:rPr>
          <w:rFonts w:ascii="Arial" w:cs="Arial"/>
          <w:w w:val="51"/>
          <w:rtl/>
        </w:rPr>
        <w:t>ت</w:t>
      </w:r>
      <w:r>
        <w:rPr>
          <w:rFonts w:ascii="Arial" w:cs="Arial"/>
          <w:spacing w:val="-1"/>
          <w:w w:val="51"/>
          <w:rtl/>
        </w:rPr>
        <w:t>قد</w:t>
      </w:r>
      <w:r>
        <w:rPr>
          <w:rFonts w:ascii="Arial" w:cs="Arial"/>
          <w:spacing w:val="-1"/>
          <w:w w:val="38"/>
          <w:rtl/>
        </w:rPr>
        <w:t>ي</w:t>
      </w:r>
      <w:r>
        <w:rPr>
          <w:rFonts w:ascii="Arial" w:cs="Arial"/>
          <w:rtl/>
        </w:rPr>
        <w:t>م</w:t>
      </w:r>
      <w:r>
        <w:rPr>
          <w:rFonts w:ascii="Arial" w:cs="Arial"/>
          <w:spacing w:val="3"/>
          <w:rtl/>
        </w:rPr>
        <w:t> </w:t>
      </w:r>
      <w:r>
        <w:rPr>
          <w:rFonts w:ascii="Arial" w:cs="Arial"/>
          <w:w w:val="34"/>
          <w:rtl/>
        </w:rPr>
        <w:t>ت</w:t>
      </w:r>
      <w:r>
        <w:rPr>
          <w:rFonts w:ascii="Arial" w:cs="Arial"/>
          <w:spacing w:val="-3"/>
          <w:w w:val="94"/>
          <w:rtl/>
        </w:rPr>
        <w:t>ج</w:t>
      </w:r>
      <w:r>
        <w:rPr>
          <w:rFonts w:ascii="Arial" w:cs="Arial"/>
          <w:spacing w:val="2"/>
          <w:rtl/>
        </w:rPr>
        <w:t>ر</w:t>
      </w:r>
      <w:r>
        <w:rPr>
          <w:rFonts w:ascii="Arial" w:cs="Arial"/>
          <w:spacing w:val="-1"/>
          <w:w w:val="34"/>
          <w:rtl/>
        </w:rPr>
        <w:t>ب</w:t>
      </w:r>
      <w:r>
        <w:rPr>
          <w:rFonts w:ascii="Arial" w:cs="Arial"/>
          <w:spacing w:val="1"/>
          <w:w w:val="132"/>
          <w:rtl/>
        </w:rPr>
        <w:t>ة</w:t>
      </w:r>
      <w:r>
        <w:rPr>
          <w:rFonts w:ascii="Arial" w:cs="Arial"/>
          <w:spacing w:val="1"/>
          <w:rtl/>
        </w:rPr>
        <w:t> </w:t>
      </w:r>
      <w:r>
        <w:rPr>
          <w:rFonts w:ascii="Arial" w:cs="Arial"/>
          <w:w w:val="116"/>
          <w:rtl/>
        </w:rPr>
        <w:t>م</w:t>
      </w:r>
      <w:r>
        <w:rPr>
          <w:rFonts w:ascii="Arial" w:cs="Arial"/>
          <w:spacing w:val="1"/>
          <w:w w:val="64"/>
          <w:rtl/>
        </w:rPr>
        <w:t>س</w:t>
      </w:r>
      <w:r>
        <w:rPr>
          <w:rFonts w:ascii="Arial" w:cs="Arial"/>
          <w:spacing w:val="-1"/>
          <w:w w:val="34"/>
          <w:rtl/>
        </w:rPr>
        <w:t>ت</w:t>
      </w:r>
      <w:r>
        <w:rPr>
          <w:rFonts w:ascii="Arial" w:cs="Arial"/>
          <w:spacing w:val="-1"/>
          <w:w w:val="94"/>
          <w:rtl/>
        </w:rPr>
        <w:t>خ</w:t>
      </w:r>
      <w:r>
        <w:rPr>
          <w:rFonts w:ascii="Arial" w:cs="Arial"/>
          <w:rtl/>
        </w:rPr>
        <w:t>دم</w:t>
      </w:r>
      <w:r>
        <w:rPr>
          <w:rFonts w:ascii="Arial" w:cs="Arial"/>
          <w:spacing w:val="-2"/>
          <w:rtl/>
        </w:rPr>
        <w:t> </w:t>
      </w:r>
      <w:r>
        <w:rPr>
          <w:rFonts w:ascii="Arial" w:cs="Arial"/>
          <w:rtl/>
        </w:rPr>
        <w:t>أ</w:t>
      </w:r>
      <w:r>
        <w:rPr>
          <w:rFonts w:ascii="Arial" w:cs="Arial"/>
          <w:spacing w:val="1"/>
          <w:w w:val="65"/>
          <w:rtl/>
        </w:rPr>
        <w:t>ك</w:t>
      </w:r>
      <w:r>
        <w:rPr>
          <w:rFonts w:ascii="Arial" w:cs="Arial"/>
          <w:spacing w:val="-1"/>
          <w:w w:val="34"/>
          <w:rtl/>
        </w:rPr>
        <w:t>ث</w:t>
      </w:r>
      <w:r>
        <w:rPr>
          <w:rFonts w:ascii="Arial" w:cs="Arial"/>
          <w:spacing w:val="-3"/>
          <w:rtl/>
        </w:rPr>
        <w:t>ر</w:t>
      </w:r>
      <w:r>
        <w:rPr>
          <w:rFonts w:ascii="Arial" w:cs="Arial"/>
          <w:spacing w:val="2"/>
          <w:rtl/>
        </w:rPr>
        <w:t> </w:t>
      </w:r>
      <w:r>
        <w:rPr>
          <w:rFonts w:ascii="Arial" w:cs="Arial"/>
          <w:w w:val="64"/>
          <w:rtl/>
        </w:rPr>
        <w:t>س</w:t>
      </w:r>
      <w:r>
        <w:rPr>
          <w:rFonts w:ascii="Arial" w:cs="Arial"/>
          <w:spacing w:val="-1"/>
          <w:w w:val="84"/>
          <w:rtl/>
        </w:rPr>
        <w:t>ا</w:t>
      </w:r>
      <w:r>
        <w:rPr>
          <w:rFonts w:ascii="Arial" w:cs="Arial"/>
          <w:w w:val="84"/>
          <w:rtl/>
        </w:rPr>
        <w:t>ل</w:t>
      </w:r>
      <w:r>
        <w:rPr>
          <w:rFonts w:ascii="Arial" w:cs="Arial"/>
          <w:spacing w:val="2"/>
          <w:w w:val="64"/>
          <w:rtl/>
        </w:rPr>
        <w:t>س</w:t>
      </w:r>
      <w:r>
        <w:rPr>
          <w:rFonts w:ascii="Arial" w:cs="Arial"/>
          <w:spacing w:val="1"/>
          <w:w w:val="132"/>
          <w:rtl/>
        </w:rPr>
        <w:t>ة</w:t>
      </w:r>
      <w:r>
        <w:rPr>
          <w:rFonts w:ascii="Arial" w:cs="Arial"/>
          <w:spacing w:val="2"/>
          <w:rtl/>
        </w:rPr>
        <w:t> </w:t>
      </w:r>
      <w:r>
        <w:rPr>
          <w:rFonts w:ascii="Arial" w:cs="Arial"/>
          <w:rtl/>
        </w:rPr>
        <w:t>و</w:t>
      </w:r>
      <w:r>
        <w:rPr>
          <w:rFonts w:ascii="Arial" w:cs="Arial"/>
          <w:spacing w:val="-2"/>
          <w:rtl/>
        </w:rPr>
        <w:t>أ</w:t>
      </w:r>
      <w:r>
        <w:rPr>
          <w:rFonts w:ascii="Arial" w:cs="Arial"/>
          <w:spacing w:val="1"/>
          <w:w w:val="116"/>
          <w:rtl/>
        </w:rPr>
        <w:t>م</w:t>
      </w:r>
      <w:r>
        <w:rPr>
          <w:rFonts w:ascii="Arial" w:cs="Arial"/>
          <w:spacing w:val="-3"/>
          <w:w w:val="110"/>
          <w:rtl/>
        </w:rPr>
        <w:t>ا</w:t>
      </w:r>
      <w:r>
        <w:rPr>
          <w:rFonts w:ascii="Arial" w:cs="Arial"/>
          <w:spacing w:val="-1"/>
          <w:w w:val="46"/>
          <w:rtl/>
        </w:rPr>
        <w:t>ن</w:t>
      </w:r>
      <w:r>
        <w:rPr>
          <w:rFonts w:ascii="Arial" w:cs="Arial"/>
          <w:position w:val="1"/>
          <w:rtl/>
        </w:rPr>
        <w:t>ً</w:t>
      </w:r>
      <w:r>
        <w:rPr>
          <w:rFonts w:ascii="Arial" w:cs="Arial"/>
          <w:spacing w:val="-3"/>
          <w:w w:val="110"/>
          <w:rtl/>
        </w:rPr>
        <w:t>ا</w:t>
      </w:r>
      <w:r>
        <w:rPr>
          <w:rFonts w:ascii="Arial" w:cs="Arial"/>
          <w:spacing w:val="2"/>
          <w:rtl/>
        </w:rPr>
        <w:t> </w:t>
      </w:r>
      <w:r>
        <w:rPr>
          <w:rFonts w:ascii="Arial" w:cs="Arial"/>
          <w:rtl/>
        </w:rPr>
        <w:t>و</w:t>
      </w:r>
      <w:r>
        <w:rPr>
          <w:rFonts w:ascii="Arial" w:cs="Arial"/>
          <w:spacing w:val="1"/>
          <w:w w:val="116"/>
          <w:rtl/>
        </w:rPr>
        <w:t>م</w:t>
      </w:r>
      <w:r>
        <w:rPr>
          <w:rFonts w:ascii="Arial" w:cs="Arial"/>
          <w:spacing w:val="1"/>
          <w:rtl/>
        </w:rPr>
        <w:t>و</w:t>
      </w:r>
      <w:r>
        <w:rPr>
          <w:rFonts w:ascii="Arial" w:cs="Arial"/>
          <w:spacing w:val="-6"/>
          <w:w w:val="34"/>
          <w:rtl/>
        </w:rPr>
        <w:t>ث</w:t>
      </w:r>
      <w:r>
        <w:rPr>
          <w:rFonts w:ascii="Arial" w:cs="Arial"/>
          <w:spacing w:val="1"/>
          <w:rtl/>
        </w:rPr>
        <w:t>و</w:t>
      </w:r>
      <w:r>
        <w:rPr>
          <w:rFonts w:ascii="Arial" w:cs="Arial"/>
          <w:spacing w:val="-2"/>
          <w:w w:val="46"/>
          <w:rtl/>
        </w:rPr>
        <w:t>ق</w:t>
      </w:r>
      <w:r>
        <w:rPr>
          <w:rFonts w:ascii="Arial" w:cs="Arial"/>
          <w:spacing w:val="-1"/>
          <w:w w:val="38"/>
          <w:rtl/>
        </w:rPr>
        <w:t>ي</w:t>
      </w:r>
      <w:r>
        <w:rPr>
          <w:rFonts w:ascii="Arial" w:cs="Arial"/>
          <w:spacing w:val="1"/>
          <w:w w:val="132"/>
          <w:rtl/>
        </w:rPr>
        <w:t>ة</w:t>
      </w:r>
      <w:r>
        <w:rPr>
          <w:rFonts w:ascii="Arial" w:cs="Arial"/>
          <w:rtl/>
        </w:rPr>
        <w:t>،</w:t>
      </w:r>
      <w:r>
        <w:rPr>
          <w:rFonts w:ascii="Arial" w:cs="Arial"/>
          <w:spacing w:val="1"/>
          <w:rtl/>
        </w:rPr>
        <w:t> </w:t>
      </w:r>
      <w:r>
        <w:rPr>
          <w:rFonts w:ascii="Arial" w:cs="Arial"/>
          <w:rtl/>
        </w:rPr>
        <w:t>د</w:t>
      </w:r>
      <w:r>
        <w:rPr>
          <w:rFonts w:ascii="Arial" w:cs="Arial"/>
          <w:spacing w:val="-2"/>
          <w:w w:val="96"/>
          <w:rtl/>
        </w:rPr>
        <w:t>ع</w:t>
      </w:r>
      <w:r>
        <w:rPr>
          <w:rFonts w:ascii="Arial" w:cs="Arial"/>
          <w:spacing w:val="10"/>
          <w:position w:val="-2"/>
          <w:rtl/>
        </w:rPr>
        <w:t> </w:t>
      </w:r>
      <w:r>
        <w:rPr>
          <w:rFonts w:ascii="Arial" w:cs="Arial"/>
          <w:position w:val="-2"/>
          <w:rtl/>
        </w:rPr>
        <w:t>ً</w:t>
      </w:r>
      <w:r>
        <w:rPr>
          <w:rFonts w:ascii="Arial" w:cs="Arial"/>
          <w:spacing w:val="-76"/>
          <w:w w:val="116"/>
          <w:rtl/>
        </w:rPr>
        <w:t>م</w:t>
      </w:r>
      <w:r>
        <w:rPr>
          <w:rFonts w:ascii="Arial" w:cs="Arial"/>
          <w:spacing w:val="-3"/>
          <w:w w:val="110"/>
          <w:rtl/>
        </w:rPr>
        <w:t>ا</w:t>
      </w:r>
      <w:r>
        <w:rPr>
          <w:rFonts w:ascii="Arial" w:cs="Arial"/>
          <w:spacing w:val="-1"/>
          <w:rtl/>
        </w:rPr>
        <w:t> </w:t>
      </w:r>
      <w:r>
        <w:rPr>
          <w:rFonts w:ascii="Arial" w:cs="Arial"/>
          <w:w w:val="76"/>
          <w:rtl/>
        </w:rPr>
        <w:t>ال</w:t>
      </w:r>
      <w:r>
        <w:rPr>
          <w:rFonts w:ascii="Arial" w:cs="Arial"/>
          <w:spacing w:val="2"/>
          <w:w w:val="64"/>
          <w:rtl/>
        </w:rPr>
        <w:t>س</w:t>
      </w:r>
      <w:r>
        <w:rPr>
          <w:rFonts w:ascii="Arial" w:cs="Arial"/>
          <w:spacing w:val="-1"/>
          <w:w w:val="34"/>
          <w:rtl/>
        </w:rPr>
        <w:t>ت</w:t>
      </w:r>
      <w:r>
        <w:rPr>
          <w:rFonts w:ascii="Arial" w:cs="Arial"/>
          <w:spacing w:val="-3"/>
          <w:rtl/>
        </w:rPr>
        <w:t>ر</w:t>
      </w:r>
      <w:r>
        <w:rPr>
          <w:rFonts w:ascii="Arial" w:cs="Arial"/>
          <w:spacing w:val="-2"/>
          <w:rtl/>
        </w:rPr>
        <w:t>ا</w:t>
      </w:r>
      <w:r>
        <w:rPr>
          <w:rFonts w:ascii="Arial" w:cs="Arial"/>
          <w:spacing w:val="-1"/>
          <w:w w:val="34"/>
          <w:rtl/>
        </w:rPr>
        <w:t>ت</w:t>
      </w:r>
      <w:r>
        <w:rPr>
          <w:rFonts w:ascii="Arial" w:cs="Arial"/>
          <w:spacing w:val="3"/>
          <w:w w:val="38"/>
          <w:rtl/>
        </w:rPr>
        <w:t>ي</w:t>
      </w:r>
      <w:r>
        <w:rPr>
          <w:rFonts w:ascii="Arial" w:cs="Arial"/>
          <w:spacing w:val="-3"/>
          <w:w w:val="94"/>
          <w:rtl/>
        </w:rPr>
        <w:t>ج</w:t>
      </w:r>
      <w:r>
        <w:rPr>
          <w:rFonts w:ascii="Arial" w:cs="Arial"/>
          <w:spacing w:val="-1"/>
          <w:w w:val="38"/>
          <w:rtl/>
        </w:rPr>
        <w:t>ي</w:t>
      </w:r>
      <w:r>
        <w:rPr>
          <w:rFonts w:ascii="Arial" w:cs="Arial"/>
          <w:spacing w:val="1"/>
          <w:w w:val="132"/>
          <w:rtl/>
        </w:rPr>
        <w:t>ة</w:t>
      </w:r>
      <w:r>
        <w:rPr>
          <w:rFonts w:ascii="Arial" w:cs="Arial"/>
          <w:spacing w:val="-2"/>
          <w:rtl/>
        </w:rPr>
        <w:t> </w:t>
      </w:r>
      <w:r>
        <w:rPr>
          <w:rFonts w:ascii="Arial" w:cs="Arial"/>
          <w:rtl/>
        </w:rPr>
        <w:t>ا</w:t>
      </w:r>
      <w:r>
        <w:rPr>
          <w:rFonts w:ascii="Arial" w:cs="Arial"/>
          <w:spacing w:val="-2"/>
          <w:w w:val="40"/>
          <w:rtl/>
        </w:rPr>
        <w:t>ل</w:t>
      </w:r>
      <w:r>
        <w:rPr>
          <w:rFonts w:ascii="Arial" w:cs="Arial"/>
          <w:spacing w:val="3"/>
          <w:w w:val="34"/>
          <w:rtl/>
        </w:rPr>
        <w:t>ت</w:t>
      </w:r>
      <w:r>
        <w:rPr>
          <w:rFonts w:ascii="Arial" w:cs="Arial"/>
          <w:spacing w:val="-3"/>
          <w:w w:val="94"/>
          <w:rtl/>
        </w:rPr>
        <w:t>ح</w:t>
      </w:r>
      <w:r>
        <w:rPr>
          <w:rFonts w:ascii="Arial" w:cs="Arial"/>
          <w:spacing w:val="1"/>
          <w:rtl/>
        </w:rPr>
        <w:t>و</w:t>
      </w:r>
      <w:r>
        <w:rPr>
          <w:rFonts w:ascii="Arial" w:cs="Arial"/>
          <w:spacing w:val="-2"/>
          <w:rtl/>
        </w:rPr>
        <w:t>ل </w:t>
      </w:r>
      <w:r>
        <w:rPr>
          <w:rFonts w:ascii="Arial" w:cs="Arial"/>
          <w:rtl/>
        </w:rPr>
        <w:t>ا</w:t>
      </w:r>
      <w:r>
        <w:rPr>
          <w:rFonts w:ascii="Arial" w:cs="Arial"/>
          <w:spacing w:val="3"/>
          <w:w w:val="40"/>
          <w:rtl/>
        </w:rPr>
        <w:t>ل</w:t>
      </w:r>
      <w:r>
        <w:rPr>
          <w:rFonts w:ascii="Arial" w:cs="Arial"/>
          <w:spacing w:val="-3"/>
          <w:rtl/>
        </w:rPr>
        <w:t>ر</w:t>
      </w:r>
      <w:r>
        <w:rPr>
          <w:rFonts w:ascii="Arial" w:cs="Arial"/>
          <w:spacing w:val="-2"/>
          <w:w w:val="46"/>
          <w:rtl/>
        </w:rPr>
        <w:t>ق</w:t>
      </w:r>
      <w:r>
        <w:rPr>
          <w:rFonts w:ascii="Arial" w:cs="Arial"/>
          <w:spacing w:val="1"/>
          <w:w w:val="116"/>
          <w:rtl/>
        </w:rPr>
        <w:t>م</w:t>
      </w:r>
      <w:r>
        <w:rPr>
          <w:rFonts w:ascii="Arial" w:cs="Arial"/>
          <w:spacing w:val="-3"/>
          <w:w w:val="92"/>
          <w:rtl/>
        </w:rPr>
        <w:t>ي</w:t>
      </w:r>
      <w:r>
        <w:rPr>
          <w:rFonts w:ascii="Arial" w:cs="Arial"/>
          <w:spacing w:val="3"/>
          <w:rtl/>
        </w:rPr>
        <w:t> </w:t>
      </w:r>
      <w:r>
        <w:rPr>
          <w:rFonts w:ascii="Arial" w:cs="Arial"/>
          <w:w w:val="40"/>
          <w:rtl/>
        </w:rPr>
        <w:t>ل</w:t>
      </w:r>
      <w:r>
        <w:rPr>
          <w:rFonts w:ascii="Arial" w:cs="Arial"/>
          <w:spacing w:val="-1"/>
          <w:w w:val="34"/>
          <w:rtl/>
        </w:rPr>
        <w:t>ب</w:t>
      </w:r>
      <w:r>
        <w:rPr>
          <w:rFonts w:ascii="Arial" w:cs="Arial"/>
          <w:spacing w:val="-3"/>
          <w:rtl/>
        </w:rPr>
        <w:t>ر</w:t>
      </w:r>
      <w:r>
        <w:rPr>
          <w:rFonts w:ascii="Arial" w:cs="Arial"/>
          <w:spacing w:val="-1"/>
          <w:w w:val="38"/>
          <w:rtl/>
        </w:rPr>
        <w:t>ي</w:t>
      </w:r>
      <w:r>
        <w:rPr>
          <w:rFonts w:ascii="Arial" w:cs="Arial"/>
          <w:rtl/>
        </w:rPr>
        <w:t>د</w:t>
      </w:r>
      <w:r>
        <w:rPr>
          <w:rFonts w:ascii="Arial" w:cs="Arial"/>
          <w:spacing w:val="3"/>
          <w:rtl/>
        </w:rPr>
        <w:t> </w:t>
      </w:r>
      <w:r>
        <w:rPr>
          <w:rFonts w:ascii="Arial" w:cs="Arial"/>
          <w:rtl/>
        </w:rPr>
        <w:t>ا</w:t>
      </w:r>
      <w:r>
        <w:rPr>
          <w:rFonts w:ascii="Arial" w:cs="Arial"/>
          <w:spacing w:val="-2"/>
          <w:w w:val="40"/>
          <w:rtl/>
        </w:rPr>
        <w:t>ل</w:t>
      </w:r>
      <w:r>
        <w:rPr>
          <w:rFonts w:ascii="Arial" w:cs="Arial"/>
          <w:spacing w:val="2"/>
          <w:w w:val="94"/>
          <w:rtl/>
        </w:rPr>
        <w:t>ج</w:t>
      </w:r>
      <w:r>
        <w:rPr>
          <w:rFonts w:ascii="Arial" w:cs="Arial"/>
          <w:spacing w:val="-3"/>
          <w:rtl/>
        </w:rPr>
        <w:t>ز</w:t>
      </w:r>
      <w:r>
        <w:rPr>
          <w:rFonts w:ascii="Arial" w:cs="Arial"/>
          <w:spacing w:val="-2"/>
          <w:rtl/>
        </w:rPr>
        <w:t>ا</w:t>
      </w:r>
      <w:r>
        <w:rPr>
          <w:rFonts w:ascii="Arial" w:cs="Arial"/>
          <w:spacing w:val="3"/>
          <w:w w:val="38"/>
          <w:rtl/>
        </w:rPr>
        <w:t>ئ</w:t>
      </w:r>
      <w:r>
        <w:rPr>
          <w:rFonts w:ascii="Arial" w:cs="Arial"/>
          <w:spacing w:val="-3"/>
          <w:rtl/>
        </w:rPr>
        <w:t>ر</w:t>
      </w:r>
      <w:r>
        <w:rPr>
          <w:rFonts w:ascii="Arial" w:cs="Arial"/>
          <w:spacing w:val="5"/>
        </w:rPr>
        <w:t>.</w:t>
      </w:r>
    </w:p>
    <w:p>
      <w:pPr>
        <w:bidi/>
        <w:spacing w:before="125"/>
        <w:ind w:left="0" w:right="3658" w:firstLine="0"/>
        <w:jc w:val="right"/>
        <w:rPr>
          <w:rFonts w:ascii="Arial" w:hAnsi="Arial" w:cs="Arial"/>
          <w:sz w:val="22"/>
          <w:szCs w:val="22"/>
        </w:rPr>
      </w:pPr>
      <w:r>
        <w:rPr>
          <w:rFonts w:ascii="Symbol" w:hAnsi="Symbol" w:cs="Symbol"/>
          <w:sz w:val="24"/>
          <w:szCs w:val="24"/>
        </w:rPr>
        <w:t></w:t>
      </w:r>
      <w:r>
        <w:rPr>
          <w:rFonts w:ascii="Arial" w:hAnsi="Arial" w:cs="Arial"/>
          <w:b/>
          <w:bCs/>
          <w:spacing w:val="7"/>
          <w:sz w:val="22"/>
          <w:szCs w:val="22"/>
          <w:rtl/>
        </w:rPr>
        <w:t> </w:t>
      </w:r>
      <w:r>
        <w:rPr>
          <w:rFonts w:ascii="Arial" w:hAnsi="Arial" w:cs="Arial"/>
          <w:b/>
          <w:bCs/>
          <w:sz w:val="22"/>
          <w:szCs w:val="22"/>
          <w:rtl/>
        </w:rPr>
        <w:t>   </w:t>
      </w:r>
      <w:r>
        <w:rPr>
          <w:rFonts w:ascii="Arial" w:hAnsi="Arial" w:cs="Arial"/>
          <w:b/>
          <w:bCs/>
          <w:w w:val="100"/>
          <w:sz w:val="22"/>
          <w:szCs w:val="22"/>
          <w:rtl/>
        </w:rPr>
        <w:t>ا</w:t>
      </w:r>
      <w:r>
        <w:rPr>
          <w:rFonts w:ascii="Arial" w:hAnsi="Arial" w:cs="Arial"/>
          <w:b/>
          <w:bCs/>
          <w:w w:val="52"/>
          <w:sz w:val="22"/>
          <w:szCs w:val="22"/>
          <w:rtl/>
        </w:rPr>
        <w:t>ل</w:t>
      </w:r>
      <w:r>
        <w:rPr>
          <w:rFonts w:ascii="Arial" w:hAnsi="Arial" w:cs="Arial"/>
          <w:b/>
          <w:bCs/>
          <w:spacing w:val="1"/>
          <w:w w:val="66"/>
          <w:sz w:val="22"/>
          <w:szCs w:val="22"/>
          <w:rtl/>
        </w:rPr>
        <w:t>ك</w:t>
      </w:r>
      <w:r>
        <w:rPr>
          <w:rFonts w:ascii="Arial" w:hAnsi="Arial" w:cs="Arial"/>
          <w:b/>
          <w:bCs/>
          <w:w w:val="80"/>
          <w:sz w:val="22"/>
          <w:szCs w:val="22"/>
          <w:rtl/>
        </w:rPr>
        <w:t>لم</w:t>
      </w:r>
      <w:r>
        <w:rPr>
          <w:rFonts w:ascii="Arial" w:hAnsi="Arial" w:cs="Arial"/>
          <w:b/>
          <w:bCs/>
          <w:spacing w:val="-4"/>
          <w:w w:val="108"/>
          <w:sz w:val="22"/>
          <w:szCs w:val="22"/>
          <w:rtl/>
        </w:rPr>
        <w:t>ا</w:t>
      </w:r>
      <w:r>
        <w:rPr>
          <w:rFonts w:ascii="Arial" w:hAnsi="Arial" w:cs="Arial"/>
          <w:b/>
          <w:bCs/>
          <w:w w:val="100"/>
          <w:sz w:val="22"/>
          <w:szCs w:val="22"/>
          <w:rtl/>
        </w:rPr>
        <w:t>ت</w:t>
      </w:r>
      <w:r>
        <w:rPr>
          <w:rFonts w:ascii="Arial" w:hAnsi="Arial" w:cs="Arial"/>
          <w:b/>
          <w:bCs/>
          <w:spacing w:val="1"/>
          <w:sz w:val="22"/>
          <w:szCs w:val="22"/>
          <w:rtl/>
        </w:rPr>
        <w:t> </w:t>
      </w:r>
      <w:r>
        <w:rPr>
          <w:rFonts w:ascii="Arial" w:hAnsi="Arial" w:cs="Arial"/>
          <w:b/>
          <w:bCs/>
          <w:w w:val="100"/>
          <w:sz w:val="22"/>
          <w:szCs w:val="22"/>
          <w:rtl/>
        </w:rPr>
        <w:t>ا</w:t>
      </w:r>
      <w:r>
        <w:rPr>
          <w:rFonts w:ascii="Arial" w:hAnsi="Arial" w:cs="Arial"/>
          <w:b/>
          <w:bCs/>
          <w:w w:val="62"/>
          <w:sz w:val="22"/>
          <w:szCs w:val="22"/>
          <w:rtl/>
        </w:rPr>
        <w:t>ل</w:t>
      </w:r>
      <w:r>
        <w:rPr>
          <w:rFonts w:ascii="Arial" w:hAnsi="Arial" w:cs="Arial"/>
          <w:b/>
          <w:bCs/>
          <w:spacing w:val="-1"/>
          <w:w w:val="62"/>
          <w:sz w:val="22"/>
          <w:szCs w:val="22"/>
          <w:rtl/>
        </w:rPr>
        <w:t>مف</w:t>
      </w:r>
      <w:r>
        <w:rPr>
          <w:rFonts w:ascii="Arial" w:hAnsi="Arial" w:cs="Arial"/>
          <w:b/>
          <w:bCs/>
          <w:spacing w:val="-3"/>
          <w:w w:val="41"/>
          <w:sz w:val="22"/>
          <w:szCs w:val="22"/>
          <w:rtl/>
        </w:rPr>
        <w:t>ت</w:t>
      </w:r>
      <w:r>
        <w:rPr>
          <w:rFonts w:ascii="Arial" w:hAnsi="Arial" w:cs="Arial"/>
          <w:b/>
          <w:bCs/>
          <w:w w:val="95"/>
          <w:sz w:val="22"/>
          <w:szCs w:val="22"/>
          <w:rtl/>
        </w:rPr>
        <w:t>ا</w:t>
      </w:r>
      <w:r>
        <w:rPr>
          <w:rFonts w:ascii="Arial" w:hAnsi="Arial" w:cs="Arial"/>
          <w:b/>
          <w:bCs/>
          <w:spacing w:val="-1"/>
          <w:w w:val="95"/>
          <w:sz w:val="22"/>
          <w:szCs w:val="22"/>
          <w:rtl/>
        </w:rPr>
        <w:t>ح</w:t>
      </w:r>
      <w:r>
        <w:rPr>
          <w:rFonts w:ascii="Arial" w:hAnsi="Arial" w:cs="Arial"/>
          <w:b/>
          <w:bCs/>
          <w:spacing w:val="-3"/>
          <w:w w:val="69"/>
          <w:sz w:val="22"/>
          <w:szCs w:val="22"/>
          <w:rtl/>
        </w:rPr>
        <w:t>ي</w:t>
      </w:r>
      <w:r>
        <w:rPr>
          <w:rFonts w:ascii="Arial" w:hAnsi="Arial" w:cs="Arial"/>
          <w:b/>
          <w:bCs/>
          <w:w w:val="69"/>
          <w:sz w:val="22"/>
          <w:szCs w:val="22"/>
          <w:rtl/>
        </w:rPr>
        <w:t>ة</w:t>
      </w:r>
      <w:r>
        <w:rPr>
          <w:rFonts w:ascii="Arial" w:hAnsi="Arial" w:cs="Arial"/>
          <w:b/>
          <w:bCs/>
          <w:spacing w:val="-1"/>
          <w:sz w:val="22"/>
          <w:szCs w:val="22"/>
          <w:rtl/>
        </w:rPr>
        <w:t> </w:t>
      </w:r>
      <w:r>
        <w:rPr>
          <w:rFonts w:ascii="Arial" w:hAnsi="Arial" w:cs="Arial"/>
          <w:b/>
          <w:bCs/>
          <w:w w:val="100"/>
          <w:sz w:val="22"/>
          <w:szCs w:val="22"/>
        </w:rPr>
        <w:t>:</w:t>
      </w:r>
      <w:r>
        <w:rPr>
          <w:rFonts w:ascii="Arial" w:hAnsi="Arial" w:cs="Arial"/>
          <w:spacing w:val="3"/>
          <w:w w:val="100"/>
          <w:sz w:val="22"/>
          <w:szCs w:val="22"/>
          <w:rtl/>
        </w:rPr>
        <w:t>ا</w:t>
      </w:r>
      <w:r>
        <w:rPr>
          <w:rFonts w:ascii="Arial" w:hAnsi="Arial" w:cs="Arial"/>
          <w:spacing w:val="1"/>
          <w:w w:val="41"/>
          <w:sz w:val="22"/>
          <w:szCs w:val="22"/>
          <w:rtl/>
        </w:rPr>
        <w:t>ل</w:t>
      </w:r>
      <w:r>
        <w:rPr>
          <w:rFonts w:ascii="Arial" w:hAnsi="Arial" w:cs="Arial"/>
          <w:spacing w:val="2"/>
          <w:w w:val="100"/>
          <w:sz w:val="22"/>
          <w:szCs w:val="22"/>
          <w:rtl/>
        </w:rPr>
        <w:t>د</w:t>
      </w:r>
      <w:r>
        <w:rPr>
          <w:rFonts w:ascii="Arial" w:hAnsi="Arial" w:cs="Arial"/>
          <w:spacing w:val="-2"/>
          <w:w w:val="34"/>
          <w:sz w:val="22"/>
          <w:szCs w:val="22"/>
          <w:rtl/>
        </w:rPr>
        <w:t>ف</w:t>
      </w:r>
      <w:r>
        <w:rPr>
          <w:rFonts w:ascii="Arial" w:hAnsi="Arial" w:cs="Arial"/>
          <w:spacing w:val="-4"/>
          <w:w w:val="83"/>
          <w:sz w:val="22"/>
          <w:szCs w:val="22"/>
          <w:rtl/>
        </w:rPr>
        <w:t>ع</w:t>
      </w:r>
      <w:r>
        <w:rPr>
          <w:rFonts w:ascii="Arial" w:hAnsi="Arial" w:cs="Arial"/>
          <w:spacing w:val="-2"/>
          <w:sz w:val="22"/>
          <w:szCs w:val="22"/>
          <w:rtl/>
        </w:rPr>
        <w:t> </w:t>
      </w:r>
      <w:r>
        <w:rPr>
          <w:rFonts w:ascii="Arial" w:hAnsi="Arial" w:cs="Arial"/>
          <w:w w:val="100"/>
          <w:sz w:val="22"/>
          <w:szCs w:val="22"/>
          <w:rtl/>
        </w:rPr>
        <w:t>ا</w:t>
      </w:r>
      <w:r>
        <w:rPr>
          <w:rFonts w:ascii="Arial" w:hAnsi="Arial" w:cs="Arial"/>
          <w:spacing w:val="1"/>
          <w:w w:val="41"/>
          <w:sz w:val="22"/>
          <w:szCs w:val="22"/>
          <w:rtl/>
        </w:rPr>
        <w:t>ل</w:t>
      </w:r>
      <w:r>
        <w:rPr>
          <w:rFonts w:ascii="Arial" w:hAnsi="Arial" w:cs="Arial"/>
          <w:spacing w:val="-3"/>
          <w:w w:val="100"/>
          <w:sz w:val="22"/>
          <w:szCs w:val="22"/>
          <w:rtl/>
        </w:rPr>
        <w:t>ر</w:t>
      </w:r>
      <w:r>
        <w:rPr>
          <w:rFonts w:ascii="Arial" w:hAnsi="Arial" w:cs="Arial"/>
          <w:spacing w:val="-2"/>
          <w:w w:val="46"/>
          <w:sz w:val="22"/>
          <w:szCs w:val="22"/>
          <w:rtl/>
        </w:rPr>
        <w:t>ق</w:t>
      </w:r>
      <w:r>
        <w:rPr>
          <w:rFonts w:ascii="Arial" w:hAnsi="Arial" w:cs="Arial"/>
          <w:spacing w:val="-1"/>
          <w:w w:val="101"/>
          <w:sz w:val="22"/>
          <w:szCs w:val="22"/>
          <w:rtl/>
        </w:rPr>
        <w:t>مي</w:t>
      </w:r>
      <w:r>
        <w:rPr>
          <w:rFonts w:ascii="Arial" w:hAnsi="Arial" w:cs="Arial"/>
          <w:spacing w:val="1"/>
          <w:w w:val="100"/>
          <w:sz w:val="22"/>
          <w:szCs w:val="22"/>
          <w:rtl/>
        </w:rPr>
        <w:t>،</w:t>
      </w:r>
      <w:r>
        <w:rPr>
          <w:rFonts w:ascii="Arial" w:hAnsi="Arial" w:cs="Arial"/>
          <w:spacing w:val="-2"/>
          <w:sz w:val="22"/>
          <w:szCs w:val="22"/>
          <w:rtl/>
        </w:rPr>
        <w:t> </w:t>
      </w:r>
      <w:r>
        <w:rPr>
          <w:rFonts w:ascii="Arial" w:hAnsi="Arial" w:cs="Arial"/>
          <w:w w:val="100"/>
          <w:sz w:val="22"/>
          <w:szCs w:val="22"/>
          <w:rtl/>
        </w:rPr>
        <w:t>ا</w:t>
      </w:r>
      <w:r>
        <w:rPr>
          <w:rFonts w:ascii="Arial" w:hAnsi="Arial" w:cs="Arial"/>
          <w:spacing w:val="1"/>
          <w:w w:val="41"/>
          <w:sz w:val="22"/>
          <w:szCs w:val="22"/>
          <w:rtl/>
        </w:rPr>
        <w:t>ل</w:t>
      </w:r>
      <w:r>
        <w:rPr>
          <w:rFonts w:ascii="Arial" w:hAnsi="Arial" w:cs="Arial"/>
          <w:spacing w:val="-2"/>
          <w:w w:val="34"/>
          <w:sz w:val="22"/>
          <w:szCs w:val="22"/>
          <w:rtl/>
        </w:rPr>
        <w:t>ت</w:t>
      </w:r>
      <w:r>
        <w:rPr>
          <w:rFonts w:ascii="Arial" w:hAnsi="Arial" w:cs="Arial"/>
          <w:w w:val="100"/>
          <w:sz w:val="22"/>
          <w:szCs w:val="22"/>
          <w:rtl/>
        </w:rPr>
        <w:t>ط</w:t>
      </w:r>
      <w:r>
        <w:rPr>
          <w:rFonts w:ascii="Arial" w:hAnsi="Arial" w:cs="Arial"/>
          <w:spacing w:val="-2"/>
          <w:w w:val="34"/>
          <w:sz w:val="22"/>
          <w:szCs w:val="22"/>
          <w:rtl/>
        </w:rPr>
        <w:t>ب</w:t>
      </w:r>
      <w:r>
        <w:rPr>
          <w:rFonts w:ascii="Arial" w:hAnsi="Arial" w:cs="Arial"/>
          <w:spacing w:val="-2"/>
          <w:w w:val="38"/>
          <w:sz w:val="22"/>
          <w:szCs w:val="22"/>
          <w:rtl/>
        </w:rPr>
        <w:t>ي</w:t>
      </w:r>
      <w:r>
        <w:rPr>
          <w:rFonts w:ascii="Arial" w:hAnsi="Arial" w:cs="Arial"/>
          <w:w w:val="100"/>
          <w:sz w:val="22"/>
          <w:szCs w:val="22"/>
          <w:rtl/>
        </w:rPr>
        <w:t>ق</w:t>
      </w:r>
      <w:r>
        <w:rPr>
          <w:rFonts w:ascii="Arial" w:hAnsi="Arial" w:cs="Arial"/>
          <w:spacing w:val="-2"/>
          <w:sz w:val="22"/>
          <w:szCs w:val="22"/>
          <w:rtl/>
        </w:rPr>
        <w:t> </w:t>
      </w:r>
      <w:r>
        <w:rPr>
          <w:rFonts w:ascii="Arial" w:hAnsi="Arial" w:cs="Arial"/>
          <w:w w:val="100"/>
          <w:sz w:val="22"/>
          <w:szCs w:val="22"/>
          <w:rtl/>
        </w:rPr>
        <w:t>ا</w:t>
      </w:r>
      <w:r>
        <w:rPr>
          <w:rFonts w:ascii="Arial" w:hAnsi="Arial" w:cs="Arial"/>
          <w:spacing w:val="1"/>
          <w:w w:val="71"/>
          <w:sz w:val="22"/>
          <w:szCs w:val="22"/>
          <w:rtl/>
        </w:rPr>
        <w:t>ل</w:t>
      </w:r>
      <w:r>
        <w:rPr>
          <w:rFonts w:ascii="Arial" w:hAnsi="Arial" w:cs="Arial"/>
          <w:w w:val="71"/>
          <w:sz w:val="22"/>
          <w:szCs w:val="22"/>
          <w:rtl/>
        </w:rPr>
        <w:t>م</w:t>
      </w:r>
      <w:r>
        <w:rPr>
          <w:rFonts w:ascii="Arial" w:hAnsi="Arial" w:cs="Arial"/>
          <w:spacing w:val="-2"/>
          <w:w w:val="102"/>
          <w:sz w:val="22"/>
          <w:szCs w:val="22"/>
          <w:rtl/>
        </w:rPr>
        <w:t>ح</w:t>
      </w:r>
      <w:r>
        <w:rPr>
          <w:rFonts w:ascii="Arial" w:hAnsi="Arial" w:cs="Arial"/>
          <w:spacing w:val="-1"/>
          <w:w w:val="102"/>
          <w:sz w:val="22"/>
          <w:szCs w:val="22"/>
          <w:rtl/>
        </w:rPr>
        <w:t>مو</w:t>
      </w:r>
      <w:r>
        <w:rPr>
          <w:rFonts w:ascii="Arial" w:hAnsi="Arial" w:cs="Arial"/>
          <w:spacing w:val="-2"/>
          <w:w w:val="100"/>
          <w:sz w:val="22"/>
          <w:szCs w:val="22"/>
          <w:rtl/>
        </w:rPr>
        <w:t>ل</w:t>
      </w:r>
      <w:r>
        <w:rPr>
          <w:rFonts w:ascii="Arial" w:hAnsi="Arial" w:cs="Arial"/>
          <w:spacing w:val="1"/>
          <w:w w:val="100"/>
          <w:sz w:val="22"/>
          <w:szCs w:val="22"/>
          <w:rtl/>
        </w:rPr>
        <w:t>،</w:t>
      </w:r>
      <w:r>
        <w:rPr>
          <w:rFonts w:ascii="Arial" w:hAnsi="Arial" w:cs="Arial"/>
          <w:spacing w:val="-2"/>
          <w:sz w:val="22"/>
          <w:szCs w:val="22"/>
          <w:rtl/>
        </w:rPr>
        <w:t> </w:t>
      </w:r>
      <w:r>
        <w:rPr>
          <w:rFonts w:ascii="Arial" w:hAnsi="Arial" w:cs="Arial"/>
          <w:w w:val="100"/>
          <w:sz w:val="22"/>
          <w:szCs w:val="22"/>
          <w:rtl/>
        </w:rPr>
        <w:t>ر</w:t>
      </w:r>
      <w:r>
        <w:rPr>
          <w:rFonts w:ascii="Arial" w:hAnsi="Arial" w:cs="Arial"/>
          <w:spacing w:val="-5"/>
          <w:w w:val="77"/>
          <w:sz w:val="22"/>
          <w:szCs w:val="22"/>
          <w:rtl/>
        </w:rPr>
        <w:t>ض</w:t>
      </w:r>
      <w:r>
        <w:rPr>
          <w:rFonts w:ascii="Arial" w:hAnsi="Arial" w:cs="Arial"/>
          <w:spacing w:val="1"/>
          <w:w w:val="111"/>
          <w:sz w:val="22"/>
          <w:szCs w:val="22"/>
          <w:rtl/>
        </w:rPr>
        <w:t>ا</w:t>
      </w:r>
      <w:r>
        <w:rPr>
          <w:rFonts w:ascii="Arial" w:hAnsi="Arial" w:cs="Arial"/>
          <w:spacing w:val="-2"/>
          <w:sz w:val="22"/>
          <w:szCs w:val="22"/>
          <w:rtl/>
        </w:rPr>
        <w:t> </w:t>
      </w:r>
      <w:r>
        <w:rPr>
          <w:rFonts w:ascii="Arial" w:hAnsi="Arial" w:cs="Arial"/>
          <w:w w:val="100"/>
          <w:sz w:val="22"/>
          <w:szCs w:val="22"/>
          <w:rtl/>
        </w:rPr>
        <w:t>ا</w:t>
      </w:r>
      <w:r>
        <w:rPr>
          <w:rFonts w:ascii="Arial" w:hAnsi="Arial" w:cs="Arial"/>
          <w:spacing w:val="1"/>
          <w:w w:val="41"/>
          <w:sz w:val="22"/>
          <w:szCs w:val="22"/>
          <w:rtl/>
        </w:rPr>
        <w:t>ل</w:t>
      </w:r>
      <w:r>
        <w:rPr>
          <w:rFonts w:ascii="Arial" w:hAnsi="Arial" w:cs="Arial"/>
          <w:spacing w:val="-2"/>
          <w:w w:val="89"/>
          <w:sz w:val="22"/>
          <w:szCs w:val="22"/>
          <w:rtl/>
        </w:rPr>
        <w:t>ع</w:t>
      </w:r>
      <w:r>
        <w:rPr>
          <w:rFonts w:ascii="Arial" w:hAnsi="Arial" w:cs="Arial"/>
          <w:w w:val="89"/>
          <w:sz w:val="22"/>
          <w:szCs w:val="22"/>
          <w:rtl/>
        </w:rPr>
        <w:t>م</w:t>
      </w:r>
      <w:r>
        <w:rPr>
          <w:rFonts w:ascii="Arial" w:hAnsi="Arial" w:cs="Arial"/>
          <w:spacing w:val="1"/>
          <w:w w:val="84"/>
          <w:sz w:val="22"/>
          <w:szCs w:val="22"/>
          <w:rtl/>
        </w:rPr>
        <w:t>ا</w:t>
      </w:r>
      <w:r>
        <w:rPr>
          <w:rFonts w:ascii="Arial" w:hAnsi="Arial" w:cs="Arial"/>
          <w:w w:val="84"/>
          <w:sz w:val="22"/>
          <w:szCs w:val="22"/>
          <w:rtl/>
        </w:rPr>
        <w:t>ل</w:t>
      </w:r>
      <w:r>
        <w:rPr>
          <w:rFonts w:ascii="Arial" w:hAnsi="Arial" w:cs="Arial"/>
          <w:spacing w:val="-5"/>
          <w:w w:val="100"/>
          <w:sz w:val="22"/>
          <w:szCs w:val="22"/>
          <w:rtl/>
        </w:rPr>
        <w:t>ء</w:t>
      </w:r>
      <w:r>
        <w:rPr>
          <w:rFonts w:ascii="Arial" w:hAnsi="Arial" w:cs="Arial"/>
          <w:spacing w:val="1"/>
          <w:w w:val="100"/>
          <w:sz w:val="22"/>
          <w:szCs w:val="22"/>
          <w:rtl/>
        </w:rPr>
        <w:t>،</w:t>
      </w:r>
      <w:r>
        <w:rPr>
          <w:rFonts w:ascii="Arial" w:hAnsi="Arial" w:cs="Arial"/>
          <w:sz w:val="22"/>
          <w:szCs w:val="22"/>
          <w:rtl/>
        </w:rPr>
        <w:t> </w:t>
      </w:r>
      <w:r>
        <w:rPr>
          <w:rFonts w:ascii="Arial" w:hAnsi="Arial" w:cs="Arial"/>
          <w:w w:val="34"/>
          <w:sz w:val="22"/>
          <w:szCs w:val="22"/>
          <w:rtl/>
        </w:rPr>
        <w:t>ت</w:t>
      </w:r>
      <w:r>
        <w:rPr>
          <w:rFonts w:ascii="Arial" w:hAnsi="Arial" w:cs="Arial"/>
          <w:spacing w:val="-7"/>
          <w:w w:val="94"/>
          <w:sz w:val="22"/>
          <w:szCs w:val="22"/>
          <w:rtl/>
        </w:rPr>
        <w:t>ج</w:t>
      </w:r>
      <w:r>
        <w:rPr>
          <w:rFonts w:ascii="Arial" w:hAnsi="Arial" w:cs="Arial"/>
          <w:spacing w:val="-3"/>
          <w:w w:val="100"/>
          <w:sz w:val="22"/>
          <w:szCs w:val="22"/>
          <w:rtl/>
        </w:rPr>
        <w:t>ر</w:t>
      </w:r>
      <w:r>
        <w:rPr>
          <w:rFonts w:ascii="Arial" w:hAnsi="Arial" w:cs="Arial"/>
          <w:spacing w:val="-2"/>
          <w:w w:val="34"/>
          <w:sz w:val="22"/>
          <w:szCs w:val="22"/>
          <w:rtl/>
        </w:rPr>
        <w:t>ب</w:t>
      </w:r>
      <w:r>
        <w:rPr>
          <w:rFonts w:ascii="Arial" w:hAnsi="Arial" w:cs="Arial"/>
          <w:spacing w:val="-2"/>
          <w:w w:val="133"/>
          <w:sz w:val="22"/>
          <w:szCs w:val="22"/>
          <w:rtl/>
        </w:rPr>
        <w:t>ة</w:t>
      </w:r>
      <w:r>
        <w:rPr>
          <w:rFonts w:ascii="Arial" w:hAnsi="Arial" w:cs="Arial"/>
          <w:spacing w:val="3"/>
          <w:sz w:val="22"/>
          <w:szCs w:val="22"/>
          <w:rtl/>
        </w:rPr>
        <w:t> </w:t>
      </w:r>
      <w:r>
        <w:rPr>
          <w:rFonts w:ascii="Arial" w:hAnsi="Arial" w:cs="Arial"/>
          <w:w w:val="100"/>
          <w:sz w:val="22"/>
          <w:szCs w:val="22"/>
          <w:rtl/>
        </w:rPr>
        <w:t>ا</w:t>
      </w:r>
      <w:r>
        <w:rPr>
          <w:rFonts w:ascii="Arial" w:hAnsi="Arial" w:cs="Arial"/>
          <w:spacing w:val="1"/>
          <w:w w:val="71"/>
          <w:sz w:val="22"/>
          <w:szCs w:val="22"/>
          <w:rtl/>
        </w:rPr>
        <w:t>ل</w:t>
      </w:r>
      <w:r>
        <w:rPr>
          <w:rFonts w:ascii="Arial" w:hAnsi="Arial" w:cs="Arial"/>
          <w:w w:val="71"/>
          <w:sz w:val="22"/>
          <w:szCs w:val="22"/>
          <w:rtl/>
        </w:rPr>
        <w:t>م</w:t>
      </w:r>
      <w:r>
        <w:rPr>
          <w:rFonts w:ascii="Arial" w:hAnsi="Arial" w:cs="Arial"/>
          <w:spacing w:val="-2"/>
          <w:w w:val="64"/>
          <w:sz w:val="22"/>
          <w:szCs w:val="22"/>
          <w:rtl/>
        </w:rPr>
        <w:t>س</w:t>
      </w:r>
      <w:r>
        <w:rPr>
          <w:rFonts w:ascii="Arial" w:hAnsi="Arial" w:cs="Arial"/>
          <w:spacing w:val="-2"/>
          <w:w w:val="34"/>
          <w:sz w:val="22"/>
          <w:szCs w:val="22"/>
          <w:rtl/>
        </w:rPr>
        <w:t>ت</w:t>
      </w:r>
      <w:r>
        <w:rPr>
          <w:rFonts w:ascii="Arial" w:hAnsi="Arial" w:cs="Arial"/>
          <w:spacing w:val="-2"/>
          <w:w w:val="94"/>
          <w:sz w:val="22"/>
          <w:szCs w:val="22"/>
          <w:rtl/>
        </w:rPr>
        <w:t>خ</w:t>
      </w:r>
      <w:r>
        <w:rPr>
          <w:rFonts w:ascii="Arial" w:hAnsi="Arial" w:cs="Arial"/>
          <w:spacing w:val="2"/>
          <w:w w:val="100"/>
          <w:sz w:val="22"/>
          <w:szCs w:val="22"/>
          <w:rtl/>
        </w:rPr>
        <w:t>د</w:t>
      </w:r>
      <w:r>
        <w:rPr>
          <w:rFonts w:ascii="Arial" w:hAnsi="Arial" w:cs="Arial"/>
          <w:spacing w:val="-3"/>
          <w:w w:val="100"/>
          <w:sz w:val="22"/>
          <w:szCs w:val="22"/>
          <w:rtl/>
        </w:rPr>
        <w:t>م</w:t>
      </w:r>
    </w:p>
    <w:p>
      <w:pPr>
        <w:spacing w:after="0"/>
        <w:jc w:val="right"/>
        <w:rPr>
          <w:rFonts w:ascii="Arial" w:hAnsi="Arial" w:cs="Arial"/>
          <w:sz w:val="22"/>
          <w:szCs w:val="22"/>
        </w:rPr>
        <w:sectPr>
          <w:pgSz w:w="12240" w:h="15840"/>
          <w:pgMar w:header="727" w:footer="0" w:top="1080" w:bottom="280" w:left="1000" w:right="820"/>
        </w:sect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after="1"/>
        <w:rPr>
          <w:rFonts w:ascii="Symbol" w:hAnsi="Symbol"/>
          <w:sz w:val="14"/>
        </w:rPr>
      </w:pPr>
    </w:p>
    <w:p>
      <w:pPr>
        <w:pStyle w:val="BodyText"/>
        <w:ind w:left="823"/>
        <w:rPr>
          <w:rFonts w:ascii="Symbol" w:hAnsi="Symbol"/>
          <w:sz w:val="20"/>
        </w:rPr>
      </w:pPr>
      <w:r>
        <w:rPr>
          <w:rFonts w:ascii="Symbol" w:hAnsi="Symbol"/>
          <w:sz w:val="20"/>
        </w:rPr>
        <w:pict>
          <v:group style="width:439.6pt;height:247.6pt;mso-position-horizontal-relative:char;mso-position-vertical-relative:line" coordorigin="0,0" coordsize="8792,4952">
            <v:shape style="position:absolute;left:10;top:10;width:8772;height:4932" coordorigin="10,10" coordsize="8772,4932" path="m832,10l8782,10,8782,4120,8779,4195,8769,4268,8753,4339,8731,4407,8703,4472,8670,4535,8632,4594,8589,4650,8541,4701,8490,4749,8434,4792,8375,4830,8312,4863,8247,4891,8179,4913,8108,4929,8035,4939,7960,4942,10,4942,10,832,13,757,23,684,39,613,61,545,89,480,122,417,160,358,203,302,251,251,302,203,358,160,417,122,480,89,545,61,613,39,684,23,757,13,832,10xe" filled="false" stroked="true" strokeweight="1pt" strokecolor="#6fac46">
              <v:path arrowok="t"/>
              <v:stroke dashstyle="solid"/>
            </v:shape>
            <v:shape style="position:absolute;left:0;top:0;width:8792;height:4952" type="#_x0000_t202" filled="false" stroked="false">
              <v:textbox inset="0,0,0,0">
                <w:txbxContent>
                  <w:p>
                    <w:pPr>
                      <w:spacing w:line="240" w:lineRule="auto" w:before="0"/>
                      <w:rPr>
                        <w:rFonts w:ascii="Symbol" w:hAnsi="Symbol"/>
                        <w:sz w:val="48"/>
                      </w:rPr>
                    </w:pPr>
                  </w:p>
                  <w:p>
                    <w:pPr>
                      <w:spacing w:line="240" w:lineRule="auto" w:before="5"/>
                      <w:rPr>
                        <w:rFonts w:ascii="Symbol" w:hAnsi="Symbol"/>
                        <w:sz w:val="62"/>
                      </w:rPr>
                    </w:pPr>
                  </w:p>
                  <w:p>
                    <w:pPr>
                      <w:spacing w:line="259" w:lineRule="auto" w:before="0"/>
                      <w:ind w:left="592" w:right="587" w:hanging="11"/>
                      <w:jc w:val="center"/>
                      <w:rPr>
                        <w:b/>
                        <w:sz w:val="44"/>
                      </w:rPr>
                    </w:pPr>
                    <w:bookmarkStart w:name="Partie1 :Amélioration des services de pa" w:id="12"/>
                    <w:bookmarkEnd w:id="12"/>
                    <w:r>
                      <w:rPr/>
                    </w:r>
                    <w:bookmarkStart w:name="_bookmark6" w:id="13"/>
                    <w:bookmarkEnd w:id="13"/>
                    <w:r>
                      <w:rPr/>
                    </w:r>
                    <w:r>
                      <w:rPr>
                        <w:b/>
                        <w:sz w:val="44"/>
                      </w:rPr>
                      <w:t>Partie1 :Amélioration des services de paiement digital « </w:t>
                    </w:r>
                    <w:r>
                      <w:rPr>
                        <w:b/>
                        <w:i/>
                        <w:sz w:val="44"/>
                      </w:rPr>
                      <w:t>BaridiMob </w:t>
                    </w:r>
                    <w:r>
                      <w:rPr>
                        <w:b/>
                        <w:sz w:val="44"/>
                      </w:rPr>
                      <w:t>» pour une meilleure satisfaction client</w:t>
                    </w:r>
                  </w:p>
                </w:txbxContent>
              </v:textbox>
              <w10:wrap type="none"/>
            </v:shape>
          </v:group>
        </w:pict>
      </w:r>
      <w:r>
        <w:rPr>
          <w:rFonts w:ascii="Symbol" w:hAnsi="Symbol"/>
          <w:sz w:val="20"/>
        </w:rPr>
      </w:r>
    </w:p>
    <w:p>
      <w:pPr>
        <w:spacing w:after="0"/>
        <w:rPr>
          <w:rFonts w:ascii="Symbol" w:hAnsi="Symbol"/>
          <w:sz w:val="20"/>
        </w:rPr>
        <w:sectPr>
          <w:headerReference w:type="default" r:id="rId17"/>
          <w:pgSz w:w="12240" w:h="15840"/>
          <w:pgMar w:header="0" w:footer="0" w:top="1500" w:bottom="280" w:left="1000" w:right="820"/>
        </w:sectPr>
      </w:pPr>
    </w:p>
    <w:p>
      <w:pPr>
        <w:pStyle w:val="BodyText"/>
        <w:rPr>
          <w:rFonts w:ascii="Symbol" w:hAnsi="Symbol"/>
          <w:sz w:val="19"/>
        </w:rPr>
      </w:pPr>
    </w:p>
    <w:p>
      <w:pPr>
        <w:pStyle w:val="Heading2"/>
        <w:ind w:left="1098"/>
        <w:jc w:val="left"/>
      </w:pPr>
      <w:bookmarkStart w:name="Introduction générale" w:id="14"/>
      <w:bookmarkEnd w:id="14"/>
      <w:r>
        <w:rPr>
          <w:b w:val="0"/>
        </w:rPr>
      </w:r>
      <w:bookmarkStart w:name="_bookmark7" w:id="15"/>
      <w:bookmarkEnd w:id="15"/>
      <w:r>
        <w:rPr>
          <w:b w:val="0"/>
        </w:rPr>
      </w:r>
      <w:r>
        <w:rPr/>
        <w:t>Introduction générale</w:t>
      </w:r>
    </w:p>
    <w:p>
      <w:pPr>
        <w:pStyle w:val="BodyText"/>
        <w:spacing w:line="360" w:lineRule="auto" w:before="177"/>
        <w:ind w:left="699" w:right="311" w:firstLine="360"/>
        <w:jc w:val="both"/>
      </w:pPr>
      <w:r>
        <w:rPr/>
        <w:t>Dans</w:t>
      </w:r>
      <w:r>
        <w:rPr>
          <w:spacing w:val="-13"/>
        </w:rPr>
        <w:t> </w:t>
      </w:r>
      <w:r>
        <w:rPr/>
        <w:t>un</w:t>
      </w:r>
      <w:r>
        <w:rPr>
          <w:spacing w:val="-10"/>
        </w:rPr>
        <w:t> </w:t>
      </w:r>
      <w:r>
        <w:rPr/>
        <w:t>monde</w:t>
      </w:r>
      <w:r>
        <w:rPr>
          <w:spacing w:val="-11"/>
        </w:rPr>
        <w:t> </w:t>
      </w:r>
      <w:r>
        <w:rPr/>
        <w:t>de</w:t>
      </w:r>
      <w:r>
        <w:rPr>
          <w:spacing w:val="-12"/>
        </w:rPr>
        <w:t> </w:t>
      </w:r>
      <w:r>
        <w:rPr/>
        <w:t>plus</w:t>
      </w:r>
      <w:r>
        <w:rPr>
          <w:spacing w:val="-12"/>
        </w:rPr>
        <w:t> </w:t>
      </w:r>
      <w:r>
        <w:rPr/>
        <w:t>en</w:t>
      </w:r>
      <w:r>
        <w:rPr>
          <w:spacing w:val="-14"/>
        </w:rPr>
        <w:t> </w:t>
      </w:r>
      <w:r>
        <w:rPr/>
        <w:t>plus</w:t>
      </w:r>
      <w:r>
        <w:rPr>
          <w:spacing w:val="-8"/>
        </w:rPr>
        <w:t> </w:t>
      </w:r>
      <w:r>
        <w:rPr/>
        <w:t>interconnecté,</w:t>
      </w:r>
      <w:r>
        <w:rPr>
          <w:spacing w:val="-3"/>
        </w:rPr>
        <w:t> </w:t>
      </w:r>
      <w:r>
        <w:rPr>
          <w:spacing w:val="-4"/>
        </w:rPr>
        <w:t>les</w:t>
      </w:r>
      <w:r>
        <w:rPr>
          <w:spacing w:val="-13"/>
        </w:rPr>
        <w:t> </w:t>
      </w:r>
      <w:r>
        <w:rPr/>
        <w:t>technologies</w:t>
      </w:r>
      <w:r>
        <w:rPr>
          <w:spacing w:val="-7"/>
        </w:rPr>
        <w:t> </w:t>
      </w:r>
      <w:r>
        <w:rPr/>
        <w:t>financières</w:t>
      </w:r>
      <w:r>
        <w:rPr>
          <w:spacing w:val="-8"/>
        </w:rPr>
        <w:t> </w:t>
      </w:r>
      <w:r>
        <w:rPr>
          <w:spacing w:val="-3"/>
        </w:rPr>
        <w:t>ne</w:t>
      </w:r>
      <w:r>
        <w:rPr>
          <w:spacing w:val="-11"/>
        </w:rPr>
        <w:t> </w:t>
      </w:r>
      <w:r>
        <w:rPr/>
        <w:t>cessent</w:t>
      </w:r>
      <w:r>
        <w:rPr>
          <w:spacing w:val="3"/>
        </w:rPr>
        <w:t> </w:t>
      </w:r>
      <w:r>
        <w:rPr/>
        <w:t>d’évoluer redéfinissant </w:t>
      </w:r>
      <w:r>
        <w:rPr>
          <w:spacing w:val="-4"/>
        </w:rPr>
        <w:t>les </w:t>
      </w:r>
      <w:r>
        <w:rPr/>
        <w:t>mécanismes traditionnels des échanges monétaires. Plusieurs innovations sont créées comme </w:t>
      </w:r>
      <w:r>
        <w:rPr>
          <w:spacing w:val="-3"/>
        </w:rPr>
        <w:t>le </w:t>
      </w:r>
      <w:r>
        <w:rPr/>
        <w:t>paiement digital qui s’impose comme une réponse adaptée aux exigences actuelles, offrant un service rapide, sécurisé et accessible, </w:t>
      </w:r>
      <w:r>
        <w:rPr>
          <w:spacing w:val="-3"/>
        </w:rPr>
        <w:t>face </w:t>
      </w:r>
      <w:r>
        <w:rPr/>
        <w:t>à un contexte économique mondial en constante mutation. Ce développement a une importance majeure qui touche de nombreux acteurs,</w:t>
      </w:r>
      <w:r>
        <w:rPr>
          <w:spacing w:val="-3"/>
        </w:rPr>
        <w:t> </w:t>
      </w:r>
      <w:r>
        <w:rPr/>
        <w:t>pour</w:t>
      </w:r>
      <w:r>
        <w:rPr>
          <w:spacing w:val="-2"/>
        </w:rPr>
        <w:t> </w:t>
      </w:r>
      <w:r>
        <w:rPr>
          <w:spacing w:val="-3"/>
        </w:rPr>
        <w:t>les</w:t>
      </w:r>
      <w:r>
        <w:rPr>
          <w:spacing w:val="-6"/>
        </w:rPr>
        <w:t> </w:t>
      </w:r>
      <w:r>
        <w:rPr/>
        <w:t>États,</w:t>
      </w:r>
      <w:r>
        <w:rPr>
          <w:spacing w:val="-7"/>
        </w:rPr>
        <w:t> </w:t>
      </w:r>
      <w:r>
        <w:rPr/>
        <w:t>on</w:t>
      </w:r>
      <w:r>
        <w:rPr>
          <w:spacing w:val="-9"/>
        </w:rPr>
        <w:t> </w:t>
      </w:r>
      <w:r>
        <w:rPr/>
        <w:t>prend l’exemple</w:t>
      </w:r>
      <w:r>
        <w:rPr>
          <w:spacing w:val="-5"/>
        </w:rPr>
        <w:t> </w:t>
      </w:r>
      <w:r>
        <w:rPr/>
        <w:t>de</w:t>
      </w:r>
      <w:r>
        <w:rPr>
          <w:spacing w:val="1"/>
        </w:rPr>
        <w:t> </w:t>
      </w:r>
      <w:r>
        <w:rPr>
          <w:spacing w:val="-3"/>
        </w:rPr>
        <w:t>la</w:t>
      </w:r>
      <w:r>
        <w:rPr>
          <w:spacing w:val="-6"/>
        </w:rPr>
        <w:t> </w:t>
      </w:r>
      <w:r>
        <w:rPr/>
        <w:t>digitalisation</w:t>
      </w:r>
      <w:r>
        <w:rPr>
          <w:spacing w:val="-9"/>
        </w:rPr>
        <w:t> </w:t>
      </w:r>
      <w:r>
        <w:rPr/>
        <w:t>des</w:t>
      </w:r>
      <w:r>
        <w:rPr>
          <w:spacing w:val="-5"/>
        </w:rPr>
        <w:t> </w:t>
      </w:r>
      <w:r>
        <w:rPr/>
        <w:t>paiements</w:t>
      </w:r>
      <w:r>
        <w:rPr>
          <w:spacing w:val="-4"/>
        </w:rPr>
        <w:t> </w:t>
      </w:r>
      <w:r>
        <w:rPr/>
        <w:t>qui</w:t>
      </w:r>
      <w:r>
        <w:rPr>
          <w:spacing w:val="-13"/>
        </w:rPr>
        <w:t> </w:t>
      </w:r>
      <w:r>
        <w:rPr/>
        <w:t>permet de</w:t>
      </w:r>
      <w:r>
        <w:rPr>
          <w:spacing w:val="-5"/>
        </w:rPr>
        <w:t> </w:t>
      </w:r>
      <w:r>
        <w:rPr/>
        <w:t>réduire les coûts liés aux opérations et accroître </w:t>
      </w:r>
      <w:r>
        <w:rPr>
          <w:spacing w:val="-5"/>
        </w:rPr>
        <w:t>la </w:t>
      </w:r>
      <w:r>
        <w:rPr/>
        <w:t>transparence et </w:t>
      </w:r>
      <w:r>
        <w:rPr>
          <w:spacing w:val="-3"/>
        </w:rPr>
        <w:t>la </w:t>
      </w:r>
      <w:r>
        <w:rPr/>
        <w:t>sécurisation dans les transactions de paiement. </w:t>
      </w:r>
      <w:r>
        <w:rPr>
          <w:spacing w:val="-3"/>
        </w:rPr>
        <w:t>Elle </w:t>
      </w:r>
      <w:r>
        <w:rPr/>
        <w:t>contribue également à améliorer </w:t>
      </w:r>
      <w:r>
        <w:rPr>
          <w:spacing w:val="-5"/>
        </w:rPr>
        <w:t>le </w:t>
      </w:r>
      <w:r>
        <w:rPr/>
        <w:t>processus de collecte des ressources publiques. Du</w:t>
      </w:r>
      <w:r>
        <w:rPr>
          <w:spacing w:val="-13"/>
        </w:rPr>
        <w:t> </w:t>
      </w:r>
      <w:r>
        <w:rPr/>
        <w:t>coté</w:t>
      </w:r>
      <w:r>
        <w:rPr>
          <w:spacing w:val="-13"/>
        </w:rPr>
        <w:t> </w:t>
      </w:r>
      <w:r>
        <w:rPr/>
        <w:t>des</w:t>
      </w:r>
      <w:r>
        <w:rPr>
          <w:spacing w:val="-13"/>
        </w:rPr>
        <w:t> </w:t>
      </w:r>
      <w:r>
        <w:rPr/>
        <w:t>banques,</w:t>
      </w:r>
      <w:r>
        <w:rPr>
          <w:spacing w:val="-10"/>
        </w:rPr>
        <w:t> </w:t>
      </w:r>
      <w:r>
        <w:rPr/>
        <w:t>elles</w:t>
      </w:r>
      <w:r>
        <w:rPr>
          <w:spacing w:val="-13"/>
        </w:rPr>
        <w:t> </w:t>
      </w:r>
      <w:r>
        <w:rPr/>
        <w:t>se</w:t>
      </w:r>
      <w:r>
        <w:rPr>
          <w:spacing w:val="-13"/>
        </w:rPr>
        <w:t> </w:t>
      </w:r>
      <w:r>
        <w:rPr/>
        <w:t>sont</w:t>
      </w:r>
      <w:r>
        <w:rPr>
          <w:spacing w:val="-16"/>
        </w:rPr>
        <w:t> </w:t>
      </w:r>
      <w:r>
        <w:rPr/>
        <w:t>tournées</w:t>
      </w:r>
      <w:r>
        <w:rPr>
          <w:spacing w:val="-14"/>
        </w:rPr>
        <w:t> </w:t>
      </w:r>
      <w:r>
        <w:rPr/>
        <w:t>vers</w:t>
      </w:r>
      <w:r>
        <w:rPr>
          <w:spacing w:val="-9"/>
        </w:rPr>
        <w:t> </w:t>
      </w:r>
      <w:r>
        <w:rPr>
          <w:spacing w:val="-5"/>
        </w:rPr>
        <w:t>le</w:t>
      </w:r>
      <w:r>
        <w:rPr>
          <w:spacing w:val="-13"/>
        </w:rPr>
        <w:t> </w:t>
      </w:r>
      <w:r>
        <w:rPr/>
        <w:t>digital</w:t>
      </w:r>
      <w:r>
        <w:rPr>
          <w:spacing w:val="-21"/>
        </w:rPr>
        <w:t> </w:t>
      </w:r>
      <w:r>
        <w:rPr/>
        <w:t>pour</w:t>
      </w:r>
      <w:r>
        <w:rPr>
          <w:spacing w:val="-10"/>
        </w:rPr>
        <w:t> </w:t>
      </w:r>
      <w:r>
        <w:rPr/>
        <w:t>développer</w:t>
      </w:r>
      <w:r>
        <w:rPr>
          <w:spacing w:val="-10"/>
        </w:rPr>
        <w:t> </w:t>
      </w:r>
      <w:r>
        <w:rPr/>
        <w:t>une</w:t>
      </w:r>
      <w:r>
        <w:rPr>
          <w:spacing w:val="-13"/>
        </w:rPr>
        <w:t> </w:t>
      </w:r>
      <w:r>
        <w:rPr/>
        <w:t>stratégie</w:t>
      </w:r>
      <w:r>
        <w:rPr>
          <w:spacing w:val="-13"/>
        </w:rPr>
        <w:t> </w:t>
      </w:r>
      <w:r>
        <w:rPr/>
        <w:t>omnicanale et mieux ciblée, l'importance de </w:t>
      </w:r>
      <w:r>
        <w:rPr>
          <w:spacing w:val="-5"/>
        </w:rPr>
        <w:t>la </w:t>
      </w:r>
      <w:r>
        <w:rPr/>
        <w:t>digitalisation des moyens de paiement pour </w:t>
      </w:r>
      <w:r>
        <w:rPr>
          <w:spacing w:val="-3"/>
        </w:rPr>
        <w:t>les </w:t>
      </w:r>
      <w:r>
        <w:rPr/>
        <w:t>banques repose sur</w:t>
      </w:r>
      <w:r>
        <w:rPr>
          <w:spacing w:val="-10"/>
        </w:rPr>
        <w:t> </w:t>
      </w:r>
      <w:r>
        <w:rPr/>
        <w:t>une</w:t>
      </w:r>
      <w:r>
        <w:rPr>
          <w:spacing w:val="-11"/>
        </w:rPr>
        <w:t> </w:t>
      </w:r>
      <w:r>
        <w:rPr/>
        <w:t>augmentation</w:t>
      </w:r>
      <w:r>
        <w:rPr>
          <w:spacing w:val="-15"/>
        </w:rPr>
        <w:t> </w:t>
      </w:r>
      <w:r>
        <w:rPr/>
        <w:t>de</w:t>
      </w:r>
      <w:r>
        <w:rPr>
          <w:spacing w:val="-8"/>
        </w:rPr>
        <w:t> </w:t>
      </w:r>
      <w:r>
        <w:rPr>
          <w:spacing w:val="-5"/>
        </w:rPr>
        <w:t>la</w:t>
      </w:r>
      <w:r>
        <w:rPr>
          <w:spacing w:val="-12"/>
        </w:rPr>
        <w:t> </w:t>
      </w:r>
      <w:r>
        <w:rPr/>
        <w:t>satisfaction</w:t>
      </w:r>
      <w:r>
        <w:rPr>
          <w:spacing w:val="-15"/>
        </w:rPr>
        <w:t> </w:t>
      </w:r>
      <w:r>
        <w:rPr/>
        <w:t>client</w:t>
      </w:r>
      <w:r>
        <w:rPr>
          <w:spacing w:val="-2"/>
        </w:rPr>
        <w:t> </w:t>
      </w:r>
      <w:r>
        <w:rPr>
          <w:spacing w:val="-3"/>
        </w:rPr>
        <w:t>,la</w:t>
      </w:r>
      <w:r>
        <w:rPr>
          <w:spacing w:val="-12"/>
        </w:rPr>
        <w:t> </w:t>
      </w:r>
      <w:r>
        <w:rPr/>
        <w:t>digitalisation</w:t>
      </w:r>
      <w:r>
        <w:rPr>
          <w:spacing w:val="-15"/>
        </w:rPr>
        <w:t> </w:t>
      </w:r>
      <w:r>
        <w:rPr/>
        <w:t>a</w:t>
      </w:r>
      <w:r>
        <w:rPr>
          <w:spacing w:val="-12"/>
        </w:rPr>
        <w:t> </w:t>
      </w:r>
      <w:r>
        <w:rPr/>
        <w:t>permis</w:t>
      </w:r>
      <w:r>
        <w:rPr>
          <w:spacing w:val="-13"/>
        </w:rPr>
        <w:t> </w:t>
      </w:r>
      <w:r>
        <w:rPr/>
        <w:t>à</w:t>
      </w:r>
      <w:r>
        <w:rPr>
          <w:spacing w:val="-8"/>
        </w:rPr>
        <w:t> </w:t>
      </w:r>
      <w:r>
        <w:rPr/>
        <w:t>leurs</w:t>
      </w:r>
      <w:r>
        <w:rPr>
          <w:spacing w:val="-10"/>
        </w:rPr>
        <w:t> </w:t>
      </w:r>
      <w:r>
        <w:rPr/>
        <w:t>clients</w:t>
      </w:r>
      <w:r>
        <w:rPr>
          <w:spacing w:val="-13"/>
        </w:rPr>
        <w:t> </w:t>
      </w:r>
      <w:r>
        <w:rPr/>
        <w:t>de</w:t>
      </w:r>
      <w:r>
        <w:rPr>
          <w:spacing w:val="-13"/>
        </w:rPr>
        <w:t> </w:t>
      </w:r>
      <w:r>
        <w:rPr/>
        <w:t>gérer</w:t>
      </w:r>
      <w:r>
        <w:rPr>
          <w:spacing w:val="-9"/>
        </w:rPr>
        <w:t> </w:t>
      </w:r>
      <w:r>
        <w:rPr/>
        <w:t>leurs comptes</w:t>
      </w:r>
      <w:r>
        <w:rPr>
          <w:spacing w:val="-13"/>
        </w:rPr>
        <w:t> </w:t>
      </w:r>
      <w:r>
        <w:rPr/>
        <w:t>plus</w:t>
      </w:r>
      <w:r>
        <w:rPr>
          <w:spacing w:val="-8"/>
        </w:rPr>
        <w:t> </w:t>
      </w:r>
      <w:r>
        <w:rPr/>
        <w:t>facilement</w:t>
      </w:r>
      <w:r>
        <w:rPr>
          <w:spacing w:val="-6"/>
        </w:rPr>
        <w:t> </w:t>
      </w:r>
      <w:r>
        <w:rPr/>
        <w:t>et</w:t>
      </w:r>
      <w:r>
        <w:rPr>
          <w:spacing w:val="-6"/>
        </w:rPr>
        <w:t> </w:t>
      </w:r>
      <w:r>
        <w:rPr/>
        <w:t>de</w:t>
      </w:r>
      <w:r>
        <w:rPr>
          <w:spacing w:val="-11"/>
        </w:rPr>
        <w:t> </w:t>
      </w:r>
      <w:r>
        <w:rPr/>
        <w:t>manière</w:t>
      </w:r>
      <w:r>
        <w:rPr>
          <w:spacing w:val="-12"/>
        </w:rPr>
        <w:t> </w:t>
      </w:r>
      <w:r>
        <w:rPr/>
        <w:t>plus</w:t>
      </w:r>
      <w:r>
        <w:rPr>
          <w:spacing w:val="-12"/>
        </w:rPr>
        <w:t> </w:t>
      </w:r>
      <w:r>
        <w:rPr/>
        <w:t>rapide</w:t>
      </w:r>
      <w:r>
        <w:rPr>
          <w:spacing w:val="-12"/>
        </w:rPr>
        <w:t> </w:t>
      </w:r>
      <w:r>
        <w:rPr/>
        <w:t>et</w:t>
      </w:r>
      <w:r>
        <w:rPr>
          <w:spacing w:val="-6"/>
        </w:rPr>
        <w:t> </w:t>
      </w:r>
      <w:r>
        <w:rPr/>
        <w:t>autonome,</w:t>
      </w:r>
      <w:r>
        <w:rPr>
          <w:spacing w:val="-8"/>
        </w:rPr>
        <w:t> </w:t>
      </w:r>
      <w:r>
        <w:rPr/>
        <w:t>ce</w:t>
      </w:r>
      <w:r>
        <w:rPr>
          <w:spacing w:val="-12"/>
        </w:rPr>
        <w:t> </w:t>
      </w:r>
      <w:r>
        <w:rPr/>
        <w:t>qui</w:t>
      </w:r>
      <w:r>
        <w:rPr>
          <w:spacing w:val="-7"/>
        </w:rPr>
        <w:t> </w:t>
      </w:r>
      <w:r>
        <w:rPr/>
        <w:t>a</w:t>
      </w:r>
      <w:r>
        <w:rPr>
          <w:spacing w:val="-11"/>
        </w:rPr>
        <w:t> </w:t>
      </w:r>
      <w:r>
        <w:rPr/>
        <w:t>entraîné</w:t>
      </w:r>
      <w:r>
        <w:rPr>
          <w:spacing w:val="-12"/>
        </w:rPr>
        <w:t> </w:t>
      </w:r>
      <w:r>
        <w:rPr/>
        <w:t>une</w:t>
      </w:r>
      <w:r>
        <w:rPr>
          <w:spacing w:val="-11"/>
        </w:rPr>
        <w:t> </w:t>
      </w:r>
      <w:r>
        <w:rPr/>
        <w:t>augmentation de </w:t>
      </w:r>
      <w:r>
        <w:rPr>
          <w:spacing w:val="-5"/>
        </w:rPr>
        <w:t>la </w:t>
      </w:r>
      <w:r>
        <w:rPr/>
        <w:t>satisfaction client </w:t>
      </w:r>
      <w:r>
        <w:rPr>
          <w:spacing w:val="-3"/>
        </w:rPr>
        <w:t>mais </w:t>
      </w:r>
      <w:r>
        <w:rPr/>
        <w:t>aussi elle a offert </w:t>
      </w:r>
      <w:r>
        <w:rPr>
          <w:spacing w:val="-5"/>
        </w:rPr>
        <w:t>la </w:t>
      </w:r>
      <w:r>
        <w:rPr/>
        <w:t>possibilité de stimuler les ventes et de renforcer </w:t>
      </w:r>
      <w:r>
        <w:rPr>
          <w:spacing w:val="-3"/>
        </w:rPr>
        <w:t>la </w:t>
      </w:r>
      <w:r>
        <w:rPr/>
        <w:t>fidélité des clients, ce qui est essentiel pour </w:t>
      </w:r>
      <w:r>
        <w:rPr>
          <w:spacing w:val="-5"/>
        </w:rPr>
        <w:t>le </w:t>
      </w:r>
      <w:r>
        <w:rPr/>
        <w:t>succès des entreprises à l'ère numérique, </w:t>
      </w:r>
      <w:r>
        <w:rPr>
          <w:spacing w:val="-3"/>
        </w:rPr>
        <w:t>les </w:t>
      </w:r>
      <w:r>
        <w:rPr/>
        <w:t>banques sont en réalité des acteurs majeurs dans cette digitalisation et ont dû développer des solutions</w:t>
      </w:r>
      <w:r>
        <w:rPr>
          <w:spacing w:val="-14"/>
        </w:rPr>
        <w:t> </w:t>
      </w:r>
      <w:r>
        <w:rPr/>
        <w:t>digitales</w:t>
      </w:r>
      <w:r>
        <w:rPr>
          <w:spacing w:val="-13"/>
        </w:rPr>
        <w:t> </w:t>
      </w:r>
      <w:r>
        <w:rPr/>
        <w:t>très</w:t>
      </w:r>
      <w:r>
        <w:rPr>
          <w:spacing w:val="-14"/>
        </w:rPr>
        <w:t> </w:t>
      </w:r>
      <w:r>
        <w:rPr/>
        <w:t>importantes</w:t>
      </w:r>
      <w:r>
        <w:rPr>
          <w:spacing w:val="-13"/>
        </w:rPr>
        <w:t> </w:t>
      </w:r>
      <w:r>
        <w:rPr/>
        <w:t>qui</w:t>
      </w:r>
      <w:r>
        <w:rPr>
          <w:spacing w:val="-20"/>
        </w:rPr>
        <w:t> </w:t>
      </w:r>
      <w:r>
        <w:rPr/>
        <w:t>ont</w:t>
      </w:r>
      <w:r>
        <w:rPr>
          <w:spacing w:val="-7"/>
        </w:rPr>
        <w:t> </w:t>
      </w:r>
      <w:r>
        <w:rPr/>
        <w:t>permis</w:t>
      </w:r>
      <w:r>
        <w:rPr>
          <w:spacing w:val="-13"/>
        </w:rPr>
        <w:t> </w:t>
      </w:r>
      <w:r>
        <w:rPr/>
        <w:t>de</w:t>
      </w:r>
      <w:r>
        <w:rPr>
          <w:spacing w:val="-9"/>
        </w:rPr>
        <w:t> </w:t>
      </w:r>
      <w:r>
        <w:rPr/>
        <w:t>faciliter</w:t>
      </w:r>
      <w:r>
        <w:rPr>
          <w:spacing w:val="-5"/>
        </w:rPr>
        <w:t> </w:t>
      </w:r>
      <w:r>
        <w:rPr/>
        <w:t>les</w:t>
      </w:r>
      <w:r>
        <w:rPr>
          <w:spacing w:val="-13"/>
        </w:rPr>
        <w:t> </w:t>
      </w:r>
      <w:r>
        <w:rPr/>
        <w:t>échanges</w:t>
      </w:r>
      <w:r>
        <w:rPr>
          <w:spacing w:val="-13"/>
        </w:rPr>
        <w:t> </w:t>
      </w:r>
      <w:r>
        <w:rPr/>
        <w:t>avec</w:t>
      </w:r>
      <w:r>
        <w:rPr>
          <w:spacing w:val="-8"/>
        </w:rPr>
        <w:t> </w:t>
      </w:r>
      <w:r>
        <w:rPr>
          <w:spacing w:val="-3"/>
        </w:rPr>
        <w:t>les</w:t>
      </w:r>
      <w:r>
        <w:rPr>
          <w:spacing w:val="-14"/>
        </w:rPr>
        <w:t> </w:t>
      </w:r>
      <w:r>
        <w:rPr/>
        <w:t>sociétés</w:t>
      </w:r>
      <w:r>
        <w:rPr>
          <w:spacing w:val="-13"/>
        </w:rPr>
        <w:t> </w:t>
      </w:r>
      <w:r>
        <w:rPr/>
        <w:t>et</w:t>
      </w:r>
      <w:r>
        <w:rPr>
          <w:spacing w:val="-7"/>
        </w:rPr>
        <w:t> </w:t>
      </w:r>
      <w:r>
        <w:rPr/>
        <w:t>leurs clients.</w:t>
      </w:r>
    </w:p>
    <w:p>
      <w:pPr>
        <w:pStyle w:val="BodyText"/>
        <w:spacing w:line="360" w:lineRule="auto" w:before="165"/>
        <w:ind w:left="699" w:right="311" w:firstLine="360"/>
        <w:jc w:val="both"/>
      </w:pPr>
      <w:r>
        <w:rPr/>
        <w:t>La digitalisation des moyens de paiement pour les entreprises est basée sur une relation entre les entreprises et les banques, cette relation est facilitée afin de pouvoir proposer la meilleure expérience d’achat à leurs clients.</w:t>
      </w:r>
    </w:p>
    <w:p>
      <w:pPr>
        <w:pStyle w:val="BodyText"/>
        <w:spacing w:line="364" w:lineRule="auto" w:before="160"/>
        <w:ind w:left="699" w:right="318" w:firstLine="360"/>
        <w:jc w:val="both"/>
      </w:pPr>
      <w:r>
        <w:rPr/>
        <w:t>Pour les clients, la digitalisation des moyens de paiement a considérablement amélioré leur expérience d'achat en garantissant la sécurité, la traçabilité, la rapidité et l’accessibilité.</w:t>
      </w:r>
    </w:p>
    <w:p>
      <w:pPr>
        <w:pStyle w:val="BodyText"/>
        <w:spacing w:line="360" w:lineRule="auto" w:before="150"/>
        <w:ind w:left="699" w:right="310" w:firstLine="360"/>
        <w:jc w:val="both"/>
      </w:pPr>
      <w:r>
        <w:rPr/>
        <w:t>Le paiement digital a connu une évolution très dense ces dernières années dans </w:t>
      </w:r>
      <w:r>
        <w:rPr>
          <w:spacing w:val="-5"/>
        </w:rPr>
        <w:t>le </w:t>
      </w:r>
      <w:r>
        <w:rPr/>
        <w:t>monde et surtout en Algérie, en prenant </w:t>
      </w:r>
      <w:r>
        <w:rPr>
          <w:spacing w:val="-5"/>
        </w:rPr>
        <w:t>le </w:t>
      </w:r>
      <w:r>
        <w:rPr/>
        <w:t>cas de BaridiMob qui est une application mobile qui met à </w:t>
      </w:r>
      <w:r>
        <w:rPr>
          <w:spacing w:val="-5"/>
        </w:rPr>
        <w:t>la </w:t>
      </w:r>
      <w:r>
        <w:rPr/>
        <w:t>disposition des utilisateurs un panel de services monétiques et financiers postaux d'Algérie Poste. Le nombre d’utilisateur de BaridiMob est de </w:t>
      </w:r>
      <w:r>
        <w:rPr>
          <w:spacing w:val="-3"/>
        </w:rPr>
        <w:t>cinq </w:t>
      </w:r>
      <w:r>
        <w:rPr/>
        <w:t>millions ce qui prouve qu’il a connu un succès national.</w:t>
      </w:r>
      <w:r>
        <w:rPr>
          <w:spacing w:val="-15"/>
        </w:rPr>
        <w:t> </w:t>
      </w:r>
      <w:r>
        <w:rPr/>
        <w:t>Le</w:t>
      </w:r>
      <w:r>
        <w:rPr>
          <w:spacing w:val="-16"/>
        </w:rPr>
        <w:t> </w:t>
      </w:r>
      <w:r>
        <w:rPr/>
        <w:t>service</w:t>
      </w:r>
      <w:r>
        <w:rPr>
          <w:spacing w:val="-17"/>
        </w:rPr>
        <w:t> </w:t>
      </w:r>
      <w:r>
        <w:rPr/>
        <w:t>est</w:t>
      </w:r>
      <w:r>
        <w:rPr>
          <w:spacing w:val="-12"/>
        </w:rPr>
        <w:t> </w:t>
      </w:r>
      <w:r>
        <w:rPr/>
        <w:t>confronté</w:t>
      </w:r>
      <w:r>
        <w:rPr>
          <w:spacing w:val="-17"/>
        </w:rPr>
        <w:t> </w:t>
      </w:r>
      <w:r>
        <w:rPr/>
        <w:t>à</w:t>
      </w:r>
      <w:r>
        <w:rPr>
          <w:spacing w:val="-16"/>
        </w:rPr>
        <w:t> </w:t>
      </w:r>
      <w:r>
        <w:rPr/>
        <w:t>plusieurs</w:t>
      </w:r>
      <w:r>
        <w:rPr>
          <w:spacing w:val="-18"/>
        </w:rPr>
        <w:t> </w:t>
      </w:r>
      <w:r>
        <w:rPr/>
        <w:t>dysfonctionnements</w:t>
      </w:r>
      <w:r>
        <w:rPr>
          <w:spacing w:val="-11"/>
        </w:rPr>
        <w:t> </w:t>
      </w:r>
      <w:r>
        <w:rPr/>
        <w:t>liés</w:t>
      </w:r>
      <w:r>
        <w:rPr>
          <w:spacing w:val="-19"/>
        </w:rPr>
        <w:t> </w:t>
      </w:r>
      <w:r>
        <w:rPr/>
        <w:t>à</w:t>
      </w:r>
      <w:r>
        <w:rPr>
          <w:spacing w:val="-14"/>
        </w:rPr>
        <w:t> </w:t>
      </w:r>
      <w:r>
        <w:rPr>
          <w:spacing w:val="-5"/>
        </w:rPr>
        <w:t>la</w:t>
      </w:r>
      <w:r>
        <w:rPr>
          <w:spacing w:val="-16"/>
        </w:rPr>
        <w:t> </w:t>
      </w:r>
      <w:r>
        <w:rPr/>
        <w:t>disponibilité</w:t>
      </w:r>
      <w:r>
        <w:rPr>
          <w:spacing w:val="-17"/>
        </w:rPr>
        <w:t> </w:t>
      </w:r>
      <w:r>
        <w:rPr/>
        <w:t>et</w:t>
      </w:r>
      <w:r>
        <w:rPr>
          <w:spacing w:val="-12"/>
        </w:rPr>
        <w:t> </w:t>
      </w:r>
      <w:r>
        <w:rPr>
          <w:spacing w:val="-3"/>
        </w:rPr>
        <w:t>la</w:t>
      </w:r>
      <w:r>
        <w:rPr>
          <w:spacing w:val="-17"/>
        </w:rPr>
        <w:t> </w:t>
      </w:r>
      <w:r>
        <w:rPr/>
        <w:t>sécurité qui ont conduit à plusieurs critiques par ses</w:t>
      </w:r>
      <w:r>
        <w:rPr>
          <w:spacing w:val="10"/>
        </w:rPr>
        <w:t> </w:t>
      </w:r>
      <w:r>
        <w:rPr/>
        <w:t>utilisateurs.</w:t>
      </w:r>
    </w:p>
    <w:p>
      <w:pPr>
        <w:spacing w:after="0" w:line="360" w:lineRule="auto"/>
        <w:jc w:val="both"/>
        <w:sectPr>
          <w:headerReference w:type="default" r:id="rId18"/>
          <w:headerReference w:type="even" r:id="rId19"/>
          <w:footerReference w:type="default" r:id="rId20"/>
          <w:footerReference w:type="even" r:id="rId21"/>
          <w:pgSz w:w="12240" w:h="15840"/>
          <w:pgMar w:header="723" w:footer="850" w:top="1080" w:bottom="1040" w:left="1000" w:right="820"/>
          <w:pgNumType w:start="1"/>
        </w:sectPr>
      </w:pPr>
    </w:p>
    <w:p>
      <w:pPr>
        <w:pStyle w:val="BodyText"/>
        <w:spacing w:before="6"/>
        <w:rPr>
          <w:sz w:val="19"/>
        </w:rPr>
      </w:pPr>
    </w:p>
    <w:p>
      <w:pPr>
        <w:pStyle w:val="BodyText"/>
        <w:spacing w:line="367" w:lineRule="auto" w:before="90"/>
        <w:ind w:left="699" w:right="238" w:firstLine="360"/>
      </w:pPr>
      <w:r>
        <w:rPr/>
        <w:t>Notre étude se base sur ces dysfonctionnements, pour répondre au mieux aux attentes des clients et connaître les causes de ces bugs et améliorer ces services.</w:t>
      </w:r>
    </w:p>
    <w:p>
      <w:pPr>
        <w:pStyle w:val="Heading5"/>
        <w:spacing w:before="154"/>
        <w:ind w:left="1060" w:firstLine="0"/>
        <w:jc w:val="left"/>
      </w:pPr>
      <w:r>
        <w:rPr/>
        <w:t>Problématique :</w:t>
      </w:r>
    </w:p>
    <w:p>
      <w:pPr>
        <w:pStyle w:val="BodyText"/>
        <w:spacing w:before="3"/>
        <w:rPr>
          <w:b/>
          <w:sz w:val="25"/>
        </w:rPr>
      </w:pPr>
    </w:p>
    <w:p>
      <w:pPr>
        <w:pStyle w:val="BodyText"/>
        <w:spacing w:line="362" w:lineRule="auto"/>
        <w:ind w:left="699" w:right="238" w:firstLine="360"/>
      </w:pPr>
      <w:r>
        <w:rPr/>
        <w:t>Compte tenu de ce qui a été présenté précédemment, la problématique de cette étude se définit comme suit :</w:t>
      </w:r>
    </w:p>
    <w:p>
      <w:pPr>
        <w:pStyle w:val="Heading5"/>
        <w:spacing w:line="362" w:lineRule="auto" w:before="161"/>
        <w:ind w:left="699" w:right="238" w:firstLine="360"/>
        <w:jc w:val="left"/>
      </w:pPr>
      <w:r>
        <w:rPr/>
        <w:t>Comment améliorer les services de paiement de BaridiMob pour une meilleure satisfaction client</w:t>
      </w:r>
      <w:r>
        <w:rPr>
          <w:spacing w:val="8"/>
        </w:rPr>
        <w:t> </w:t>
      </w:r>
      <w:r>
        <w:rPr/>
        <w:t>?</w:t>
      </w:r>
    </w:p>
    <w:p>
      <w:pPr>
        <w:pStyle w:val="BodyText"/>
        <w:spacing w:line="367" w:lineRule="auto" w:before="145"/>
        <w:ind w:left="699" w:right="238" w:firstLine="360"/>
      </w:pPr>
      <w:r>
        <w:rPr/>
        <w:t>Afin de répondre à cette problématique, nous avons jugé important de </w:t>
      </w:r>
      <w:r>
        <w:rPr>
          <w:spacing w:val="-5"/>
        </w:rPr>
        <w:t>la </w:t>
      </w:r>
      <w:r>
        <w:rPr/>
        <w:t>subdiviser en sous- questions suivantes</w:t>
      </w:r>
      <w:r>
        <w:rPr>
          <w:spacing w:val="-1"/>
        </w:rPr>
        <w:t> </w:t>
      </w:r>
      <w:r>
        <w:rPr/>
        <w:t>:</w:t>
      </w:r>
    </w:p>
    <w:p>
      <w:pPr>
        <w:pStyle w:val="ListParagraph"/>
        <w:numPr>
          <w:ilvl w:val="0"/>
          <w:numId w:val="6"/>
        </w:numPr>
        <w:tabs>
          <w:tab w:pos="1780" w:val="left" w:leader="none"/>
          <w:tab w:pos="1781" w:val="left" w:leader="none"/>
        </w:tabs>
        <w:spacing w:line="362" w:lineRule="auto" w:before="145" w:after="0"/>
        <w:ind w:left="1780" w:right="314" w:hanging="360"/>
        <w:jc w:val="left"/>
        <w:rPr>
          <w:sz w:val="24"/>
        </w:rPr>
      </w:pPr>
      <w:r>
        <w:rPr>
          <w:sz w:val="24"/>
        </w:rPr>
        <w:t>Comment</w:t>
      </w:r>
      <w:r>
        <w:rPr>
          <w:spacing w:val="3"/>
          <w:sz w:val="24"/>
        </w:rPr>
        <w:t> </w:t>
      </w:r>
      <w:r>
        <w:rPr>
          <w:spacing w:val="-5"/>
          <w:sz w:val="24"/>
        </w:rPr>
        <w:t>le</w:t>
      </w:r>
      <w:r>
        <w:rPr>
          <w:spacing w:val="-3"/>
          <w:sz w:val="24"/>
        </w:rPr>
        <w:t> </w:t>
      </w:r>
      <w:r>
        <w:rPr>
          <w:sz w:val="24"/>
        </w:rPr>
        <w:t>niveau</w:t>
      </w:r>
      <w:r>
        <w:rPr>
          <w:spacing w:val="-6"/>
          <w:sz w:val="24"/>
        </w:rPr>
        <w:t> </w:t>
      </w:r>
      <w:r>
        <w:rPr>
          <w:sz w:val="24"/>
        </w:rPr>
        <w:t>de</w:t>
      </w:r>
      <w:r>
        <w:rPr>
          <w:spacing w:val="-7"/>
          <w:sz w:val="24"/>
        </w:rPr>
        <w:t> </w:t>
      </w:r>
      <w:r>
        <w:rPr>
          <w:sz w:val="24"/>
        </w:rPr>
        <w:t>sécurité</w:t>
      </w:r>
      <w:r>
        <w:rPr>
          <w:spacing w:val="-7"/>
          <w:sz w:val="24"/>
        </w:rPr>
        <w:t> </w:t>
      </w:r>
      <w:r>
        <w:rPr>
          <w:sz w:val="24"/>
        </w:rPr>
        <w:t>perçu</w:t>
      </w:r>
      <w:r>
        <w:rPr>
          <w:spacing w:val="-6"/>
          <w:sz w:val="24"/>
        </w:rPr>
        <w:t> </w:t>
      </w:r>
      <w:r>
        <w:rPr>
          <w:sz w:val="24"/>
        </w:rPr>
        <w:t>par</w:t>
      </w:r>
      <w:r>
        <w:rPr>
          <w:spacing w:val="-1"/>
          <w:sz w:val="24"/>
        </w:rPr>
        <w:t> </w:t>
      </w:r>
      <w:r>
        <w:rPr>
          <w:spacing w:val="-3"/>
          <w:sz w:val="24"/>
        </w:rPr>
        <w:t>les</w:t>
      </w:r>
      <w:r>
        <w:rPr>
          <w:spacing w:val="-8"/>
          <w:sz w:val="24"/>
        </w:rPr>
        <w:t> </w:t>
      </w:r>
      <w:r>
        <w:rPr>
          <w:sz w:val="24"/>
        </w:rPr>
        <w:t>clients</w:t>
      </w:r>
      <w:r>
        <w:rPr>
          <w:spacing w:val="-3"/>
          <w:sz w:val="24"/>
        </w:rPr>
        <w:t> </w:t>
      </w:r>
      <w:r>
        <w:rPr>
          <w:sz w:val="24"/>
        </w:rPr>
        <w:t>influence-t-il</w:t>
      </w:r>
      <w:r>
        <w:rPr>
          <w:spacing w:val="-6"/>
          <w:sz w:val="24"/>
        </w:rPr>
        <w:t> </w:t>
      </w:r>
      <w:r>
        <w:rPr>
          <w:sz w:val="24"/>
        </w:rPr>
        <w:t>leur</w:t>
      </w:r>
      <w:r>
        <w:rPr>
          <w:spacing w:val="-5"/>
          <w:sz w:val="24"/>
        </w:rPr>
        <w:t> </w:t>
      </w:r>
      <w:r>
        <w:rPr>
          <w:sz w:val="24"/>
        </w:rPr>
        <w:t>confiance</w:t>
      </w:r>
      <w:r>
        <w:rPr>
          <w:spacing w:val="-5"/>
          <w:sz w:val="24"/>
        </w:rPr>
        <w:t> </w:t>
      </w:r>
      <w:r>
        <w:rPr>
          <w:sz w:val="24"/>
        </w:rPr>
        <w:t>envers BaridiMob</w:t>
      </w:r>
      <w:r>
        <w:rPr>
          <w:spacing w:val="1"/>
          <w:sz w:val="24"/>
        </w:rPr>
        <w:t> </w:t>
      </w:r>
      <w:r>
        <w:rPr>
          <w:sz w:val="24"/>
        </w:rPr>
        <w:t>?</w:t>
      </w:r>
    </w:p>
    <w:p>
      <w:pPr>
        <w:pStyle w:val="ListParagraph"/>
        <w:numPr>
          <w:ilvl w:val="0"/>
          <w:numId w:val="6"/>
        </w:numPr>
        <w:tabs>
          <w:tab w:pos="1780" w:val="left" w:leader="none"/>
          <w:tab w:pos="1781" w:val="left" w:leader="none"/>
        </w:tabs>
        <w:spacing w:line="273" w:lineRule="exact" w:before="0" w:after="0"/>
        <w:ind w:left="1780" w:right="0" w:hanging="361"/>
        <w:jc w:val="left"/>
        <w:rPr>
          <w:sz w:val="24"/>
        </w:rPr>
      </w:pPr>
      <w:r>
        <w:rPr>
          <w:sz w:val="24"/>
        </w:rPr>
        <w:t>Comment </w:t>
      </w:r>
      <w:r>
        <w:rPr>
          <w:spacing w:val="-5"/>
          <w:sz w:val="24"/>
        </w:rPr>
        <w:t>la </w:t>
      </w:r>
      <w:r>
        <w:rPr>
          <w:sz w:val="24"/>
        </w:rPr>
        <w:t>fréquence des bugs impacte-t-elle l’expérience utilisateur</w:t>
      </w:r>
      <w:r>
        <w:rPr>
          <w:spacing w:val="33"/>
          <w:sz w:val="24"/>
        </w:rPr>
        <w:t> </w:t>
      </w:r>
      <w:r>
        <w:rPr>
          <w:sz w:val="24"/>
        </w:rPr>
        <w:t>?</w:t>
      </w:r>
    </w:p>
    <w:p>
      <w:pPr>
        <w:pStyle w:val="ListParagraph"/>
        <w:numPr>
          <w:ilvl w:val="0"/>
          <w:numId w:val="6"/>
        </w:numPr>
        <w:tabs>
          <w:tab w:pos="1780" w:val="left" w:leader="none"/>
          <w:tab w:pos="1781" w:val="left" w:leader="none"/>
        </w:tabs>
        <w:spacing w:line="360" w:lineRule="auto" w:before="137" w:after="0"/>
        <w:ind w:left="1780" w:right="312" w:hanging="360"/>
        <w:jc w:val="left"/>
        <w:rPr>
          <w:sz w:val="24"/>
        </w:rPr>
      </w:pPr>
      <w:r>
        <w:rPr>
          <w:sz w:val="24"/>
        </w:rPr>
        <w:t>Comment</w:t>
      </w:r>
      <w:r>
        <w:rPr>
          <w:spacing w:val="-4"/>
          <w:sz w:val="24"/>
        </w:rPr>
        <w:t> </w:t>
      </w:r>
      <w:r>
        <w:rPr>
          <w:sz w:val="24"/>
        </w:rPr>
        <w:t>l’indisponibilité</w:t>
      </w:r>
      <w:r>
        <w:rPr>
          <w:spacing w:val="-9"/>
          <w:sz w:val="24"/>
        </w:rPr>
        <w:t> </w:t>
      </w:r>
      <w:r>
        <w:rPr>
          <w:sz w:val="24"/>
        </w:rPr>
        <w:t>de</w:t>
      </w:r>
      <w:r>
        <w:rPr>
          <w:spacing w:val="-9"/>
          <w:sz w:val="24"/>
        </w:rPr>
        <w:t> </w:t>
      </w:r>
      <w:r>
        <w:rPr>
          <w:sz w:val="24"/>
        </w:rPr>
        <w:t>BaridiMob</w:t>
      </w:r>
      <w:r>
        <w:rPr>
          <w:spacing w:val="-13"/>
          <w:sz w:val="24"/>
        </w:rPr>
        <w:t> </w:t>
      </w:r>
      <w:r>
        <w:rPr>
          <w:sz w:val="24"/>
        </w:rPr>
        <w:t>à</w:t>
      </w:r>
      <w:r>
        <w:rPr>
          <w:spacing w:val="-9"/>
          <w:sz w:val="24"/>
        </w:rPr>
        <w:t> </w:t>
      </w:r>
      <w:r>
        <w:rPr>
          <w:sz w:val="24"/>
        </w:rPr>
        <w:t>certaines</w:t>
      </w:r>
      <w:r>
        <w:rPr>
          <w:spacing w:val="-10"/>
          <w:sz w:val="24"/>
        </w:rPr>
        <w:t> </w:t>
      </w:r>
      <w:r>
        <w:rPr>
          <w:sz w:val="24"/>
        </w:rPr>
        <w:t>heures</w:t>
      </w:r>
      <w:r>
        <w:rPr>
          <w:spacing w:val="-10"/>
          <w:sz w:val="24"/>
        </w:rPr>
        <w:t> </w:t>
      </w:r>
      <w:r>
        <w:rPr>
          <w:sz w:val="24"/>
        </w:rPr>
        <w:t>affecte-t-elle</w:t>
      </w:r>
      <w:r>
        <w:rPr>
          <w:spacing w:val="-4"/>
          <w:sz w:val="24"/>
        </w:rPr>
        <w:t> </w:t>
      </w:r>
      <w:r>
        <w:rPr>
          <w:spacing w:val="-5"/>
          <w:sz w:val="24"/>
        </w:rPr>
        <w:t>la</w:t>
      </w:r>
      <w:r>
        <w:rPr>
          <w:spacing w:val="-8"/>
          <w:sz w:val="24"/>
        </w:rPr>
        <w:t> </w:t>
      </w:r>
      <w:r>
        <w:rPr>
          <w:sz w:val="24"/>
        </w:rPr>
        <w:t>satisfaction des utilisateurs</w:t>
      </w:r>
      <w:r>
        <w:rPr>
          <w:spacing w:val="-1"/>
          <w:sz w:val="24"/>
        </w:rPr>
        <w:t> </w:t>
      </w:r>
      <w:r>
        <w:rPr>
          <w:sz w:val="24"/>
        </w:rPr>
        <w:t>?</w:t>
      </w:r>
    </w:p>
    <w:p>
      <w:pPr>
        <w:pStyle w:val="ListParagraph"/>
        <w:numPr>
          <w:ilvl w:val="0"/>
          <w:numId w:val="6"/>
        </w:numPr>
        <w:tabs>
          <w:tab w:pos="1780" w:val="left" w:leader="none"/>
          <w:tab w:pos="1781" w:val="left" w:leader="none"/>
        </w:tabs>
        <w:spacing w:line="362" w:lineRule="auto" w:before="0" w:after="0"/>
        <w:ind w:left="1780" w:right="322" w:hanging="360"/>
        <w:jc w:val="left"/>
        <w:rPr>
          <w:sz w:val="24"/>
        </w:rPr>
      </w:pPr>
      <w:r>
        <w:rPr>
          <w:sz w:val="24"/>
        </w:rPr>
        <w:t>Pourquoi les utilisateurs rencontrent-ils des difficultés à obtenir une assistance rapide et efficace</w:t>
      </w:r>
      <w:r>
        <w:rPr>
          <w:spacing w:val="7"/>
          <w:sz w:val="24"/>
        </w:rPr>
        <w:t> </w:t>
      </w:r>
      <w:r>
        <w:rPr>
          <w:sz w:val="24"/>
        </w:rPr>
        <w:t>?</w:t>
      </w:r>
    </w:p>
    <w:p>
      <w:pPr>
        <w:pStyle w:val="BodyText"/>
        <w:spacing w:before="202"/>
        <w:ind w:left="1060"/>
      </w:pPr>
      <w:r>
        <w:rPr/>
        <w:t>Pour répondre à ces questions, nous avons émis les hypothèses suivantes :</w:t>
      </w:r>
    </w:p>
    <w:p>
      <w:pPr>
        <w:pStyle w:val="BodyText"/>
        <w:spacing w:before="3"/>
        <w:rPr>
          <w:sz w:val="25"/>
        </w:rPr>
      </w:pPr>
    </w:p>
    <w:p>
      <w:pPr>
        <w:pStyle w:val="ListParagraph"/>
        <w:numPr>
          <w:ilvl w:val="0"/>
          <w:numId w:val="6"/>
        </w:numPr>
        <w:tabs>
          <w:tab w:pos="1781" w:val="left" w:leader="none"/>
        </w:tabs>
        <w:spacing w:line="360" w:lineRule="auto" w:before="0" w:after="0"/>
        <w:ind w:left="1780" w:right="325" w:hanging="360"/>
        <w:jc w:val="both"/>
        <w:rPr>
          <w:sz w:val="24"/>
        </w:rPr>
      </w:pPr>
      <w:r>
        <w:rPr>
          <w:sz w:val="24"/>
        </w:rPr>
        <w:t>L'absence de </w:t>
      </w:r>
      <w:r>
        <w:rPr>
          <w:spacing w:val="-3"/>
          <w:sz w:val="24"/>
        </w:rPr>
        <w:t>la </w:t>
      </w:r>
      <w:r>
        <w:rPr>
          <w:sz w:val="24"/>
        </w:rPr>
        <w:t>protection suffisante des données personnelles et financières entraîne une réticence des utilisateurs à utiliser l’application pour leurs</w:t>
      </w:r>
      <w:r>
        <w:rPr>
          <w:spacing w:val="-8"/>
          <w:sz w:val="24"/>
        </w:rPr>
        <w:t> </w:t>
      </w:r>
      <w:r>
        <w:rPr>
          <w:sz w:val="24"/>
        </w:rPr>
        <w:t>transactions.</w:t>
      </w:r>
    </w:p>
    <w:p>
      <w:pPr>
        <w:pStyle w:val="ListParagraph"/>
        <w:numPr>
          <w:ilvl w:val="0"/>
          <w:numId w:val="6"/>
        </w:numPr>
        <w:tabs>
          <w:tab w:pos="1781" w:val="left" w:leader="none"/>
        </w:tabs>
        <w:spacing w:line="360" w:lineRule="auto" w:before="2" w:after="0"/>
        <w:ind w:left="1780" w:right="321" w:hanging="360"/>
        <w:jc w:val="both"/>
        <w:rPr>
          <w:sz w:val="24"/>
        </w:rPr>
      </w:pPr>
      <w:r>
        <w:rPr>
          <w:sz w:val="24"/>
        </w:rPr>
        <w:t>Des bugs récurrents provoquent une frustration chez </w:t>
      </w:r>
      <w:r>
        <w:rPr>
          <w:spacing w:val="-3"/>
          <w:sz w:val="24"/>
        </w:rPr>
        <w:t>les </w:t>
      </w:r>
      <w:r>
        <w:rPr>
          <w:sz w:val="24"/>
        </w:rPr>
        <w:t>utilisateurs, réduisant ainsi </w:t>
      </w:r>
      <w:r>
        <w:rPr>
          <w:spacing w:val="-5"/>
          <w:sz w:val="24"/>
        </w:rPr>
        <w:t>la </w:t>
      </w:r>
      <w:r>
        <w:rPr>
          <w:sz w:val="24"/>
        </w:rPr>
        <w:t>confiance dans </w:t>
      </w:r>
      <w:r>
        <w:rPr>
          <w:spacing w:val="-3"/>
          <w:sz w:val="24"/>
        </w:rPr>
        <w:t>le </w:t>
      </w:r>
      <w:r>
        <w:rPr>
          <w:sz w:val="24"/>
        </w:rPr>
        <w:t>service et augmentant </w:t>
      </w:r>
      <w:r>
        <w:rPr>
          <w:spacing w:val="-5"/>
          <w:sz w:val="24"/>
        </w:rPr>
        <w:t>le </w:t>
      </w:r>
      <w:r>
        <w:rPr>
          <w:sz w:val="24"/>
        </w:rPr>
        <w:t>taux d'abandon de</w:t>
      </w:r>
      <w:r>
        <w:rPr>
          <w:spacing w:val="21"/>
          <w:sz w:val="24"/>
        </w:rPr>
        <w:t> </w:t>
      </w:r>
      <w:r>
        <w:rPr>
          <w:sz w:val="24"/>
        </w:rPr>
        <w:t>l’application.</w:t>
      </w:r>
    </w:p>
    <w:p>
      <w:pPr>
        <w:pStyle w:val="ListParagraph"/>
        <w:numPr>
          <w:ilvl w:val="0"/>
          <w:numId w:val="6"/>
        </w:numPr>
        <w:tabs>
          <w:tab w:pos="1781" w:val="left" w:leader="none"/>
        </w:tabs>
        <w:spacing w:line="360" w:lineRule="auto" w:before="0" w:after="0"/>
        <w:ind w:left="1780" w:right="323" w:hanging="360"/>
        <w:jc w:val="both"/>
        <w:rPr>
          <w:sz w:val="24"/>
        </w:rPr>
      </w:pPr>
      <w:r>
        <w:rPr>
          <w:sz w:val="24"/>
        </w:rPr>
        <w:t>Des interruptions fréquentes du service à des heures tardives entraînent une frustration et une perte de confiance des clients envers</w:t>
      </w:r>
      <w:r>
        <w:rPr>
          <w:spacing w:val="10"/>
          <w:sz w:val="24"/>
        </w:rPr>
        <w:t> </w:t>
      </w:r>
      <w:r>
        <w:rPr>
          <w:sz w:val="24"/>
        </w:rPr>
        <w:t>l’application.</w:t>
      </w:r>
    </w:p>
    <w:p>
      <w:pPr>
        <w:pStyle w:val="ListParagraph"/>
        <w:numPr>
          <w:ilvl w:val="0"/>
          <w:numId w:val="6"/>
        </w:numPr>
        <w:tabs>
          <w:tab w:pos="1781" w:val="left" w:leader="none"/>
        </w:tabs>
        <w:spacing w:line="360" w:lineRule="auto" w:before="1" w:after="0"/>
        <w:ind w:left="1780" w:right="312" w:hanging="360"/>
        <w:jc w:val="both"/>
        <w:rPr>
          <w:sz w:val="24"/>
        </w:rPr>
      </w:pPr>
      <w:r>
        <w:rPr>
          <w:sz w:val="24"/>
        </w:rPr>
        <w:t>Un manque de personnel qualifié et une absence de solutions d’automatisation (chatbots, </w:t>
      </w:r>
      <w:r>
        <w:rPr>
          <w:spacing w:val="-4"/>
          <w:sz w:val="24"/>
        </w:rPr>
        <w:t>FAQ </w:t>
      </w:r>
      <w:r>
        <w:rPr>
          <w:sz w:val="24"/>
        </w:rPr>
        <w:t>interactives) allongent les délais de réponse et réduisent </w:t>
      </w:r>
      <w:r>
        <w:rPr>
          <w:spacing w:val="-3"/>
          <w:sz w:val="24"/>
        </w:rPr>
        <w:t>la </w:t>
      </w:r>
      <w:r>
        <w:rPr>
          <w:sz w:val="24"/>
        </w:rPr>
        <w:t>satisfaction des</w:t>
      </w:r>
      <w:r>
        <w:rPr>
          <w:spacing w:val="-1"/>
          <w:sz w:val="24"/>
        </w:rPr>
        <w:t> </w:t>
      </w:r>
      <w:r>
        <w:rPr>
          <w:sz w:val="24"/>
        </w:rPr>
        <w:t>clients.</w:t>
      </w:r>
    </w:p>
    <w:p>
      <w:pPr>
        <w:spacing w:after="0" w:line="360" w:lineRule="auto"/>
        <w:jc w:val="both"/>
        <w:rPr>
          <w:sz w:val="24"/>
        </w:rPr>
        <w:sectPr>
          <w:pgSz w:w="12240" w:h="15840"/>
          <w:pgMar w:header="723" w:footer="850" w:top="1080" w:bottom="1040" w:left="1000" w:right="820"/>
        </w:sectPr>
      </w:pPr>
    </w:p>
    <w:p>
      <w:pPr>
        <w:pStyle w:val="BodyText"/>
        <w:spacing w:before="4"/>
        <w:rPr>
          <w:sz w:val="20"/>
        </w:rPr>
      </w:pPr>
    </w:p>
    <w:p>
      <w:pPr>
        <w:pStyle w:val="Heading5"/>
        <w:spacing w:before="90"/>
        <w:ind w:left="1060" w:firstLine="0"/>
      </w:pPr>
      <w:r>
        <w:rPr/>
        <w:t>Intérêt du sujet :</w:t>
      </w:r>
    </w:p>
    <w:p>
      <w:pPr>
        <w:pStyle w:val="BodyText"/>
        <w:spacing w:before="2"/>
        <w:rPr>
          <w:b/>
          <w:sz w:val="25"/>
        </w:rPr>
      </w:pPr>
    </w:p>
    <w:p>
      <w:pPr>
        <w:pStyle w:val="BodyText"/>
        <w:spacing w:line="362" w:lineRule="auto" w:before="1"/>
        <w:ind w:left="699" w:right="308" w:firstLine="360"/>
        <w:jc w:val="both"/>
      </w:pPr>
      <w:r>
        <w:rPr/>
        <w:t>Nous nous sommes focalisés sur les moyens de paiement digital à travers l’étude de l’application</w:t>
      </w:r>
      <w:r>
        <w:rPr>
          <w:spacing w:val="-6"/>
        </w:rPr>
        <w:t> </w:t>
      </w:r>
      <w:r>
        <w:rPr/>
        <w:t>mobile</w:t>
      </w:r>
      <w:r>
        <w:rPr>
          <w:spacing w:val="-7"/>
        </w:rPr>
        <w:t> </w:t>
      </w:r>
      <w:r>
        <w:rPr/>
        <w:t>BaridiMob</w:t>
      </w:r>
      <w:r>
        <w:rPr>
          <w:spacing w:val="-11"/>
        </w:rPr>
        <w:t> </w:t>
      </w:r>
      <w:r>
        <w:rPr/>
        <w:t>offre</w:t>
      </w:r>
      <w:r>
        <w:rPr>
          <w:spacing w:val="-8"/>
        </w:rPr>
        <w:t> </w:t>
      </w:r>
      <w:r>
        <w:rPr/>
        <w:t>à</w:t>
      </w:r>
      <w:r>
        <w:rPr>
          <w:spacing w:val="-8"/>
        </w:rPr>
        <w:t> </w:t>
      </w:r>
      <w:r>
        <w:rPr/>
        <w:t>ces</w:t>
      </w:r>
      <w:r>
        <w:rPr>
          <w:spacing w:val="-9"/>
        </w:rPr>
        <w:t> </w:t>
      </w:r>
      <w:r>
        <w:rPr/>
        <w:t>utilisateurs</w:t>
      </w:r>
      <w:r>
        <w:rPr>
          <w:spacing w:val="-8"/>
        </w:rPr>
        <w:t> </w:t>
      </w:r>
      <w:r>
        <w:rPr/>
        <w:t>différents</w:t>
      </w:r>
      <w:r>
        <w:rPr>
          <w:spacing w:val="-8"/>
        </w:rPr>
        <w:t> </w:t>
      </w:r>
      <w:r>
        <w:rPr/>
        <w:t>services</w:t>
      </w:r>
      <w:r>
        <w:rPr>
          <w:spacing w:val="-5"/>
        </w:rPr>
        <w:t> </w:t>
      </w:r>
      <w:r>
        <w:rPr/>
        <w:t>monétiques</w:t>
      </w:r>
      <w:r>
        <w:rPr>
          <w:spacing w:val="-9"/>
        </w:rPr>
        <w:t> </w:t>
      </w:r>
      <w:r>
        <w:rPr/>
        <w:t>et</w:t>
      </w:r>
      <w:r>
        <w:rPr>
          <w:spacing w:val="2"/>
        </w:rPr>
        <w:t> </w:t>
      </w:r>
      <w:r>
        <w:rPr/>
        <w:t>financiers postaux</w:t>
      </w:r>
      <w:r>
        <w:rPr>
          <w:spacing w:val="-10"/>
        </w:rPr>
        <w:t> </w:t>
      </w:r>
      <w:r>
        <w:rPr/>
        <w:t>d'Algérie</w:t>
      </w:r>
      <w:r>
        <w:rPr>
          <w:spacing w:val="-4"/>
        </w:rPr>
        <w:t> </w:t>
      </w:r>
      <w:r>
        <w:rPr/>
        <w:t>Poste.</w:t>
      </w:r>
      <w:r>
        <w:rPr>
          <w:spacing w:val="-7"/>
        </w:rPr>
        <w:t> </w:t>
      </w:r>
      <w:r>
        <w:rPr/>
        <w:t>L’objectif</w:t>
      </w:r>
      <w:r>
        <w:rPr>
          <w:spacing w:val="-13"/>
        </w:rPr>
        <w:t> </w:t>
      </w:r>
      <w:r>
        <w:rPr/>
        <w:t>de</w:t>
      </w:r>
      <w:r>
        <w:rPr>
          <w:spacing w:val="-6"/>
        </w:rPr>
        <w:t> </w:t>
      </w:r>
      <w:r>
        <w:rPr/>
        <w:t>cette</w:t>
      </w:r>
      <w:r>
        <w:rPr>
          <w:spacing w:val="-11"/>
        </w:rPr>
        <w:t> </w:t>
      </w:r>
      <w:r>
        <w:rPr/>
        <w:t>étude</w:t>
      </w:r>
      <w:r>
        <w:rPr>
          <w:spacing w:val="-11"/>
        </w:rPr>
        <w:t> </w:t>
      </w:r>
      <w:r>
        <w:rPr>
          <w:spacing w:val="-3"/>
        </w:rPr>
        <w:t>est</w:t>
      </w:r>
      <w:r>
        <w:rPr/>
        <w:t> d’identifier</w:t>
      </w:r>
      <w:r>
        <w:rPr>
          <w:spacing w:val="6"/>
        </w:rPr>
        <w:t> </w:t>
      </w:r>
      <w:r>
        <w:rPr>
          <w:spacing w:val="-4"/>
        </w:rPr>
        <w:t>les</w:t>
      </w:r>
      <w:r>
        <w:rPr>
          <w:spacing w:val="-7"/>
        </w:rPr>
        <w:t> </w:t>
      </w:r>
      <w:r>
        <w:rPr/>
        <w:t>avantages</w:t>
      </w:r>
      <w:r>
        <w:rPr>
          <w:spacing w:val="-7"/>
        </w:rPr>
        <w:t> </w:t>
      </w:r>
      <w:r>
        <w:rPr/>
        <w:t>et</w:t>
      </w:r>
      <w:r>
        <w:rPr>
          <w:spacing w:val="-3"/>
        </w:rPr>
        <w:t> les</w:t>
      </w:r>
      <w:r>
        <w:rPr>
          <w:spacing w:val="-2"/>
        </w:rPr>
        <w:t> </w:t>
      </w:r>
      <w:r>
        <w:rPr/>
        <w:t>inconvénients de cette application et proposer des solutions afin de l'améliorer pour répondre aux attentes des clients.</w:t>
      </w:r>
    </w:p>
    <w:p>
      <w:pPr>
        <w:pStyle w:val="Heading5"/>
        <w:spacing w:before="159"/>
        <w:ind w:left="1122" w:firstLine="0"/>
      </w:pPr>
      <w:r>
        <w:rPr/>
        <w:t>Démarche de travail :</w:t>
      </w:r>
    </w:p>
    <w:p>
      <w:pPr>
        <w:pStyle w:val="BodyText"/>
        <w:spacing w:before="9"/>
        <w:rPr>
          <w:b/>
        </w:rPr>
      </w:pPr>
    </w:p>
    <w:p>
      <w:pPr>
        <w:pStyle w:val="BodyText"/>
        <w:spacing w:line="362" w:lineRule="auto"/>
        <w:ind w:left="699" w:right="316" w:firstLine="360"/>
        <w:jc w:val="both"/>
      </w:pPr>
      <w:r>
        <w:rPr/>
        <w:t>Dans ce travail nous avons adopté une méthodologie descriptive pour le premier chapitre, et une méthodologie analytique pour le deuxième chapitre.</w:t>
      </w:r>
    </w:p>
    <w:p>
      <w:pPr>
        <w:pStyle w:val="BodyText"/>
        <w:spacing w:line="360" w:lineRule="auto" w:before="156"/>
        <w:ind w:left="699" w:right="316" w:firstLine="360"/>
        <w:jc w:val="both"/>
      </w:pPr>
      <w:r>
        <w:rPr/>
        <w:t>La démarche théorique est élaborée sur la base d’une revue bibliographique utilisant des ouvrages, articles et documents, mémoires, thèses et sites Web relatifs au paiement électronique etc.</w:t>
      </w:r>
    </w:p>
    <w:p>
      <w:pPr>
        <w:pStyle w:val="BodyText"/>
        <w:spacing w:line="362" w:lineRule="auto" w:before="160"/>
        <w:ind w:left="699" w:right="316" w:firstLine="360"/>
        <w:jc w:val="both"/>
      </w:pPr>
      <w:r>
        <w:rPr/>
        <w:t>La démarche pratique s’appuie sur un questionnaire élaboré par nous-même qui est mis à la disposition des utilisateurs de l'application BaridiMob, leurs réponses vas nous aider à confirmer ou infirmée nos hypothèses.</w:t>
      </w:r>
    </w:p>
    <w:p>
      <w:pPr>
        <w:pStyle w:val="Heading5"/>
        <w:spacing w:before="161"/>
        <w:ind w:left="1060" w:firstLine="0"/>
      </w:pPr>
      <w:r>
        <w:rPr/>
        <w:t>Plan de travail :</w:t>
      </w:r>
    </w:p>
    <w:p>
      <w:pPr>
        <w:pStyle w:val="BodyText"/>
        <w:spacing w:before="3"/>
        <w:rPr>
          <w:b/>
          <w:sz w:val="25"/>
        </w:rPr>
      </w:pPr>
    </w:p>
    <w:p>
      <w:pPr>
        <w:pStyle w:val="BodyText"/>
        <w:spacing w:line="360" w:lineRule="auto" w:before="1"/>
        <w:ind w:left="699" w:right="309" w:firstLine="360"/>
        <w:jc w:val="both"/>
      </w:pPr>
      <w:r>
        <w:rPr/>
        <w:t>Pour </w:t>
      </w:r>
      <w:r>
        <w:rPr>
          <w:spacing w:val="-3"/>
        </w:rPr>
        <w:t>mener </w:t>
      </w:r>
      <w:r>
        <w:rPr/>
        <w:t>à bien notre travail et </w:t>
      </w:r>
      <w:r>
        <w:rPr>
          <w:spacing w:val="-3"/>
        </w:rPr>
        <w:t>afin </w:t>
      </w:r>
      <w:r>
        <w:rPr/>
        <w:t>de répondre à </w:t>
      </w:r>
      <w:r>
        <w:rPr>
          <w:spacing w:val="-5"/>
        </w:rPr>
        <w:t>la </w:t>
      </w:r>
      <w:r>
        <w:rPr/>
        <w:t>problématique précédente, nous avons organisé</w:t>
      </w:r>
      <w:r>
        <w:rPr>
          <w:spacing w:val="-8"/>
        </w:rPr>
        <w:t> </w:t>
      </w:r>
      <w:r>
        <w:rPr/>
        <w:t>notre</w:t>
      </w:r>
      <w:r>
        <w:rPr>
          <w:spacing w:val="-13"/>
        </w:rPr>
        <w:t> </w:t>
      </w:r>
      <w:r>
        <w:rPr>
          <w:spacing w:val="-3"/>
        </w:rPr>
        <w:t>mémoire</w:t>
      </w:r>
      <w:r>
        <w:rPr>
          <w:spacing w:val="-12"/>
        </w:rPr>
        <w:t> </w:t>
      </w:r>
      <w:r>
        <w:rPr/>
        <w:t>en</w:t>
      </w:r>
      <w:r>
        <w:rPr>
          <w:spacing w:val="-15"/>
        </w:rPr>
        <w:t> </w:t>
      </w:r>
      <w:r>
        <w:rPr/>
        <w:t>un</w:t>
      </w:r>
      <w:r>
        <w:rPr>
          <w:spacing w:val="-15"/>
        </w:rPr>
        <w:t> </w:t>
      </w:r>
      <w:r>
        <w:rPr/>
        <w:t>chapitre</w:t>
      </w:r>
      <w:r>
        <w:rPr>
          <w:spacing w:val="-13"/>
        </w:rPr>
        <w:t> </w:t>
      </w:r>
      <w:r>
        <w:rPr/>
        <w:t>théorique</w:t>
      </w:r>
      <w:r>
        <w:rPr>
          <w:spacing w:val="-12"/>
        </w:rPr>
        <w:t> </w:t>
      </w:r>
      <w:r>
        <w:rPr/>
        <w:t>et</w:t>
      </w:r>
      <w:r>
        <w:rPr>
          <w:spacing w:val="-11"/>
        </w:rPr>
        <w:t> </w:t>
      </w:r>
      <w:r>
        <w:rPr/>
        <w:t>un</w:t>
      </w:r>
      <w:r>
        <w:rPr>
          <w:spacing w:val="-15"/>
        </w:rPr>
        <w:t> </w:t>
      </w:r>
      <w:r>
        <w:rPr/>
        <w:t>chapitre</w:t>
      </w:r>
      <w:r>
        <w:rPr>
          <w:spacing w:val="-5"/>
        </w:rPr>
        <w:t> </w:t>
      </w:r>
      <w:r>
        <w:rPr/>
        <w:t>pratique,</w:t>
      </w:r>
      <w:r>
        <w:rPr>
          <w:spacing w:val="-5"/>
        </w:rPr>
        <w:t> le</w:t>
      </w:r>
      <w:r>
        <w:rPr>
          <w:spacing w:val="-10"/>
        </w:rPr>
        <w:t> </w:t>
      </w:r>
      <w:r>
        <w:rPr/>
        <w:t>premier</w:t>
      </w:r>
      <w:r>
        <w:rPr>
          <w:spacing w:val="-10"/>
        </w:rPr>
        <w:t> </w:t>
      </w:r>
      <w:r>
        <w:rPr/>
        <w:t>chapitre</w:t>
      </w:r>
      <w:r>
        <w:rPr>
          <w:spacing w:val="-6"/>
        </w:rPr>
        <w:t> </w:t>
      </w:r>
      <w:r>
        <w:rPr/>
        <w:t>intitulé</w:t>
      </w:r>
    </w:p>
    <w:p>
      <w:pPr>
        <w:pStyle w:val="BodyText"/>
        <w:spacing w:line="362" w:lineRule="auto"/>
        <w:ind w:left="699" w:right="310"/>
        <w:jc w:val="both"/>
      </w:pPr>
      <w:r>
        <w:rPr/>
        <w:t>«</w:t>
      </w:r>
      <w:r>
        <w:rPr>
          <w:spacing w:val="-7"/>
        </w:rPr>
        <w:t> </w:t>
      </w:r>
      <w:r>
        <w:rPr/>
        <w:t>Les</w:t>
      </w:r>
      <w:r>
        <w:rPr>
          <w:spacing w:val="-8"/>
        </w:rPr>
        <w:t> </w:t>
      </w:r>
      <w:r>
        <w:rPr/>
        <w:t>solutions</w:t>
      </w:r>
      <w:r>
        <w:rPr>
          <w:spacing w:val="-8"/>
        </w:rPr>
        <w:t> </w:t>
      </w:r>
      <w:r>
        <w:rPr/>
        <w:t>de</w:t>
      </w:r>
      <w:r>
        <w:rPr>
          <w:spacing w:val="-7"/>
        </w:rPr>
        <w:t> </w:t>
      </w:r>
      <w:r>
        <w:rPr/>
        <w:t>paiements</w:t>
      </w:r>
      <w:r>
        <w:rPr>
          <w:spacing w:val="-9"/>
        </w:rPr>
        <w:t> </w:t>
      </w:r>
      <w:r>
        <w:rPr/>
        <w:t>digitaux</w:t>
      </w:r>
      <w:r>
        <w:rPr>
          <w:spacing w:val="-11"/>
        </w:rPr>
        <w:t> </w:t>
      </w:r>
      <w:r>
        <w:rPr/>
        <w:t>pour</w:t>
      </w:r>
      <w:r>
        <w:rPr>
          <w:spacing w:val="-9"/>
        </w:rPr>
        <w:t> </w:t>
      </w:r>
      <w:r>
        <w:rPr/>
        <w:t>évaluer</w:t>
      </w:r>
      <w:r>
        <w:rPr>
          <w:spacing w:val="-4"/>
        </w:rPr>
        <w:t> </w:t>
      </w:r>
      <w:r>
        <w:rPr>
          <w:spacing w:val="-3"/>
        </w:rPr>
        <w:t>la</w:t>
      </w:r>
      <w:r>
        <w:rPr>
          <w:spacing w:val="-7"/>
        </w:rPr>
        <w:t> </w:t>
      </w:r>
      <w:r>
        <w:rPr/>
        <w:t>satisfaction</w:t>
      </w:r>
      <w:r>
        <w:rPr>
          <w:spacing w:val="-11"/>
        </w:rPr>
        <w:t> </w:t>
      </w:r>
      <w:r>
        <w:rPr/>
        <w:t>client</w:t>
      </w:r>
      <w:r>
        <w:rPr>
          <w:spacing w:val="11"/>
        </w:rPr>
        <w:t> </w:t>
      </w:r>
      <w:r>
        <w:rPr/>
        <w:t>»</w:t>
      </w:r>
      <w:r>
        <w:rPr>
          <w:spacing w:val="-11"/>
        </w:rPr>
        <w:t> </w:t>
      </w:r>
      <w:r>
        <w:rPr/>
        <w:t>qui</w:t>
      </w:r>
      <w:r>
        <w:rPr>
          <w:spacing w:val="-15"/>
        </w:rPr>
        <w:t> </w:t>
      </w:r>
      <w:r>
        <w:rPr/>
        <w:t>aborde</w:t>
      </w:r>
      <w:r>
        <w:rPr>
          <w:spacing w:val="-7"/>
        </w:rPr>
        <w:t> </w:t>
      </w:r>
      <w:r>
        <w:rPr>
          <w:spacing w:val="-3"/>
        </w:rPr>
        <w:t>les</w:t>
      </w:r>
      <w:r>
        <w:rPr>
          <w:spacing w:val="-8"/>
        </w:rPr>
        <w:t> </w:t>
      </w:r>
      <w:r>
        <w:rPr/>
        <w:t>notions</w:t>
      </w:r>
      <w:r>
        <w:rPr>
          <w:spacing w:val="-8"/>
        </w:rPr>
        <w:t> </w:t>
      </w:r>
      <w:r>
        <w:rPr/>
        <w:t>de base sur </w:t>
      </w:r>
      <w:r>
        <w:rPr>
          <w:spacing w:val="-4"/>
        </w:rPr>
        <w:t>les </w:t>
      </w:r>
      <w:r>
        <w:rPr/>
        <w:t>paiements digitaux et </w:t>
      </w:r>
      <w:r>
        <w:rPr>
          <w:spacing w:val="-5"/>
        </w:rPr>
        <w:t>la </w:t>
      </w:r>
      <w:r>
        <w:rPr/>
        <w:t>satisfaction</w:t>
      </w:r>
      <w:r>
        <w:rPr>
          <w:spacing w:val="25"/>
        </w:rPr>
        <w:t> </w:t>
      </w:r>
      <w:r>
        <w:rPr/>
        <w:t>client.</w:t>
      </w:r>
    </w:p>
    <w:p>
      <w:pPr>
        <w:pStyle w:val="BodyText"/>
        <w:spacing w:line="360" w:lineRule="auto" w:before="153"/>
        <w:ind w:left="699" w:right="309" w:firstLine="360"/>
        <w:jc w:val="both"/>
      </w:pPr>
      <w:r>
        <w:rPr/>
        <w:t>Le</w:t>
      </w:r>
      <w:r>
        <w:rPr>
          <w:spacing w:val="-16"/>
        </w:rPr>
        <w:t> </w:t>
      </w:r>
      <w:r>
        <w:rPr/>
        <w:t>deuxième</w:t>
      </w:r>
      <w:r>
        <w:rPr>
          <w:spacing w:val="-16"/>
        </w:rPr>
        <w:t> </w:t>
      </w:r>
      <w:r>
        <w:rPr/>
        <w:t>chapitre</w:t>
      </w:r>
      <w:r>
        <w:rPr>
          <w:spacing w:val="-11"/>
        </w:rPr>
        <w:t> </w:t>
      </w:r>
      <w:r>
        <w:rPr/>
        <w:t>intitulé</w:t>
      </w:r>
      <w:r>
        <w:rPr>
          <w:spacing w:val="-14"/>
        </w:rPr>
        <w:t> </w:t>
      </w:r>
      <w:r>
        <w:rPr/>
        <w:t>«</w:t>
      </w:r>
      <w:r>
        <w:rPr>
          <w:spacing w:val="-18"/>
        </w:rPr>
        <w:t> </w:t>
      </w:r>
      <w:r>
        <w:rPr/>
        <w:t>Amélioration</w:t>
      </w:r>
      <w:r>
        <w:rPr>
          <w:spacing w:val="-18"/>
        </w:rPr>
        <w:t> </w:t>
      </w:r>
      <w:r>
        <w:rPr/>
        <w:t>de</w:t>
      </w:r>
      <w:r>
        <w:rPr>
          <w:spacing w:val="-16"/>
        </w:rPr>
        <w:t> </w:t>
      </w:r>
      <w:r>
        <w:rPr/>
        <w:t>BaridiMob</w:t>
      </w:r>
      <w:r>
        <w:rPr>
          <w:spacing w:val="-19"/>
        </w:rPr>
        <w:t> </w:t>
      </w:r>
      <w:r>
        <w:rPr/>
        <w:t>afin</w:t>
      </w:r>
      <w:r>
        <w:rPr>
          <w:spacing w:val="-18"/>
        </w:rPr>
        <w:t> </w:t>
      </w:r>
      <w:r>
        <w:rPr/>
        <w:t>d’optimiser</w:t>
      </w:r>
      <w:r>
        <w:rPr>
          <w:spacing w:val="-9"/>
        </w:rPr>
        <w:t> </w:t>
      </w:r>
      <w:r>
        <w:rPr/>
        <w:t>l’expérience</w:t>
      </w:r>
      <w:r>
        <w:rPr>
          <w:spacing w:val="-16"/>
        </w:rPr>
        <w:t> </w:t>
      </w:r>
      <w:r>
        <w:rPr/>
        <w:t>client chez d’Algérie poste </w:t>
      </w:r>
      <w:r>
        <w:rPr>
          <w:spacing w:val="-3"/>
        </w:rPr>
        <w:t>», </w:t>
      </w:r>
      <w:r>
        <w:rPr/>
        <w:t>dans ce dernier nous allons présenter l’établissements d’accueil et ces différents services et interpréter </w:t>
      </w:r>
      <w:r>
        <w:rPr>
          <w:spacing w:val="-4"/>
        </w:rPr>
        <w:t>les </w:t>
      </w:r>
      <w:r>
        <w:rPr/>
        <w:t>résultats du</w:t>
      </w:r>
      <w:r>
        <w:rPr>
          <w:spacing w:val="14"/>
        </w:rPr>
        <w:t> </w:t>
      </w:r>
      <w:r>
        <w:rPr/>
        <w:t>questionnaire.</w:t>
      </w:r>
    </w:p>
    <w:p>
      <w:pPr>
        <w:pStyle w:val="BodyText"/>
        <w:spacing w:line="362" w:lineRule="auto" w:before="160"/>
        <w:ind w:left="699" w:right="317" w:firstLine="360"/>
        <w:jc w:val="both"/>
      </w:pPr>
      <w:r>
        <w:rPr/>
        <w:t>Nous</w:t>
      </w:r>
      <w:r>
        <w:rPr>
          <w:spacing w:val="-11"/>
        </w:rPr>
        <w:t> </w:t>
      </w:r>
      <w:r>
        <w:rPr/>
        <w:t>terminerons</w:t>
      </w:r>
      <w:r>
        <w:rPr>
          <w:spacing w:val="-6"/>
        </w:rPr>
        <w:t> </w:t>
      </w:r>
      <w:r>
        <w:rPr/>
        <w:t>par</w:t>
      </w:r>
      <w:r>
        <w:rPr>
          <w:spacing w:val="-2"/>
        </w:rPr>
        <w:t> </w:t>
      </w:r>
      <w:r>
        <w:rPr/>
        <w:t>une</w:t>
      </w:r>
      <w:r>
        <w:rPr>
          <w:spacing w:val="-5"/>
        </w:rPr>
        <w:t> </w:t>
      </w:r>
      <w:r>
        <w:rPr/>
        <w:t>conclusion</w:t>
      </w:r>
      <w:r>
        <w:rPr>
          <w:spacing w:val="-9"/>
        </w:rPr>
        <w:t> </w:t>
      </w:r>
      <w:r>
        <w:rPr/>
        <w:t>générale</w:t>
      </w:r>
      <w:r>
        <w:rPr>
          <w:spacing w:val="-5"/>
        </w:rPr>
        <w:t> </w:t>
      </w:r>
      <w:r>
        <w:rPr/>
        <w:t>qui</w:t>
      </w:r>
      <w:r>
        <w:rPr>
          <w:spacing w:val="-4"/>
        </w:rPr>
        <w:t> </w:t>
      </w:r>
      <w:r>
        <w:rPr/>
        <w:t>fera </w:t>
      </w:r>
      <w:r>
        <w:rPr>
          <w:spacing w:val="-3"/>
        </w:rPr>
        <w:t>la</w:t>
      </w:r>
      <w:r>
        <w:rPr>
          <w:spacing w:val="-5"/>
        </w:rPr>
        <w:t> </w:t>
      </w:r>
      <w:r>
        <w:rPr/>
        <w:t>synthèse</w:t>
      </w:r>
      <w:r>
        <w:rPr>
          <w:spacing w:val="-5"/>
        </w:rPr>
        <w:t> </w:t>
      </w:r>
      <w:r>
        <w:rPr/>
        <w:t>de</w:t>
      </w:r>
      <w:r>
        <w:rPr>
          <w:spacing w:val="-4"/>
        </w:rPr>
        <w:t> </w:t>
      </w:r>
      <w:r>
        <w:rPr/>
        <w:t>notre</w:t>
      </w:r>
      <w:r>
        <w:rPr>
          <w:spacing w:val="-10"/>
        </w:rPr>
        <w:t> </w:t>
      </w:r>
      <w:r>
        <w:rPr/>
        <w:t>travail</w:t>
      </w:r>
      <w:r>
        <w:rPr>
          <w:spacing w:val="-3"/>
        </w:rPr>
        <w:t> </w:t>
      </w:r>
      <w:r>
        <w:rPr/>
        <w:t>théorique</w:t>
      </w:r>
      <w:r>
        <w:rPr>
          <w:spacing w:val="-5"/>
        </w:rPr>
        <w:t> </w:t>
      </w:r>
      <w:r>
        <w:rPr/>
        <w:t>et pratique.</w:t>
      </w:r>
    </w:p>
    <w:p>
      <w:pPr>
        <w:spacing w:after="0" w:line="362" w:lineRule="auto"/>
        <w:jc w:val="both"/>
        <w:sectPr>
          <w:pgSz w:w="12240" w:h="15840"/>
          <w:pgMar w:header="723" w:footer="850" w:top="1080" w:bottom="1040" w:left="1000" w:right="820"/>
        </w:sectPr>
      </w:pPr>
    </w:p>
    <w:p>
      <w:pPr>
        <w:pStyle w:val="BodyText"/>
        <w:spacing w:before="9"/>
        <w:rPr>
          <w:sz w:val="22"/>
        </w:rPr>
      </w:pPr>
    </w:p>
    <w:p>
      <w:pPr>
        <w:pStyle w:val="Heading2"/>
        <w:spacing w:line="360" w:lineRule="auto"/>
        <w:ind w:left="1098" w:right="238"/>
        <w:jc w:val="left"/>
      </w:pPr>
      <w:bookmarkStart w:name="CHAPITRE 1 : Les solutions de paiements " w:id="16"/>
      <w:bookmarkEnd w:id="16"/>
      <w:r>
        <w:rPr>
          <w:b w:val="0"/>
        </w:rPr>
      </w:r>
      <w:bookmarkStart w:name="_bookmark8" w:id="17"/>
      <w:bookmarkEnd w:id="17"/>
      <w:r>
        <w:rPr>
          <w:b w:val="0"/>
        </w:rPr>
      </w:r>
      <w:r>
        <w:rPr/>
        <w:t>CHAPITRE 1 : Les solutions de paiements digitaux pour évaluer la satisfaction client</w:t>
      </w:r>
    </w:p>
    <w:p>
      <w:pPr>
        <w:pStyle w:val="BodyText"/>
        <w:spacing w:line="362" w:lineRule="auto"/>
        <w:ind w:left="699" w:right="318" w:firstLine="360"/>
        <w:jc w:val="both"/>
      </w:pPr>
      <w:r>
        <w:rPr/>
        <w:t>Ce chapitre a pour objectif de poser </w:t>
      </w:r>
      <w:r>
        <w:rPr>
          <w:spacing w:val="-4"/>
        </w:rPr>
        <w:t>les </w:t>
      </w:r>
      <w:r>
        <w:rPr/>
        <w:t>fondations théoriques nécessaires à </w:t>
      </w:r>
      <w:r>
        <w:rPr>
          <w:spacing w:val="-5"/>
        </w:rPr>
        <w:t>la </w:t>
      </w:r>
      <w:r>
        <w:rPr/>
        <w:t>compréhension du lien entre </w:t>
      </w:r>
      <w:r>
        <w:rPr>
          <w:spacing w:val="-4"/>
        </w:rPr>
        <w:t>les </w:t>
      </w:r>
      <w:r>
        <w:rPr/>
        <w:t>solutions de paiement digital et </w:t>
      </w:r>
      <w:r>
        <w:rPr>
          <w:spacing w:val="-5"/>
        </w:rPr>
        <w:t>la </w:t>
      </w:r>
      <w:r>
        <w:rPr/>
        <w:t>satisfaction client. Il s'agit d’un cadre de référence essentiel pour situer </w:t>
      </w:r>
      <w:r>
        <w:rPr>
          <w:spacing w:val="-5"/>
        </w:rPr>
        <w:t>le </w:t>
      </w:r>
      <w:r>
        <w:rPr/>
        <w:t>cas de BaridiMob dans un contexte </w:t>
      </w:r>
      <w:r>
        <w:rPr>
          <w:spacing w:val="-3"/>
        </w:rPr>
        <w:t>plus </w:t>
      </w:r>
      <w:r>
        <w:rPr/>
        <w:t>large, et pour éclairer</w:t>
      </w:r>
      <w:r>
        <w:rPr>
          <w:spacing w:val="-42"/>
        </w:rPr>
        <w:t> </w:t>
      </w:r>
      <w:r>
        <w:rPr>
          <w:spacing w:val="-3"/>
        </w:rPr>
        <w:t>les </w:t>
      </w:r>
      <w:r>
        <w:rPr/>
        <w:t>variables clés qui seront analysées par </w:t>
      </w:r>
      <w:r>
        <w:rPr>
          <w:spacing w:val="-3"/>
        </w:rPr>
        <w:t>la</w:t>
      </w:r>
      <w:r>
        <w:rPr>
          <w:spacing w:val="2"/>
        </w:rPr>
        <w:t> </w:t>
      </w:r>
      <w:r>
        <w:rPr/>
        <w:t>suite.</w:t>
      </w:r>
    </w:p>
    <w:p>
      <w:pPr>
        <w:pStyle w:val="BodyText"/>
        <w:spacing w:line="360" w:lineRule="auto" w:before="146"/>
        <w:ind w:left="699" w:right="315" w:firstLine="360"/>
        <w:jc w:val="both"/>
      </w:pPr>
      <w:r>
        <w:rPr/>
        <w:t>Dans une première section, nous nous intéresserons aux paiements digitaux. Nous commencerons</w:t>
      </w:r>
      <w:r>
        <w:rPr>
          <w:spacing w:val="-8"/>
        </w:rPr>
        <w:t> </w:t>
      </w:r>
      <w:r>
        <w:rPr/>
        <w:t>par</w:t>
      </w:r>
      <w:r>
        <w:rPr>
          <w:spacing w:val="-5"/>
        </w:rPr>
        <w:t> </w:t>
      </w:r>
      <w:r>
        <w:rPr/>
        <w:t>en</w:t>
      </w:r>
      <w:r>
        <w:rPr>
          <w:spacing w:val="-10"/>
        </w:rPr>
        <w:t> </w:t>
      </w:r>
      <w:r>
        <w:rPr/>
        <w:t>donner</w:t>
      </w:r>
      <w:r>
        <w:rPr>
          <w:spacing w:val="-5"/>
        </w:rPr>
        <w:t> </w:t>
      </w:r>
      <w:r>
        <w:rPr/>
        <w:t>une</w:t>
      </w:r>
      <w:r>
        <w:rPr>
          <w:spacing w:val="-7"/>
        </w:rPr>
        <w:t> </w:t>
      </w:r>
      <w:r>
        <w:rPr/>
        <w:t>définition</w:t>
      </w:r>
      <w:r>
        <w:rPr>
          <w:spacing w:val="-11"/>
        </w:rPr>
        <w:t> </w:t>
      </w:r>
      <w:r>
        <w:rPr/>
        <w:t>claire,</w:t>
      </w:r>
      <w:r>
        <w:rPr>
          <w:spacing w:val="-4"/>
        </w:rPr>
        <w:t> </w:t>
      </w:r>
      <w:r>
        <w:rPr/>
        <w:t>puis</w:t>
      </w:r>
      <w:r>
        <w:rPr>
          <w:spacing w:val="-4"/>
        </w:rPr>
        <w:t> </w:t>
      </w:r>
      <w:r>
        <w:rPr/>
        <w:t>nous</w:t>
      </w:r>
      <w:r>
        <w:rPr>
          <w:spacing w:val="-8"/>
        </w:rPr>
        <w:t> </w:t>
      </w:r>
      <w:r>
        <w:rPr/>
        <w:t>retracerons</w:t>
      </w:r>
      <w:r>
        <w:rPr>
          <w:spacing w:val="-4"/>
        </w:rPr>
        <w:t> </w:t>
      </w:r>
      <w:r>
        <w:rPr/>
        <w:t>leur</w:t>
      </w:r>
      <w:r>
        <w:rPr>
          <w:spacing w:val="-4"/>
        </w:rPr>
        <w:t> </w:t>
      </w:r>
      <w:r>
        <w:rPr/>
        <w:t>évolution</w:t>
      </w:r>
      <w:r>
        <w:rPr>
          <w:spacing w:val="-6"/>
        </w:rPr>
        <w:t> </w:t>
      </w:r>
      <w:r>
        <w:rPr/>
        <w:t>à</w:t>
      </w:r>
      <w:r>
        <w:rPr>
          <w:spacing w:val="-3"/>
        </w:rPr>
        <w:t> </w:t>
      </w:r>
      <w:r>
        <w:rPr/>
        <w:t>l’échelle mondiale. Ensuite, nous examinerons </w:t>
      </w:r>
      <w:r>
        <w:rPr>
          <w:spacing w:val="-3"/>
        </w:rPr>
        <w:t>les </w:t>
      </w:r>
      <w:r>
        <w:rPr/>
        <w:t>avantages </w:t>
      </w:r>
      <w:r>
        <w:rPr>
          <w:spacing w:val="-3"/>
        </w:rPr>
        <w:t>qu’ils </w:t>
      </w:r>
      <w:r>
        <w:rPr/>
        <w:t>offrent en termes de rapidité, accessibilité</w:t>
      </w:r>
      <w:r>
        <w:rPr>
          <w:spacing w:val="-16"/>
        </w:rPr>
        <w:t> </w:t>
      </w:r>
      <w:r>
        <w:rPr/>
        <w:t>et</w:t>
      </w:r>
      <w:r>
        <w:rPr>
          <w:spacing w:val="-10"/>
        </w:rPr>
        <w:t> </w:t>
      </w:r>
      <w:r>
        <w:rPr/>
        <w:t>traçabilité,</w:t>
      </w:r>
      <w:r>
        <w:rPr>
          <w:spacing w:val="-13"/>
        </w:rPr>
        <w:t> </w:t>
      </w:r>
      <w:r>
        <w:rPr/>
        <w:t>tout</w:t>
      </w:r>
      <w:r>
        <w:rPr>
          <w:spacing w:val="-10"/>
        </w:rPr>
        <w:t> </w:t>
      </w:r>
      <w:r>
        <w:rPr/>
        <w:t>en</w:t>
      </w:r>
      <w:r>
        <w:rPr>
          <w:spacing w:val="-20"/>
        </w:rPr>
        <w:t> </w:t>
      </w:r>
      <w:r>
        <w:rPr/>
        <w:t>soulignant</w:t>
      </w:r>
      <w:r>
        <w:rPr>
          <w:spacing w:val="-6"/>
        </w:rPr>
        <w:t> </w:t>
      </w:r>
      <w:r>
        <w:rPr>
          <w:spacing w:val="-4"/>
        </w:rPr>
        <w:t>les</w:t>
      </w:r>
      <w:r>
        <w:rPr>
          <w:spacing w:val="-18"/>
        </w:rPr>
        <w:t> </w:t>
      </w:r>
      <w:r>
        <w:rPr/>
        <w:t>défis</w:t>
      </w:r>
      <w:r>
        <w:rPr>
          <w:spacing w:val="-18"/>
        </w:rPr>
        <w:t> </w:t>
      </w:r>
      <w:r>
        <w:rPr/>
        <w:t>associés,</w:t>
      </w:r>
      <w:r>
        <w:rPr>
          <w:spacing w:val="-5"/>
        </w:rPr>
        <w:t> </w:t>
      </w:r>
      <w:r>
        <w:rPr/>
        <w:t>tels</w:t>
      </w:r>
      <w:r>
        <w:rPr>
          <w:spacing w:val="-18"/>
        </w:rPr>
        <w:t> </w:t>
      </w:r>
      <w:r>
        <w:rPr/>
        <w:t>que</w:t>
      </w:r>
      <w:r>
        <w:rPr>
          <w:spacing w:val="-12"/>
        </w:rPr>
        <w:t> </w:t>
      </w:r>
      <w:r>
        <w:rPr/>
        <w:t>les</w:t>
      </w:r>
      <w:r>
        <w:rPr>
          <w:spacing w:val="-17"/>
        </w:rPr>
        <w:t> </w:t>
      </w:r>
      <w:r>
        <w:rPr/>
        <w:t>risques</w:t>
      </w:r>
      <w:r>
        <w:rPr>
          <w:spacing w:val="-18"/>
        </w:rPr>
        <w:t> </w:t>
      </w:r>
      <w:r>
        <w:rPr/>
        <w:t>de</w:t>
      </w:r>
      <w:r>
        <w:rPr>
          <w:spacing w:val="-16"/>
        </w:rPr>
        <w:t> </w:t>
      </w:r>
      <w:r>
        <w:rPr/>
        <w:t>cybersécurité, les problématiques de confidentialité et </w:t>
      </w:r>
      <w:r>
        <w:rPr>
          <w:spacing w:val="-3"/>
        </w:rPr>
        <w:t>les </w:t>
      </w:r>
      <w:r>
        <w:rPr/>
        <w:t>inégalités d’accès numérique. Nous terminerons cette section par une présentation du cadre légal et réglementaire algérien, qui encadre l’usage des moyens de paiement électroniques, en particulier les applications comme BaridiMob.</w:t>
      </w:r>
    </w:p>
    <w:p>
      <w:pPr>
        <w:pStyle w:val="BodyText"/>
        <w:spacing w:line="360" w:lineRule="auto" w:before="161"/>
        <w:ind w:left="699" w:right="318" w:firstLine="360"/>
        <w:jc w:val="both"/>
      </w:pPr>
      <w:r>
        <w:rPr/>
        <w:t>Dans une deuxième section, nous explorerons </w:t>
      </w:r>
      <w:r>
        <w:rPr>
          <w:spacing w:val="-5"/>
        </w:rPr>
        <w:t>la </w:t>
      </w:r>
      <w:r>
        <w:rPr/>
        <w:t>satisfaction client en tant que concept central pour les entreprises, en particulier dans </w:t>
      </w:r>
      <w:r>
        <w:rPr>
          <w:spacing w:val="-3"/>
        </w:rPr>
        <w:t>le </w:t>
      </w:r>
      <w:r>
        <w:rPr/>
        <w:t>secteur des services numériques. Nous aborderons sa définition, son importance stratégique dans </w:t>
      </w:r>
      <w:r>
        <w:rPr>
          <w:spacing w:val="-3"/>
        </w:rPr>
        <w:t>le </w:t>
      </w:r>
      <w:r>
        <w:rPr/>
        <w:t>maintien de </w:t>
      </w:r>
      <w:r>
        <w:rPr>
          <w:spacing w:val="-3"/>
        </w:rPr>
        <w:t>la </w:t>
      </w:r>
      <w:r>
        <w:rPr/>
        <w:t>fidélité et </w:t>
      </w:r>
      <w:r>
        <w:rPr>
          <w:spacing w:val="-5"/>
        </w:rPr>
        <w:t>la </w:t>
      </w:r>
      <w:r>
        <w:rPr/>
        <w:t>réputation d’une entreprise, ainsi que </w:t>
      </w:r>
      <w:r>
        <w:rPr>
          <w:spacing w:val="-4"/>
        </w:rPr>
        <w:t>les </w:t>
      </w:r>
      <w:r>
        <w:rPr/>
        <w:t>dimensions clés qui </w:t>
      </w:r>
      <w:r>
        <w:rPr>
          <w:spacing w:val="-3"/>
        </w:rPr>
        <w:t>la </w:t>
      </w:r>
      <w:r>
        <w:rPr/>
        <w:t>composent (qualité de service, sécurité perçue, confiance, expérience utilisateur, etc.). Nous décrirons également </w:t>
      </w:r>
      <w:r>
        <w:rPr>
          <w:spacing w:val="-4"/>
        </w:rPr>
        <w:t>les </w:t>
      </w:r>
      <w:r>
        <w:rPr/>
        <w:t>méthodes de mesure </w:t>
      </w:r>
      <w:r>
        <w:rPr>
          <w:spacing w:val="-3"/>
        </w:rPr>
        <w:t>les </w:t>
      </w:r>
      <w:r>
        <w:rPr/>
        <w:t>plus courantes, qu’elles soient qualitatives ou quantitatives, avec un focus sur les enquêtes et </w:t>
      </w:r>
      <w:r>
        <w:rPr>
          <w:spacing w:val="-4"/>
        </w:rPr>
        <w:t>les</w:t>
      </w:r>
      <w:r>
        <w:rPr>
          <w:spacing w:val="52"/>
        </w:rPr>
        <w:t> </w:t>
      </w:r>
      <w:r>
        <w:rPr/>
        <w:t>indicateurs d’évaluation utilisés dans les études empiriques.</w:t>
      </w:r>
    </w:p>
    <w:p>
      <w:pPr>
        <w:pStyle w:val="BodyText"/>
        <w:spacing w:line="362" w:lineRule="auto" w:before="160"/>
        <w:ind w:left="699" w:right="318" w:firstLine="360"/>
        <w:jc w:val="both"/>
      </w:pPr>
      <w:r>
        <w:rPr/>
        <w:t>Ce cadre théorique vise ainsi à mieux comprendre les éléments qui influencent l’expérience utilisateur dans un environnement de paiement digital, et servira de base à l’analyse spécifique du cas BaridiMob, présentée dans le chapitre suivant.</w:t>
      </w:r>
    </w:p>
    <w:p>
      <w:pPr>
        <w:spacing w:after="0" w:line="362" w:lineRule="auto"/>
        <w:jc w:val="both"/>
        <w:sectPr>
          <w:headerReference w:type="even" r:id="rId22"/>
          <w:headerReference w:type="default" r:id="rId23"/>
          <w:footerReference w:type="even" r:id="rId24"/>
          <w:footerReference w:type="default" r:id="rId25"/>
          <w:pgSz w:w="12240" w:h="15840"/>
          <w:pgMar w:header="723" w:footer="850" w:top="1080" w:bottom="1040" w:left="1000" w:right="820"/>
          <w:pgNumType w:start="4"/>
        </w:sectPr>
      </w:pPr>
    </w:p>
    <w:p>
      <w:pPr>
        <w:pStyle w:val="BodyText"/>
        <w:spacing w:before="5"/>
        <w:rPr>
          <w:sz w:val="29"/>
        </w:rPr>
      </w:pPr>
    </w:p>
    <w:p>
      <w:pPr>
        <w:pStyle w:val="Heading3"/>
        <w:ind w:left="1266"/>
        <w:jc w:val="both"/>
      </w:pPr>
      <w:bookmarkStart w:name="Section 01 : Concepts fondamentaux sur l" w:id="18"/>
      <w:bookmarkEnd w:id="18"/>
      <w:r>
        <w:rPr>
          <w:b w:val="0"/>
        </w:rPr>
      </w:r>
      <w:bookmarkStart w:name="_bookmark9" w:id="19"/>
      <w:bookmarkEnd w:id="19"/>
      <w:r>
        <w:rPr>
          <w:b w:val="0"/>
        </w:rPr>
      </w:r>
      <w:r>
        <w:rPr/>
        <w:t>Section 01 : Concepts fondamentaux sur le paiement digital</w:t>
      </w:r>
    </w:p>
    <w:p>
      <w:pPr>
        <w:pStyle w:val="BodyText"/>
        <w:spacing w:line="360" w:lineRule="auto" w:before="162"/>
        <w:ind w:left="699" w:right="317" w:firstLine="360"/>
        <w:jc w:val="both"/>
      </w:pPr>
      <w:r>
        <w:rPr/>
        <w:t>Dans cette section, nous définissons ce que sont les paiements, puis retraçons l’évolution des technologies de paiement digital. Nous expliquons aussi la différence entre le paiement digital et le paiement électronique. Nous évoquons ensuite les avantages et les défis que présentent ces moyens de paiement pour les utilisateurs, les entreprises et les institutions financières, notamment en matière de cybersécurité et d’inclusion financière. Enfin, nous présentons le cadre légal et la situation du paiement digital en Algérie.</w:t>
      </w:r>
    </w:p>
    <w:p>
      <w:pPr>
        <w:pStyle w:val="Heading5"/>
        <w:numPr>
          <w:ilvl w:val="0"/>
          <w:numId w:val="7"/>
        </w:numPr>
        <w:tabs>
          <w:tab w:pos="1315" w:val="left" w:leader="none"/>
        </w:tabs>
        <w:spacing w:line="240" w:lineRule="auto" w:before="162" w:after="0"/>
        <w:ind w:left="1314" w:right="0" w:hanging="433"/>
        <w:jc w:val="both"/>
      </w:pPr>
      <w:bookmarkStart w:name="1. Définition et évolution des paiements" w:id="20"/>
      <w:bookmarkEnd w:id="20"/>
      <w:r>
        <w:rPr>
          <w:b w:val="0"/>
        </w:rPr>
      </w:r>
      <w:bookmarkStart w:name="1. Définition et évolution des paiements" w:id="21"/>
      <w:bookmarkEnd w:id="21"/>
      <w:r>
        <w:rPr/>
        <w:t>D</w:t>
      </w:r>
      <w:r>
        <w:rPr/>
        <w:t>éfinition et évolution des paiements</w:t>
      </w:r>
      <w:r>
        <w:rPr>
          <w:spacing w:val="2"/>
        </w:rPr>
        <w:t> </w:t>
      </w:r>
      <w:r>
        <w:rPr/>
        <w:t>digitaux</w:t>
      </w:r>
    </w:p>
    <w:p>
      <w:pPr>
        <w:pStyle w:val="BodyText"/>
        <w:spacing w:before="3"/>
        <w:rPr>
          <w:b/>
          <w:sz w:val="22"/>
        </w:rPr>
      </w:pPr>
    </w:p>
    <w:p>
      <w:pPr>
        <w:pStyle w:val="BodyText"/>
        <w:spacing w:line="367" w:lineRule="auto" w:before="1"/>
        <w:ind w:left="699" w:right="329" w:firstLine="360"/>
        <w:jc w:val="both"/>
      </w:pPr>
      <w:r>
        <w:rPr/>
        <w:t>Pour comprendre l'essor des paiements digitaux, il est essentiel de revenir sur la notion même de paiement.</w:t>
      </w:r>
    </w:p>
    <w:p>
      <w:pPr>
        <w:pStyle w:val="BodyText"/>
        <w:spacing w:before="9"/>
        <w:rPr>
          <w:sz w:val="23"/>
        </w:rPr>
      </w:pPr>
    </w:p>
    <w:p>
      <w:pPr>
        <w:pStyle w:val="Heading5"/>
        <w:numPr>
          <w:ilvl w:val="1"/>
          <w:numId w:val="7"/>
        </w:numPr>
        <w:tabs>
          <w:tab w:pos="1838" w:val="left" w:leader="none"/>
        </w:tabs>
        <w:spacing w:line="240" w:lineRule="auto" w:before="1" w:after="0"/>
        <w:ind w:left="1837" w:right="0" w:hanging="361"/>
        <w:jc w:val="left"/>
      </w:pPr>
      <w:bookmarkStart w:name="1.1 Définition des paiements." w:id="22"/>
      <w:bookmarkEnd w:id="22"/>
      <w:r>
        <w:rPr>
          <w:b w:val="0"/>
        </w:rPr>
      </w:r>
      <w:bookmarkStart w:name="1.1 Définition des paiements." w:id="23"/>
      <w:bookmarkEnd w:id="23"/>
      <w:r>
        <w:rPr/>
        <w:t>D</w:t>
      </w:r>
      <w:r>
        <w:rPr/>
        <w:t>éfinition des</w:t>
      </w:r>
      <w:r>
        <w:rPr>
          <w:spacing w:val="2"/>
        </w:rPr>
        <w:t> </w:t>
      </w:r>
      <w:r>
        <w:rPr/>
        <w:t>paiements.</w:t>
      </w:r>
    </w:p>
    <w:p>
      <w:pPr>
        <w:pStyle w:val="BodyText"/>
        <w:spacing w:before="6"/>
        <w:rPr>
          <w:b/>
          <w:sz w:val="23"/>
        </w:rPr>
      </w:pPr>
    </w:p>
    <w:p>
      <w:pPr>
        <w:pStyle w:val="BodyText"/>
        <w:spacing w:line="362" w:lineRule="auto"/>
        <w:ind w:left="699" w:right="238" w:firstLine="360"/>
      </w:pPr>
      <w:r>
        <w:rPr/>
        <w:t>Le paiement en général est l’action de payer. Ce concept consiste à verser une somme d’argent due en échange d’un bien ou d’un service.</w:t>
      </w:r>
    </w:p>
    <w:p>
      <w:pPr>
        <w:pStyle w:val="BodyText"/>
        <w:spacing w:line="350" w:lineRule="auto" w:before="156"/>
        <w:ind w:left="699" w:right="238" w:firstLine="360"/>
        <w:rPr>
          <w:sz w:val="16"/>
        </w:rPr>
      </w:pPr>
      <w:r>
        <w:rPr/>
        <w:t>Selon Serge Guinchard, « Le paiement est l’acte par lequel une personne exécute une obligation, le plus souvent en versant une somme d’argent. »</w:t>
      </w:r>
      <w:r>
        <w:rPr>
          <w:position w:val="9"/>
          <w:sz w:val="16"/>
        </w:rPr>
        <w:t>1</w:t>
      </w:r>
    </w:p>
    <w:p>
      <w:pPr>
        <w:pStyle w:val="Heading5"/>
        <w:numPr>
          <w:ilvl w:val="1"/>
          <w:numId w:val="7"/>
        </w:numPr>
        <w:tabs>
          <w:tab w:pos="1781" w:val="left" w:leader="none"/>
        </w:tabs>
        <w:spacing w:line="240" w:lineRule="auto" w:before="173" w:after="0"/>
        <w:ind w:left="1780" w:right="0" w:hanging="361"/>
        <w:jc w:val="left"/>
      </w:pPr>
      <w:bookmarkStart w:name="1.2 Historique et évolution des technolo" w:id="24"/>
      <w:bookmarkEnd w:id="24"/>
      <w:r>
        <w:rPr>
          <w:b w:val="0"/>
        </w:rPr>
      </w:r>
      <w:bookmarkStart w:name="1.2 Historique et évolution des technolo" w:id="25"/>
      <w:bookmarkEnd w:id="25"/>
      <w:r>
        <w:rPr/>
        <w:t>Hi</w:t>
      </w:r>
      <w:r>
        <w:rPr/>
        <w:t>storique et évolution des technologies de</w:t>
      </w:r>
      <w:r>
        <w:rPr>
          <w:spacing w:val="3"/>
        </w:rPr>
        <w:t> </w:t>
      </w:r>
      <w:r>
        <w:rPr/>
        <w:t>paiement</w:t>
      </w:r>
    </w:p>
    <w:p>
      <w:pPr>
        <w:pStyle w:val="BodyText"/>
        <w:spacing w:line="357" w:lineRule="auto" w:before="233"/>
        <w:ind w:left="699" w:right="317" w:firstLine="360"/>
        <w:jc w:val="both"/>
        <w:rPr>
          <w:sz w:val="16"/>
        </w:rPr>
      </w:pPr>
      <w:r>
        <w:rPr/>
        <w:t>Depuis le début des temps, les gens échangent leurs biens et services selon une base d’unités monétaires physiques ou immatérielles, lesquelles ont progressé durant des années. Avant l’apparence de la monnaie métallique, les échanges étaient réalisés en utilisant le troc, des coquillages, des pierres et des fèves de cacao comme outils d’échange. Par la suite, au bout des siècles et des évolutions technologiques, les solutions de paiement se sont transformées, passant d’une monnaie palpable à des alternatives numériques.</w:t>
      </w:r>
      <w:r>
        <w:rPr>
          <w:position w:val="9"/>
          <w:sz w:val="16"/>
        </w:rPr>
        <w:t>2</w:t>
      </w:r>
    </w:p>
    <w:p>
      <w:pPr>
        <w:pStyle w:val="BodyText"/>
        <w:spacing w:line="362" w:lineRule="auto" w:before="163"/>
        <w:ind w:left="699" w:right="305" w:firstLine="360"/>
        <w:jc w:val="both"/>
      </w:pPr>
      <w:r>
        <w:rPr>
          <w:spacing w:val="-3"/>
        </w:rPr>
        <w:t>Au </w:t>
      </w:r>
      <w:r>
        <w:rPr/>
        <w:t>début, d’après Hérodote, </w:t>
      </w:r>
      <w:r>
        <w:rPr>
          <w:spacing w:val="-3"/>
        </w:rPr>
        <w:t>les </w:t>
      </w:r>
      <w:r>
        <w:rPr/>
        <w:t>premières pièces de monnaies en or et en argent sont</w:t>
      </w:r>
      <w:r>
        <w:rPr>
          <w:spacing w:val="-39"/>
        </w:rPr>
        <w:t> </w:t>
      </w:r>
      <w:r>
        <w:rPr/>
        <w:t>apparues chez </w:t>
      </w:r>
      <w:r>
        <w:rPr>
          <w:spacing w:val="-4"/>
        </w:rPr>
        <w:t>les </w:t>
      </w:r>
      <w:r>
        <w:rPr/>
        <w:t>Lydiens, une communauté originale de </w:t>
      </w:r>
      <w:r>
        <w:rPr>
          <w:spacing w:val="-5"/>
        </w:rPr>
        <w:t>la </w:t>
      </w:r>
      <w:r>
        <w:rPr/>
        <w:t>Turquie actuelle, au </w:t>
      </w:r>
      <w:r>
        <w:rPr>
          <w:spacing w:val="3"/>
        </w:rPr>
        <w:t>VIIe </w:t>
      </w:r>
      <w:r>
        <w:rPr/>
        <w:t>siècle avant J.C. Le roi</w:t>
      </w:r>
      <w:r>
        <w:rPr>
          <w:spacing w:val="15"/>
        </w:rPr>
        <w:t> </w:t>
      </w:r>
      <w:r>
        <w:rPr/>
        <w:t>Crésus,</w:t>
      </w:r>
      <w:r>
        <w:rPr>
          <w:spacing w:val="26"/>
        </w:rPr>
        <w:t> </w:t>
      </w:r>
      <w:r>
        <w:rPr/>
        <w:t>qui</w:t>
      </w:r>
      <w:r>
        <w:rPr>
          <w:spacing w:val="15"/>
        </w:rPr>
        <w:t> </w:t>
      </w:r>
      <w:r>
        <w:rPr/>
        <w:t>a</w:t>
      </w:r>
      <w:r>
        <w:rPr>
          <w:spacing w:val="23"/>
        </w:rPr>
        <w:t> </w:t>
      </w:r>
      <w:r>
        <w:rPr/>
        <w:t>gouverné</w:t>
      </w:r>
      <w:r>
        <w:rPr>
          <w:spacing w:val="23"/>
        </w:rPr>
        <w:t> </w:t>
      </w:r>
      <w:r>
        <w:rPr/>
        <w:t>de</w:t>
      </w:r>
      <w:r>
        <w:rPr>
          <w:spacing w:val="24"/>
        </w:rPr>
        <w:t> </w:t>
      </w:r>
      <w:r>
        <w:rPr/>
        <w:t>561</w:t>
      </w:r>
      <w:r>
        <w:rPr>
          <w:spacing w:val="24"/>
        </w:rPr>
        <w:t> </w:t>
      </w:r>
      <w:r>
        <w:rPr/>
        <w:t>à</w:t>
      </w:r>
      <w:r>
        <w:rPr>
          <w:spacing w:val="23"/>
        </w:rPr>
        <w:t> </w:t>
      </w:r>
      <w:r>
        <w:rPr/>
        <w:t>546</w:t>
      </w:r>
      <w:r>
        <w:rPr>
          <w:spacing w:val="24"/>
        </w:rPr>
        <w:t> </w:t>
      </w:r>
      <w:r>
        <w:rPr/>
        <w:t>avant</w:t>
      </w:r>
      <w:r>
        <w:rPr>
          <w:spacing w:val="29"/>
        </w:rPr>
        <w:t> </w:t>
      </w:r>
      <w:r>
        <w:rPr/>
        <w:t>J.-C.,</w:t>
      </w:r>
      <w:r>
        <w:rPr>
          <w:spacing w:val="26"/>
        </w:rPr>
        <w:t> </w:t>
      </w:r>
      <w:r>
        <w:rPr/>
        <w:t>a</w:t>
      </w:r>
      <w:r>
        <w:rPr>
          <w:spacing w:val="18"/>
        </w:rPr>
        <w:t> </w:t>
      </w:r>
      <w:r>
        <w:rPr/>
        <w:t>notamment</w:t>
      </w:r>
      <w:r>
        <w:rPr>
          <w:spacing w:val="29"/>
        </w:rPr>
        <w:t> </w:t>
      </w:r>
      <w:r>
        <w:rPr/>
        <w:t>encouragé</w:t>
      </w:r>
      <w:r>
        <w:rPr>
          <w:spacing w:val="28"/>
        </w:rPr>
        <w:t> </w:t>
      </w:r>
      <w:r>
        <w:rPr/>
        <w:t>l’utilisation</w:t>
      </w:r>
      <w:r>
        <w:rPr>
          <w:spacing w:val="19"/>
        </w:rPr>
        <w:t> </w:t>
      </w:r>
      <w:r>
        <w:rPr/>
        <w:t>de</w:t>
      </w:r>
      <w:r>
        <w:rPr>
          <w:spacing w:val="28"/>
        </w:rPr>
        <w:t> </w:t>
      </w:r>
      <w:r>
        <w:rPr>
          <w:spacing w:val="-5"/>
        </w:rPr>
        <w:t>la</w:t>
      </w:r>
    </w:p>
    <w:p>
      <w:pPr>
        <w:pStyle w:val="BodyText"/>
        <w:spacing w:before="4"/>
        <w:rPr>
          <w:sz w:val="28"/>
        </w:rPr>
      </w:pPr>
      <w:r>
        <w:rPr/>
        <w:pict>
          <v:shape style="position:absolute;margin-left:84.984001pt;margin-top:18.674232pt;width:144.1pt;height:.1pt;mso-position-horizontal-relative:page;mso-position-vertical-relative:paragraph;z-index:-251645952;mso-wrap-distance-left:0;mso-wrap-distance-right:0" coordorigin="1700,373" coordsize="2882,0" path="m1700,373l4581,373e" filled="false" stroked="true" strokeweight=".72003pt" strokecolor="#000000">
            <v:path arrowok="t"/>
            <v:stroke dashstyle="solid"/>
            <w10:wrap type="topAndBottom"/>
          </v:shape>
        </w:pict>
      </w:r>
    </w:p>
    <w:p>
      <w:pPr>
        <w:spacing w:line="247" w:lineRule="auto" w:before="62"/>
        <w:ind w:left="699" w:right="1953" w:firstLine="0"/>
        <w:jc w:val="left"/>
        <w:rPr>
          <w:i/>
          <w:sz w:val="20"/>
        </w:rPr>
      </w:pPr>
      <w:r>
        <w:rPr>
          <w:i/>
          <w:position w:val="7"/>
          <w:sz w:val="13"/>
        </w:rPr>
        <w:t>1</w:t>
      </w:r>
      <w:r>
        <w:rPr>
          <w:i/>
          <w:sz w:val="20"/>
        </w:rPr>
        <w:t>Serge Guinchard, Introduction générale au droit, 16e édition, Dalloz, Paris, 29 août 2024,. </w:t>
      </w:r>
      <w:r>
        <w:rPr>
          <w:i/>
          <w:position w:val="7"/>
          <w:sz w:val="13"/>
        </w:rPr>
        <w:t>2</w:t>
      </w:r>
      <w:r>
        <w:rPr>
          <w:i/>
          <w:sz w:val="20"/>
        </w:rPr>
        <w:t>BNP Paribas, L’histoire des paiements en 18 dates, Histoire BNP Paribas, BNP Paribas, Paris, </w:t>
      </w:r>
      <w:hyperlink r:id="rId26">
        <w:r>
          <w:rPr>
            <w:i/>
            <w:color w:val="0462C1"/>
            <w:sz w:val="20"/>
          </w:rPr>
          <w:t>https://histoire.bnpparibas/lhistoire-des-paiements-en-18-dates </w:t>
        </w:r>
      </w:hyperlink>
      <w:r>
        <w:rPr>
          <w:i/>
          <w:sz w:val="20"/>
        </w:rPr>
        <w:t>, [consulté le 2 mai 2025 à 20h]</w:t>
      </w:r>
    </w:p>
    <w:p>
      <w:pPr>
        <w:spacing w:after="0" w:line="247" w:lineRule="auto"/>
        <w:jc w:val="left"/>
        <w:rPr>
          <w:sz w:val="20"/>
        </w:rPr>
        <w:sectPr>
          <w:pgSz w:w="12240" w:h="15840"/>
          <w:pgMar w:header="723" w:footer="850" w:top="1080" w:bottom="1040" w:left="1000" w:right="820"/>
        </w:sectPr>
      </w:pPr>
    </w:p>
    <w:p>
      <w:pPr>
        <w:pStyle w:val="BodyText"/>
        <w:rPr>
          <w:i/>
          <w:sz w:val="22"/>
        </w:rPr>
      </w:pPr>
    </w:p>
    <w:p>
      <w:pPr>
        <w:pStyle w:val="BodyText"/>
        <w:spacing w:line="362" w:lineRule="auto" w:before="90"/>
        <w:ind w:left="699" w:right="321"/>
        <w:jc w:val="both"/>
      </w:pPr>
      <w:r>
        <w:rPr/>
        <w:t>monnaie pour rémunérer ses mercenaires. Les pièces composées d’un mélange d’or </w:t>
      </w:r>
      <w:r>
        <w:rPr>
          <w:spacing w:val="-3"/>
        </w:rPr>
        <w:t>et </w:t>
      </w:r>
      <w:r>
        <w:rPr/>
        <w:t>d’argent, étaient</w:t>
      </w:r>
      <w:r>
        <w:rPr>
          <w:spacing w:val="-5"/>
        </w:rPr>
        <w:t> </w:t>
      </w:r>
      <w:r>
        <w:rPr/>
        <w:t>décorées</w:t>
      </w:r>
      <w:r>
        <w:rPr>
          <w:spacing w:val="-12"/>
        </w:rPr>
        <w:t> </w:t>
      </w:r>
      <w:r>
        <w:rPr/>
        <w:t>avec</w:t>
      </w:r>
      <w:r>
        <w:rPr>
          <w:spacing w:val="-10"/>
        </w:rPr>
        <w:t> </w:t>
      </w:r>
      <w:r>
        <w:rPr/>
        <w:t>un</w:t>
      </w:r>
      <w:r>
        <w:rPr>
          <w:spacing w:val="-10"/>
        </w:rPr>
        <w:t> </w:t>
      </w:r>
      <w:r>
        <w:rPr/>
        <w:t>lion</w:t>
      </w:r>
      <w:r>
        <w:rPr>
          <w:spacing w:val="-13"/>
        </w:rPr>
        <w:t> </w:t>
      </w:r>
      <w:r>
        <w:rPr/>
        <w:t>et</w:t>
      </w:r>
      <w:r>
        <w:rPr>
          <w:spacing w:val="-5"/>
        </w:rPr>
        <w:t> </w:t>
      </w:r>
      <w:r>
        <w:rPr/>
        <w:t>un</w:t>
      </w:r>
      <w:r>
        <w:rPr>
          <w:spacing w:val="-18"/>
        </w:rPr>
        <w:t> </w:t>
      </w:r>
      <w:r>
        <w:rPr/>
        <w:t>taureau.</w:t>
      </w:r>
      <w:r>
        <w:rPr>
          <w:spacing w:val="-12"/>
        </w:rPr>
        <w:t> </w:t>
      </w:r>
      <w:r>
        <w:rPr>
          <w:spacing w:val="3"/>
        </w:rPr>
        <w:t>En</w:t>
      </w:r>
      <w:r>
        <w:rPr>
          <w:spacing w:val="-13"/>
        </w:rPr>
        <w:t> </w:t>
      </w:r>
      <w:r>
        <w:rPr/>
        <w:t>1360,</w:t>
      </w:r>
      <w:r>
        <w:rPr>
          <w:spacing w:val="-8"/>
        </w:rPr>
        <w:t> </w:t>
      </w:r>
      <w:r>
        <w:rPr>
          <w:spacing w:val="-5"/>
        </w:rPr>
        <w:t>le</w:t>
      </w:r>
      <w:r>
        <w:rPr>
          <w:spacing w:val="-11"/>
        </w:rPr>
        <w:t> </w:t>
      </w:r>
      <w:r>
        <w:rPr/>
        <w:t>roi</w:t>
      </w:r>
      <w:r>
        <w:rPr>
          <w:spacing w:val="-13"/>
        </w:rPr>
        <w:t> </w:t>
      </w:r>
      <w:r>
        <w:rPr/>
        <w:t>français</w:t>
      </w:r>
      <w:r>
        <w:rPr>
          <w:spacing w:val="-12"/>
        </w:rPr>
        <w:t> </w:t>
      </w:r>
      <w:r>
        <w:rPr/>
        <w:t>Jean</w:t>
      </w:r>
      <w:r>
        <w:rPr>
          <w:spacing w:val="-13"/>
        </w:rPr>
        <w:t> </w:t>
      </w:r>
      <w:r>
        <w:rPr/>
        <w:t>II</w:t>
      </w:r>
      <w:r>
        <w:rPr>
          <w:spacing w:val="-8"/>
        </w:rPr>
        <w:t> </w:t>
      </w:r>
      <w:r>
        <w:rPr>
          <w:spacing w:val="-5"/>
        </w:rPr>
        <w:t>le</w:t>
      </w:r>
      <w:r>
        <w:rPr>
          <w:spacing w:val="-10"/>
        </w:rPr>
        <w:t> </w:t>
      </w:r>
      <w:r>
        <w:rPr/>
        <w:t>Bon</w:t>
      </w:r>
      <w:r>
        <w:rPr>
          <w:spacing w:val="-14"/>
        </w:rPr>
        <w:t> </w:t>
      </w:r>
      <w:r>
        <w:rPr/>
        <w:t>a</w:t>
      </w:r>
      <w:r>
        <w:rPr>
          <w:spacing w:val="-10"/>
        </w:rPr>
        <w:t> </w:t>
      </w:r>
      <w:r>
        <w:rPr/>
        <w:t>créé</w:t>
      </w:r>
      <w:r>
        <w:rPr>
          <w:spacing w:val="-11"/>
        </w:rPr>
        <w:t> </w:t>
      </w:r>
      <w:r>
        <w:rPr>
          <w:spacing w:val="-5"/>
        </w:rPr>
        <w:t>la</w:t>
      </w:r>
      <w:r>
        <w:rPr>
          <w:spacing w:val="-11"/>
        </w:rPr>
        <w:t> </w:t>
      </w:r>
      <w:r>
        <w:rPr/>
        <w:t>première pièce de monnaie appelée franc en</w:t>
      </w:r>
      <w:r>
        <w:rPr>
          <w:spacing w:val="10"/>
        </w:rPr>
        <w:t> </w:t>
      </w:r>
      <w:r>
        <w:rPr/>
        <w:t>or.</w:t>
      </w:r>
    </w:p>
    <w:p>
      <w:pPr>
        <w:pStyle w:val="BodyText"/>
        <w:spacing w:line="362" w:lineRule="auto" w:before="152"/>
        <w:ind w:left="699" w:right="310" w:firstLine="360"/>
        <w:jc w:val="both"/>
      </w:pPr>
      <w:r>
        <w:rPr/>
        <w:t>Le</w:t>
      </w:r>
      <w:r>
        <w:rPr>
          <w:spacing w:val="-8"/>
        </w:rPr>
        <w:t> </w:t>
      </w:r>
      <w:r>
        <w:rPr/>
        <w:t>concept</w:t>
      </w:r>
      <w:r>
        <w:rPr>
          <w:spacing w:val="-6"/>
        </w:rPr>
        <w:t> </w:t>
      </w:r>
      <w:r>
        <w:rPr/>
        <w:t>des</w:t>
      </w:r>
      <w:r>
        <w:rPr>
          <w:spacing w:val="-8"/>
        </w:rPr>
        <w:t> </w:t>
      </w:r>
      <w:r>
        <w:rPr/>
        <w:t>billets</w:t>
      </w:r>
      <w:r>
        <w:rPr>
          <w:spacing w:val="-9"/>
        </w:rPr>
        <w:t> </w:t>
      </w:r>
      <w:r>
        <w:rPr/>
        <w:t>a</w:t>
      </w:r>
      <w:r>
        <w:rPr>
          <w:spacing w:val="-12"/>
        </w:rPr>
        <w:t> </w:t>
      </w:r>
      <w:r>
        <w:rPr/>
        <w:t>été</w:t>
      </w:r>
      <w:r>
        <w:rPr>
          <w:spacing w:val="-8"/>
        </w:rPr>
        <w:t> </w:t>
      </w:r>
      <w:r>
        <w:rPr/>
        <w:t>découvert</w:t>
      </w:r>
      <w:r>
        <w:rPr>
          <w:spacing w:val="-6"/>
        </w:rPr>
        <w:t> </w:t>
      </w:r>
      <w:r>
        <w:rPr/>
        <w:t>en</w:t>
      </w:r>
      <w:r>
        <w:rPr>
          <w:spacing w:val="-11"/>
        </w:rPr>
        <w:t> </w:t>
      </w:r>
      <w:r>
        <w:rPr/>
        <w:t>Chine</w:t>
      </w:r>
      <w:r>
        <w:rPr>
          <w:spacing w:val="-8"/>
        </w:rPr>
        <w:t> </w:t>
      </w:r>
      <w:r>
        <w:rPr/>
        <w:t>au</w:t>
      </w:r>
      <w:r>
        <w:rPr>
          <w:spacing w:val="-11"/>
        </w:rPr>
        <w:t> </w:t>
      </w:r>
      <w:r>
        <w:rPr/>
        <w:t>début</w:t>
      </w:r>
      <w:r>
        <w:rPr>
          <w:spacing w:val="-2"/>
        </w:rPr>
        <w:t> </w:t>
      </w:r>
      <w:r>
        <w:rPr/>
        <w:t>du</w:t>
      </w:r>
      <w:r>
        <w:rPr>
          <w:spacing w:val="-11"/>
        </w:rPr>
        <w:t> </w:t>
      </w:r>
      <w:r>
        <w:rPr/>
        <w:t>huitième</w:t>
      </w:r>
      <w:r>
        <w:rPr>
          <w:spacing w:val="-8"/>
        </w:rPr>
        <w:t> </w:t>
      </w:r>
      <w:r>
        <w:rPr/>
        <w:t>siècle</w:t>
      </w:r>
      <w:r>
        <w:rPr>
          <w:spacing w:val="-7"/>
        </w:rPr>
        <w:t> </w:t>
      </w:r>
      <w:r>
        <w:rPr/>
        <w:t>sous</w:t>
      </w:r>
      <w:r>
        <w:rPr>
          <w:spacing w:val="-9"/>
        </w:rPr>
        <w:t> </w:t>
      </w:r>
      <w:r>
        <w:rPr>
          <w:spacing w:val="-5"/>
        </w:rPr>
        <w:t>la</w:t>
      </w:r>
      <w:r>
        <w:rPr>
          <w:spacing w:val="-1"/>
        </w:rPr>
        <w:t> </w:t>
      </w:r>
      <w:r>
        <w:rPr/>
        <w:t>dynastie</w:t>
      </w:r>
      <w:r>
        <w:rPr>
          <w:spacing w:val="-8"/>
        </w:rPr>
        <w:t> </w:t>
      </w:r>
      <w:r>
        <w:rPr/>
        <w:t>des Song</w:t>
      </w:r>
      <w:r>
        <w:rPr>
          <w:spacing w:val="-15"/>
        </w:rPr>
        <w:t> </w:t>
      </w:r>
      <w:r>
        <w:rPr/>
        <w:t>960-1279,</w:t>
      </w:r>
      <w:r>
        <w:rPr>
          <w:spacing w:val="-18"/>
        </w:rPr>
        <w:t> </w:t>
      </w:r>
      <w:r>
        <w:rPr/>
        <w:t>appelés</w:t>
      </w:r>
      <w:r>
        <w:rPr>
          <w:spacing w:val="-18"/>
        </w:rPr>
        <w:t> </w:t>
      </w:r>
      <w:r>
        <w:rPr/>
        <w:t>Jiaozi.</w:t>
      </w:r>
      <w:r>
        <w:rPr>
          <w:spacing w:val="-13"/>
        </w:rPr>
        <w:t> </w:t>
      </w:r>
      <w:r>
        <w:rPr/>
        <w:t>Ces</w:t>
      </w:r>
      <w:r>
        <w:rPr>
          <w:spacing w:val="-13"/>
        </w:rPr>
        <w:t> </w:t>
      </w:r>
      <w:r>
        <w:rPr/>
        <w:t>billets</w:t>
      </w:r>
      <w:r>
        <w:rPr>
          <w:spacing w:val="-18"/>
        </w:rPr>
        <w:t> </w:t>
      </w:r>
      <w:r>
        <w:rPr/>
        <w:t>étaient</w:t>
      </w:r>
      <w:r>
        <w:rPr>
          <w:spacing w:val="-10"/>
        </w:rPr>
        <w:t> </w:t>
      </w:r>
      <w:r>
        <w:rPr/>
        <w:t>imprimés</w:t>
      </w:r>
      <w:r>
        <w:rPr>
          <w:spacing w:val="-18"/>
        </w:rPr>
        <w:t> </w:t>
      </w:r>
      <w:r>
        <w:rPr/>
        <w:t>à</w:t>
      </w:r>
      <w:r>
        <w:rPr>
          <w:spacing w:val="-12"/>
        </w:rPr>
        <w:t> </w:t>
      </w:r>
      <w:r>
        <w:rPr/>
        <w:t>l’encre</w:t>
      </w:r>
      <w:r>
        <w:rPr>
          <w:spacing w:val="-16"/>
        </w:rPr>
        <w:t> </w:t>
      </w:r>
      <w:r>
        <w:rPr/>
        <w:t>noire</w:t>
      </w:r>
      <w:r>
        <w:rPr>
          <w:spacing w:val="-15"/>
        </w:rPr>
        <w:t> </w:t>
      </w:r>
      <w:r>
        <w:rPr/>
        <w:t>sous</w:t>
      </w:r>
      <w:r>
        <w:rPr>
          <w:spacing w:val="-13"/>
        </w:rPr>
        <w:t> </w:t>
      </w:r>
      <w:r>
        <w:rPr>
          <w:spacing w:val="-5"/>
        </w:rPr>
        <w:t>la</w:t>
      </w:r>
      <w:r>
        <w:rPr>
          <w:spacing w:val="-12"/>
        </w:rPr>
        <w:t> </w:t>
      </w:r>
      <w:r>
        <w:rPr/>
        <w:t>forme</w:t>
      </w:r>
      <w:r>
        <w:rPr>
          <w:spacing w:val="-16"/>
        </w:rPr>
        <w:t> </w:t>
      </w:r>
      <w:r>
        <w:rPr/>
        <w:t>de</w:t>
      </w:r>
      <w:r>
        <w:rPr>
          <w:spacing w:val="-16"/>
        </w:rPr>
        <w:t> </w:t>
      </w:r>
      <w:r>
        <w:rPr/>
        <w:t>plaques gravées en bois ou en bronze. Concernant </w:t>
      </w:r>
      <w:r>
        <w:rPr>
          <w:spacing w:val="-5"/>
        </w:rPr>
        <w:t>le </w:t>
      </w:r>
      <w:r>
        <w:rPr/>
        <w:t>chèque, son existence était depuis </w:t>
      </w:r>
      <w:r>
        <w:rPr>
          <w:spacing w:val="-5"/>
        </w:rPr>
        <w:t>le </w:t>
      </w:r>
      <w:r>
        <w:rPr/>
        <w:t>XVIII° siècle, Inventé en Angleterre en 1742. Aussi, </w:t>
      </w:r>
      <w:r>
        <w:rPr>
          <w:spacing w:val="-3"/>
        </w:rPr>
        <w:t>la </w:t>
      </w:r>
      <w:r>
        <w:rPr/>
        <w:t>banque de France a émis ses premiers chèques en 1826 nommé mandats blancs. Le véritable lancement des chèques en France a eu </w:t>
      </w:r>
      <w:r>
        <w:rPr>
          <w:spacing w:val="-3"/>
        </w:rPr>
        <w:t>lieu le </w:t>
      </w:r>
      <w:r>
        <w:rPr/>
        <w:t>14 juin 1865, mais son utilisation était très peu avant </w:t>
      </w:r>
      <w:r>
        <w:rPr>
          <w:spacing w:val="-5"/>
        </w:rPr>
        <w:t>la </w:t>
      </w:r>
      <w:r>
        <w:rPr/>
        <w:t>première guerre</w:t>
      </w:r>
      <w:r>
        <w:rPr>
          <w:spacing w:val="14"/>
        </w:rPr>
        <w:t> </w:t>
      </w:r>
      <w:r>
        <w:rPr/>
        <w:t>mondiale.</w:t>
      </w:r>
    </w:p>
    <w:p>
      <w:pPr>
        <w:pStyle w:val="BodyText"/>
        <w:spacing w:line="364" w:lineRule="auto" w:before="145"/>
        <w:ind w:left="699" w:right="316" w:firstLine="360"/>
        <w:jc w:val="both"/>
      </w:pPr>
      <w:r>
        <w:rPr/>
        <w:t>Pour les cartes bancaires ont été créées aux États-Unis en 1951 par la société Diners- Club. Le Bank of America a lancé la véritable carte en 1958. Après les États-Unis,</w:t>
      </w:r>
    </w:p>
    <w:p>
      <w:pPr>
        <w:pStyle w:val="BodyText"/>
        <w:spacing w:line="362" w:lineRule="auto" w:before="150"/>
        <w:ind w:left="699" w:right="323" w:firstLine="360"/>
        <w:jc w:val="both"/>
      </w:pPr>
      <w:r>
        <w:rPr/>
        <w:t>L’Angleterre a adopté ces cartes en 1960 et puis la France a lancé la carte bleue en 1967 par cinq banques françaises.</w:t>
      </w:r>
    </w:p>
    <w:p>
      <w:pPr>
        <w:pStyle w:val="BodyText"/>
        <w:spacing w:line="360" w:lineRule="auto" w:before="156"/>
        <w:ind w:left="699" w:right="311" w:firstLine="360"/>
        <w:jc w:val="both"/>
      </w:pPr>
      <w:r>
        <w:rPr/>
        <w:t>En 1967, le premier distributeur automatique de billets (DAB) est mis en place par la banque Barclays à Londres. Une année après, la France a adopté son premier DAB par la société marseillaise de crédit.</w:t>
      </w:r>
    </w:p>
    <w:p>
      <w:pPr>
        <w:pStyle w:val="BodyText"/>
        <w:spacing w:line="362" w:lineRule="auto" w:before="160"/>
        <w:ind w:left="699" w:right="310" w:firstLine="360"/>
        <w:jc w:val="both"/>
      </w:pPr>
      <w:r>
        <w:rPr/>
        <w:t>Un nouveau moyen de paiement a été découvert à </w:t>
      </w:r>
      <w:r>
        <w:rPr>
          <w:spacing w:val="-3"/>
        </w:rPr>
        <w:t>la fin </w:t>
      </w:r>
      <w:r>
        <w:rPr/>
        <w:t>des années 1970 par Roland Moreno, qui</w:t>
      </w:r>
      <w:r>
        <w:rPr>
          <w:spacing w:val="-19"/>
        </w:rPr>
        <w:t> </w:t>
      </w:r>
      <w:r>
        <w:rPr/>
        <w:t>a</w:t>
      </w:r>
      <w:r>
        <w:rPr>
          <w:spacing w:val="-11"/>
        </w:rPr>
        <w:t> </w:t>
      </w:r>
      <w:r>
        <w:rPr/>
        <w:t>donné</w:t>
      </w:r>
      <w:r>
        <w:rPr>
          <w:spacing w:val="-6"/>
        </w:rPr>
        <w:t> </w:t>
      </w:r>
      <w:r>
        <w:rPr/>
        <w:t>naissance</w:t>
      </w:r>
      <w:r>
        <w:rPr>
          <w:spacing w:val="-11"/>
        </w:rPr>
        <w:t> </w:t>
      </w:r>
      <w:r>
        <w:rPr/>
        <w:t>à</w:t>
      </w:r>
      <w:r>
        <w:rPr>
          <w:spacing w:val="-7"/>
        </w:rPr>
        <w:t> </w:t>
      </w:r>
      <w:r>
        <w:rPr>
          <w:spacing w:val="-3"/>
        </w:rPr>
        <w:t>la</w:t>
      </w:r>
      <w:r>
        <w:rPr>
          <w:spacing w:val="-11"/>
        </w:rPr>
        <w:t> </w:t>
      </w:r>
      <w:r>
        <w:rPr/>
        <w:t>carte</w:t>
      </w:r>
      <w:r>
        <w:rPr>
          <w:spacing w:val="-11"/>
        </w:rPr>
        <w:t> </w:t>
      </w:r>
      <w:r>
        <w:rPr/>
        <w:t>à</w:t>
      </w:r>
      <w:r>
        <w:rPr>
          <w:spacing w:val="-11"/>
        </w:rPr>
        <w:t> </w:t>
      </w:r>
      <w:r>
        <w:rPr/>
        <w:t>puce</w:t>
      </w:r>
      <w:r>
        <w:rPr>
          <w:spacing w:val="-11"/>
        </w:rPr>
        <w:t> </w:t>
      </w:r>
      <w:r>
        <w:rPr/>
        <w:t>en</w:t>
      </w:r>
      <w:r>
        <w:rPr>
          <w:spacing w:val="-11"/>
        </w:rPr>
        <w:t> </w:t>
      </w:r>
      <w:r>
        <w:rPr/>
        <w:t>France.</w:t>
      </w:r>
      <w:r>
        <w:rPr>
          <w:spacing w:val="-8"/>
        </w:rPr>
        <w:t> </w:t>
      </w:r>
      <w:r>
        <w:rPr/>
        <w:t>«</w:t>
      </w:r>
      <w:r>
        <w:rPr>
          <w:spacing w:val="-10"/>
        </w:rPr>
        <w:t> </w:t>
      </w:r>
      <w:r>
        <w:rPr/>
        <w:t>Cette</w:t>
      </w:r>
      <w:r>
        <w:rPr>
          <w:spacing w:val="-11"/>
        </w:rPr>
        <w:t> </w:t>
      </w:r>
      <w:r>
        <w:rPr/>
        <w:t>solution</w:t>
      </w:r>
      <w:r>
        <w:rPr>
          <w:spacing w:val="-14"/>
        </w:rPr>
        <w:t> </w:t>
      </w:r>
      <w:r>
        <w:rPr/>
        <w:t>est</w:t>
      </w:r>
      <w:r>
        <w:rPr>
          <w:spacing w:val="-5"/>
        </w:rPr>
        <w:t> </w:t>
      </w:r>
      <w:r>
        <w:rPr/>
        <w:t>déployée</w:t>
      </w:r>
      <w:r>
        <w:rPr>
          <w:spacing w:val="-11"/>
        </w:rPr>
        <w:t> </w:t>
      </w:r>
      <w:r>
        <w:rPr/>
        <w:t>dans</w:t>
      </w:r>
      <w:r>
        <w:rPr>
          <w:spacing w:val="-12"/>
        </w:rPr>
        <w:t> </w:t>
      </w:r>
      <w:r>
        <w:rPr/>
        <w:t>toute</w:t>
      </w:r>
      <w:r>
        <w:rPr>
          <w:spacing w:val="-15"/>
        </w:rPr>
        <w:t> </w:t>
      </w:r>
      <w:r>
        <w:rPr>
          <w:spacing w:val="-3"/>
        </w:rPr>
        <w:t>la</w:t>
      </w:r>
      <w:r>
        <w:rPr>
          <w:spacing w:val="-11"/>
        </w:rPr>
        <w:t> </w:t>
      </w:r>
      <w:r>
        <w:rPr/>
        <w:t>France dès 1988 pour lutter contre </w:t>
      </w:r>
      <w:r>
        <w:rPr>
          <w:spacing w:val="-5"/>
        </w:rPr>
        <w:t>la </w:t>
      </w:r>
      <w:r>
        <w:rPr/>
        <w:t>fraude, qui a remplacé </w:t>
      </w:r>
      <w:r>
        <w:rPr>
          <w:spacing w:val="-4"/>
        </w:rPr>
        <w:t>les </w:t>
      </w:r>
      <w:r>
        <w:rPr/>
        <w:t>cartes magnétiques</w:t>
      </w:r>
      <w:r>
        <w:rPr>
          <w:spacing w:val="23"/>
        </w:rPr>
        <w:t> </w:t>
      </w:r>
      <w:r>
        <w:rPr/>
        <w:t>»</w:t>
      </w:r>
    </w:p>
    <w:p>
      <w:pPr>
        <w:pStyle w:val="BodyText"/>
        <w:spacing w:line="362" w:lineRule="auto" w:before="151"/>
        <w:ind w:left="699" w:right="314" w:firstLine="360"/>
        <w:jc w:val="both"/>
      </w:pPr>
      <w:r>
        <w:rPr/>
        <w:t>L’utilisation présente de la carte bancaire, qui consiste à l’insérer dans un terminal et à insérer un code, existe depuis 1980 sachant que les États-Unis sont les premiers qui ont utilisé le TPE en 1983.</w:t>
      </w:r>
    </w:p>
    <w:p>
      <w:pPr>
        <w:pStyle w:val="BodyText"/>
        <w:spacing w:line="362" w:lineRule="auto" w:before="152"/>
        <w:ind w:left="699" w:right="307" w:firstLine="360"/>
        <w:jc w:val="both"/>
      </w:pPr>
      <w:r>
        <w:rPr>
          <w:spacing w:val="-3"/>
        </w:rPr>
        <w:t>Au </w:t>
      </w:r>
      <w:r>
        <w:rPr/>
        <w:t>milieu des années 90, </w:t>
      </w:r>
      <w:r>
        <w:rPr>
          <w:spacing w:val="-5"/>
        </w:rPr>
        <w:t>le </w:t>
      </w:r>
      <w:r>
        <w:rPr/>
        <w:t>lancement de </w:t>
      </w:r>
      <w:r>
        <w:rPr>
          <w:spacing w:val="-5"/>
        </w:rPr>
        <w:t>la </w:t>
      </w:r>
      <w:r>
        <w:rPr/>
        <w:t>puce rechargeable qui a connaît un large succès dans</w:t>
      </w:r>
      <w:r>
        <w:rPr>
          <w:spacing w:val="-3"/>
        </w:rPr>
        <w:t> </w:t>
      </w:r>
      <w:r>
        <w:rPr>
          <w:spacing w:val="-4"/>
        </w:rPr>
        <w:t>les</w:t>
      </w:r>
      <w:r>
        <w:rPr>
          <w:spacing w:val="-8"/>
        </w:rPr>
        <w:t> </w:t>
      </w:r>
      <w:r>
        <w:rPr/>
        <w:t>parkings</w:t>
      </w:r>
      <w:r>
        <w:rPr>
          <w:spacing w:val="-8"/>
        </w:rPr>
        <w:t> </w:t>
      </w:r>
      <w:r>
        <w:rPr/>
        <w:t>et</w:t>
      </w:r>
      <w:r>
        <w:rPr>
          <w:spacing w:val="-4"/>
        </w:rPr>
        <w:t> les</w:t>
      </w:r>
      <w:r>
        <w:rPr>
          <w:spacing w:val="-8"/>
        </w:rPr>
        <w:t> </w:t>
      </w:r>
      <w:r>
        <w:rPr/>
        <w:t>cantines</w:t>
      </w:r>
      <w:r>
        <w:rPr>
          <w:spacing w:val="-8"/>
        </w:rPr>
        <w:t> </w:t>
      </w:r>
      <w:r>
        <w:rPr/>
        <w:t>scolaires,</w:t>
      </w:r>
      <w:r>
        <w:rPr>
          <w:spacing w:val="-4"/>
        </w:rPr>
        <w:t> </w:t>
      </w:r>
      <w:r>
        <w:rPr/>
        <w:t>son</w:t>
      </w:r>
      <w:r>
        <w:rPr>
          <w:spacing w:val="-10"/>
        </w:rPr>
        <w:t> </w:t>
      </w:r>
      <w:r>
        <w:rPr/>
        <w:t>concept</w:t>
      </w:r>
      <w:r>
        <w:rPr>
          <w:spacing w:val="-5"/>
        </w:rPr>
        <w:t> </w:t>
      </w:r>
      <w:r>
        <w:rPr/>
        <w:t>est</w:t>
      </w:r>
      <w:r>
        <w:rPr>
          <w:spacing w:val="-5"/>
        </w:rPr>
        <w:t> </w:t>
      </w:r>
      <w:r>
        <w:rPr>
          <w:spacing w:val="-3"/>
        </w:rPr>
        <w:t>clair</w:t>
      </w:r>
      <w:r>
        <w:rPr>
          <w:spacing w:val="-4"/>
        </w:rPr>
        <w:t> </w:t>
      </w:r>
      <w:r>
        <w:rPr/>
        <w:t>«</w:t>
      </w:r>
      <w:r>
        <w:rPr>
          <w:spacing w:val="-10"/>
        </w:rPr>
        <w:t> </w:t>
      </w:r>
      <w:r>
        <w:rPr/>
        <w:t>chargez un</w:t>
      </w:r>
      <w:r>
        <w:rPr>
          <w:spacing w:val="-11"/>
        </w:rPr>
        <w:t> </w:t>
      </w:r>
      <w:r>
        <w:rPr/>
        <w:t>petit montant</w:t>
      </w:r>
      <w:r>
        <w:rPr>
          <w:spacing w:val="-1"/>
        </w:rPr>
        <w:t> </w:t>
      </w:r>
      <w:r>
        <w:rPr/>
        <w:t>sur</w:t>
      </w:r>
      <w:r>
        <w:rPr>
          <w:spacing w:val="-8"/>
        </w:rPr>
        <w:t> </w:t>
      </w:r>
      <w:r>
        <w:rPr/>
        <w:t>cette puce à partir de votre compte bancaire</w:t>
      </w:r>
      <w:r>
        <w:rPr>
          <w:spacing w:val="7"/>
        </w:rPr>
        <w:t> </w:t>
      </w:r>
      <w:r>
        <w:rPr>
          <w:spacing w:val="-3"/>
        </w:rPr>
        <w:t>».</w:t>
      </w:r>
    </w:p>
    <w:p>
      <w:pPr>
        <w:pStyle w:val="BodyText"/>
        <w:spacing w:line="362" w:lineRule="auto" w:before="152"/>
        <w:ind w:left="699" w:right="315" w:firstLine="360"/>
        <w:jc w:val="both"/>
      </w:pPr>
      <w:r>
        <w:rPr/>
        <w:t>À</w:t>
      </w:r>
      <w:r>
        <w:rPr>
          <w:spacing w:val="-7"/>
        </w:rPr>
        <w:t> </w:t>
      </w:r>
      <w:r>
        <w:rPr>
          <w:spacing w:val="-3"/>
        </w:rPr>
        <w:t>la</w:t>
      </w:r>
      <w:r>
        <w:rPr>
          <w:spacing w:val="-1"/>
        </w:rPr>
        <w:t> </w:t>
      </w:r>
      <w:r>
        <w:rPr>
          <w:spacing w:val="-3"/>
        </w:rPr>
        <w:t>fin</w:t>
      </w:r>
      <w:r>
        <w:rPr>
          <w:spacing w:val="-5"/>
        </w:rPr>
        <w:t> </w:t>
      </w:r>
      <w:r>
        <w:rPr/>
        <w:t>des</w:t>
      </w:r>
      <w:r>
        <w:rPr>
          <w:spacing w:val="-7"/>
        </w:rPr>
        <w:t> </w:t>
      </w:r>
      <w:r>
        <w:rPr/>
        <w:t>années</w:t>
      </w:r>
      <w:r>
        <w:rPr>
          <w:spacing w:val="-7"/>
        </w:rPr>
        <w:t> </w:t>
      </w:r>
      <w:r>
        <w:rPr/>
        <w:t>90,</w:t>
      </w:r>
      <w:r>
        <w:rPr>
          <w:spacing w:val="1"/>
        </w:rPr>
        <w:t> </w:t>
      </w:r>
      <w:r>
        <w:rPr/>
        <w:t>l’avènement du</w:t>
      </w:r>
      <w:r>
        <w:rPr>
          <w:spacing w:val="-5"/>
        </w:rPr>
        <w:t> </w:t>
      </w:r>
      <w:r>
        <w:rPr/>
        <w:t>e-commerce</w:t>
      </w:r>
      <w:r>
        <w:rPr>
          <w:spacing w:val="-7"/>
        </w:rPr>
        <w:t> </w:t>
      </w:r>
      <w:r>
        <w:rPr/>
        <w:t>et des</w:t>
      </w:r>
      <w:r>
        <w:rPr>
          <w:spacing w:val="-7"/>
        </w:rPr>
        <w:t> </w:t>
      </w:r>
      <w:r>
        <w:rPr/>
        <w:t>modes</w:t>
      </w:r>
      <w:r>
        <w:rPr>
          <w:spacing w:val="-7"/>
        </w:rPr>
        <w:t> </w:t>
      </w:r>
      <w:r>
        <w:rPr/>
        <w:t>de</w:t>
      </w:r>
      <w:r>
        <w:rPr>
          <w:spacing w:val="-6"/>
        </w:rPr>
        <w:t> </w:t>
      </w:r>
      <w:r>
        <w:rPr/>
        <w:t>paiement</w:t>
      </w:r>
      <w:r>
        <w:rPr>
          <w:spacing w:val="-1"/>
        </w:rPr>
        <w:t> </w:t>
      </w:r>
      <w:r>
        <w:rPr>
          <w:spacing w:val="-4"/>
        </w:rPr>
        <w:t>via</w:t>
      </w:r>
      <w:r>
        <w:rPr>
          <w:spacing w:val="3"/>
        </w:rPr>
        <w:t> </w:t>
      </w:r>
      <w:r>
        <w:rPr/>
        <w:t>internet,</w:t>
      </w:r>
      <w:r>
        <w:rPr>
          <w:spacing w:val="-8"/>
        </w:rPr>
        <w:t> </w:t>
      </w:r>
      <w:r>
        <w:rPr/>
        <w:t>tels que PayPal.</w:t>
      </w:r>
    </w:p>
    <w:p>
      <w:pPr>
        <w:spacing w:after="0" w:line="362" w:lineRule="auto"/>
        <w:jc w:val="both"/>
        <w:sectPr>
          <w:pgSz w:w="12240" w:h="15840"/>
          <w:pgMar w:header="723" w:footer="850" w:top="1080" w:bottom="1040" w:left="1000" w:right="820"/>
        </w:sectPr>
      </w:pPr>
    </w:p>
    <w:p>
      <w:pPr>
        <w:pStyle w:val="BodyText"/>
        <w:rPr>
          <w:sz w:val="22"/>
        </w:rPr>
      </w:pPr>
    </w:p>
    <w:p>
      <w:pPr>
        <w:pStyle w:val="BodyText"/>
        <w:spacing w:line="362" w:lineRule="auto" w:before="90"/>
        <w:ind w:left="699" w:right="305" w:firstLine="360"/>
        <w:jc w:val="both"/>
      </w:pPr>
      <w:bookmarkStart w:name="1.1" w:id="26"/>
      <w:bookmarkEnd w:id="26"/>
      <w:r>
        <w:rPr/>
      </w:r>
      <w:r>
        <w:rPr/>
        <w:t>Le 12 janvier 2009, la première transaction en bitcoins à lieu entre Satochi Nakamoto, pseudonyme du ou des créateurs de cette crypto-monnaie et Hal Finney, ingénieur et développeur de jeux-vidéos.</w:t>
      </w:r>
    </w:p>
    <w:p>
      <w:pPr>
        <w:pStyle w:val="BodyText"/>
        <w:spacing w:line="362" w:lineRule="auto" w:before="152"/>
        <w:ind w:left="699" w:right="309" w:firstLine="360"/>
        <w:jc w:val="both"/>
      </w:pPr>
      <w:r>
        <w:rPr/>
        <w:t>En 2010, c’était la découverte et la conception de la carte en braille par le designer Kwon Ki Nam. Cette carte elle peut lire les empreintes digitales et elle possède des hauts parleurs pour énoncer les achats effectués.</w:t>
      </w:r>
    </w:p>
    <w:p>
      <w:pPr>
        <w:pStyle w:val="BodyText"/>
        <w:spacing w:line="367" w:lineRule="auto" w:before="152"/>
        <w:ind w:left="699" w:right="314" w:firstLine="360"/>
        <w:jc w:val="both"/>
      </w:pPr>
      <w:r>
        <w:rPr/>
        <w:t>Plusieurs entreprises telles que Amazon, Mastercard, Alibaba, ont développé le paiement par selfie ou reconnaissance faciale en 2015 en appuyant sur la caméra du téléphone portable.</w:t>
      </w:r>
    </w:p>
    <w:p>
      <w:pPr>
        <w:pStyle w:val="BodyText"/>
        <w:spacing w:line="355" w:lineRule="auto" w:before="144"/>
        <w:ind w:left="699" w:right="317" w:firstLine="360"/>
        <w:jc w:val="both"/>
        <w:rPr>
          <w:sz w:val="16"/>
        </w:rPr>
      </w:pPr>
      <w:r>
        <w:rPr/>
        <w:t>Depuis 2016, nous pouvons utiliser notre téléphone portable comme un moyen de paiement sans contact.</w:t>
      </w:r>
      <w:r>
        <w:rPr>
          <w:position w:val="9"/>
          <w:sz w:val="16"/>
        </w:rPr>
        <w:t>1</w:t>
      </w:r>
    </w:p>
    <w:p>
      <w:pPr>
        <w:pStyle w:val="Heading5"/>
        <w:numPr>
          <w:ilvl w:val="0"/>
          <w:numId w:val="7"/>
        </w:numPr>
        <w:tabs>
          <w:tab w:pos="1315" w:val="left" w:leader="none"/>
        </w:tabs>
        <w:spacing w:line="240" w:lineRule="auto" w:before="162" w:after="0"/>
        <w:ind w:left="1314" w:right="0" w:hanging="433"/>
        <w:jc w:val="both"/>
      </w:pPr>
      <w:bookmarkStart w:name="2. Définition du paiement digital et sa " w:id="27"/>
      <w:bookmarkEnd w:id="27"/>
      <w:r>
        <w:rPr>
          <w:b w:val="0"/>
        </w:rPr>
      </w:r>
      <w:bookmarkStart w:name="2. Définition du paiement digital et sa " w:id="28"/>
      <w:bookmarkEnd w:id="28"/>
      <w:r>
        <w:rPr/>
        <w:t>D</w:t>
      </w:r>
      <w:r>
        <w:rPr/>
        <w:t>éfinition du paiement digital et sa différence entre </w:t>
      </w:r>
      <w:r>
        <w:rPr>
          <w:spacing w:val="-3"/>
        </w:rPr>
        <w:t>le </w:t>
      </w:r>
      <w:r>
        <w:rPr/>
        <w:t>paiement électronique</w:t>
      </w:r>
      <w:r>
        <w:rPr>
          <w:spacing w:val="4"/>
        </w:rPr>
        <w:t> </w:t>
      </w:r>
      <w:r>
        <w:rPr/>
        <w:t>:</w:t>
      </w:r>
    </w:p>
    <w:p>
      <w:pPr>
        <w:pStyle w:val="BodyText"/>
        <w:spacing w:before="4"/>
        <w:rPr>
          <w:b/>
          <w:sz w:val="22"/>
        </w:rPr>
      </w:pPr>
    </w:p>
    <w:p>
      <w:pPr>
        <w:pStyle w:val="BodyText"/>
        <w:spacing w:line="362" w:lineRule="auto"/>
        <w:ind w:left="699" w:right="317" w:firstLine="360"/>
        <w:jc w:val="both"/>
      </w:pPr>
      <w:r>
        <w:rPr/>
        <w:t>Avant de comparer </w:t>
      </w:r>
      <w:r>
        <w:rPr>
          <w:spacing w:val="-3"/>
        </w:rPr>
        <w:t>les </w:t>
      </w:r>
      <w:r>
        <w:rPr/>
        <w:t>deux notions, </w:t>
      </w:r>
      <w:r>
        <w:rPr>
          <w:spacing w:val="-3"/>
        </w:rPr>
        <w:t>il </w:t>
      </w:r>
      <w:r>
        <w:rPr/>
        <w:t>est important de </w:t>
      </w:r>
      <w:r>
        <w:rPr>
          <w:spacing w:val="-3"/>
        </w:rPr>
        <w:t>définir </w:t>
      </w:r>
      <w:r>
        <w:rPr/>
        <w:t>clairement ce qu’on entend par </w:t>
      </w:r>
      <w:r>
        <w:rPr>
          <w:spacing w:val="-3"/>
        </w:rPr>
        <w:t>le </w:t>
      </w:r>
      <w:r>
        <w:rPr/>
        <w:t>paiement électronique et </w:t>
      </w:r>
      <w:r>
        <w:rPr>
          <w:spacing w:val="-3"/>
        </w:rPr>
        <w:t>le </w:t>
      </w:r>
      <w:r>
        <w:rPr/>
        <w:t>paiement digital.</w:t>
      </w:r>
    </w:p>
    <w:p>
      <w:pPr>
        <w:pStyle w:val="Heading5"/>
        <w:numPr>
          <w:ilvl w:val="1"/>
          <w:numId w:val="7"/>
        </w:numPr>
        <w:tabs>
          <w:tab w:pos="1776" w:val="left" w:leader="none"/>
        </w:tabs>
        <w:spacing w:line="240" w:lineRule="auto" w:before="160" w:after="0"/>
        <w:ind w:left="1775" w:right="0" w:hanging="356"/>
        <w:jc w:val="both"/>
      </w:pPr>
      <w:bookmarkStart w:name="2.1 Définition du paiement digital" w:id="29"/>
      <w:bookmarkEnd w:id="29"/>
      <w:r>
        <w:rPr/>
        <w:t>D</w:t>
      </w:r>
      <w:r>
        <w:rPr/>
        <w:t>éfinition du paiement</w:t>
      </w:r>
      <w:r>
        <w:rPr>
          <w:spacing w:val="7"/>
        </w:rPr>
        <w:t> </w:t>
      </w:r>
      <w:r>
        <w:rPr/>
        <w:t>digital</w:t>
      </w:r>
    </w:p>
    <w:p>
      <w:pPr>
        <w:pStyle w:val="BodyText"/>
        <w:spacing w:line="362" w:lineRule="auto" w:before="94"/>
        <w:ind w:left="699" w:right="308" w:firstLine="355"/>
        <w:jc w:val="both"/>
      </w:pPr>
      <w:r>
        <w:rPr/>
        <w:t>Le paiement digital est une sous-catégorie du paiement électronique, le E-paiement peut être défini comme :</w:t>
      </w:r>
    </w:p>
    <w:p>
      <w:pPr>
        <w:pStyle w:val="BodyText"/>
        <w:spacing w:line="352" w:lineRule="auto" w:before="98"/>
        <w:ind w:left="699" w:right="314" w:firstLine="355"/>
        <w:jc w:val="both"/>
        <w:rPr>
          <w:sz w:val="16"/>
        </w:rPr>
      </w:pPr>
      <w:r>
        <w:rPr/>
        <w:t>« Le paiement électronique désigne tout paiement effectué au moyen d’un dispositif électronique, comme une carte bancaire, un smartphone, ou un ordinateur, via un réseau de télécommunication » </w:t>
      </w:r>
      <w:r>
        <w:rPr>
          <w:position w:val="9"/>
          <w:sz w:val="16"/>
        </w:rPr>
        <w:t>2</w:t>
      </w:r>
    </w:p>
    <w:p>
      <w:pPr>
        <w:pStyle w:val="BodyText"/>
        <w:spacing w:line="345" w:lineRule="auto" w:before="107"/>
        <w:ind w:left="699" w:right="327" w:firstLine="418"/>
        <w:jc w:val="both"/>
        <w:rPr>
          <w:sz w:val="16"/>
        </w:rPr>
      </w:pPr>
      <w:r>
        <w:rPr/>
        <w:t>« Les paiements électroniques sont des transferts de fonds initiés à distance à l’aide de dispositifs électroniques, incluant les cartes, les téléphones mobiles et Internet. »</w:t>
      </w:r>
      <w:r>
        <w:rPr>
          <w:position w:val="9"/>
          <w:sz w:val="16"/>
        </w:rPr>
        <w:t>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r>
        <w:rPr/>
        <w:pict>
          <v:shape style="position:absolute;margin-left:84.984001pt;margin-top:15.586831pt;width:144.1pt;height:.1pt;mso-position-horizontal-relative:page;mso-position-vertical-relative:paragraph;z-index:-251644928;mso-wrap-distance-left:0;mso-wrap-distance-right:0" coordorigin="1700,312" coordsize="2882,0" path="m1700,312l4581,312e" filled="false" stroked="true" strokeweight=".71997pt" strokecolor="#000000">
            <v:path arrowok="t"/>
            <v:stroke dashstyle="solid"/>
            <w10:wrap type="topAndBottom"/>
          </v:shape>
        </w:pict>
      </w:r>
    </w:p>
    <w:p>
      <w:pPr>
        <w:spacing w:before="62"/>
        <w:ind w:left="699" w:right="2552" w:firstLine="0"/>
        <w:jc w:val="left"/>
        <w:rPr>
          <w:i/>
          <w:sz w:val="20"/>
        </w:rPr>
      </w:pPr>
      <w:r>
        <w:rPr>
          <w:i/>
          <w:position w:val="7"/>
          <w:sz w:val="13"/>
        </w:rPr>
        <w:t>1 </w:t>
      </w:r>
      <w:r>
        <w:rPr>
          <w:i/>
          <w:sz w:val="20"/>
        </w:rPr>
        <w:t>Orisha Commerce, Évolution des moyens de paiement, Blog Orisha Commerce, Orisha, </w:t>
      </w:r>
      <w:hyperlink r:id="rId27">
        <w:r>
          <w:rPr>
            <w:i/>
            <w:color w:val="1154CC"/>
            <w:sz w:val="20"/>
          </w:rPr>
          <w:t>https://commerce.orisha.com/fr/blog/evolution-moyen-paiement</w:t>
        </w:r>
      </w:hyperlink>
    </w:p>
    <w:p>
      <w:pPr>
        <w:spacing w:line="242" w:lineRule="auto" w:before="4"/>
        <w:ind w:left="699" w:right="308" w:firstLine="0"/>
        <w:jc w:val="left"/>
        <w:rPr>
          <w:i/>
          <w:sz w:val="20"/>
        </w:rPr>
      </w:pPr>
      <w:r>
        <w:rPr>
          <w:rFonts w:ascii="Calibri" w:hAnsi="Calibri"/>
          <w:position w:val="7"/>
          <w:sz w:val="13"/>
        </w:rPr>
        <w:t>2 </w:t>
      </w:r>
      <w:r>
        <w:rPr>
          <w:i/>
          <w:sz w:val="20"/>
        </w:rPr>
        <w:t>Banque de France, Les moyens de paiements, Publications Banque de France, Banque de France, Paris, </w:t>
      </w:r>
      <w:hyperlink r:id="rId28">
        <w:r>
          <w:rPr>
            <w:i/>
            <w:color w:val="0462C1"/>
            <w:sz w:val="20"/>
          </w:rPr>
          <w:t>https://www.banque-france.fr/fr/publications-et-statistiques/publications/les-moyens-de-paiements</w:t>
        </w:r>
        <w:r>
          <w:rPr>
            <w:i/>
            <w:sz w:val="20"/>
          </w:rPr>
          <w:t>,</w:t>
        </w:r>
      </w:hyperlink>
      <w:r>
        <w:rPr>
          <w:i/>
          <w:sz w:val="20"/>
        </w:rPr>
        <w:t> [consulté le 25 mai 2025 à 19h]</w:t>
      </w:r>
    </w:p>
    <w:p>
      <w:pPr>
        <w:spacing w:line="244" w:lineRule="auto" w:before="1"/>
        <w:ind w:left="699" w:right="1945" w:firstLine="0"/>
        <w:jc w:val="left"/>
        <w:rPr>
          <w:i/>
          <w:sz w:val="20"/>
        </w:rPr>
      </w:pPr>
      <w:r>
        <w:rPr>
          <w:rFonts w:ascii="Calibri" w:hAnsi="Calibri"/>
          <w:position w:val="7"/>
          <w:sz w:val="13"/>
        </w:rPr>
        <w:t>3 </w:t>
      </w:r>
      <w:r>
        <w:rPr>
          <w:i/>
          <w:sz w:val="20"/>
        </w:rPr>
        <w:t>International Monetary Fund, Financial Access Survey Guidelines (2021) </w:t>
      </w:r>
      <w:hyperlink r:id="rId29">
        <w:r>
          <w:rPr>
            <w:i/>
            <w:color w:val="0462C1"/>
            <w:sz w:val="20"/>
          </w:rPr>
          <w:t>https://www.imf.org/en/Topics/digital-payments-and-finance </w:t>
        </w:r>
      </w:hyperlink>
      <w:r>
        <w:rPr>
          <w:i/>
          <w:sz w:val="20"/>
        </w:rPr>
        <w:t>, [consulté le 25 mai 2025 à 19h05]</w:t>
      </w:r>
    </w:p>
    <w:p>
      <w:pPr>
        <w:spacing w:after="0" w:line="244" w:lineRule="auto"/>
        <w:jc w:val="left"/>
        <w:rPr>
          <w:sz w:val="20"/>
        </w:rPr>
        <w:sectPr>
          <w:pgSz w:w="12240" w:h="15840"/>
          <w:pgMar w:header="723" w:footer="850" w:top="1080" w:bottom="1040" w:left="1000" w:right="820"/>
        </w:sectPr>
      </w:pPr>
    </w:p>
    <w:p>
      <w:pPr>
        <w:pStyle w:val="BodyText"/>
        <w:rPr>
          <w:i/>
          <w:sz w:val="22"/>
        </w:rPr>
      </w:pPr>
    </w:p>
    <w:p>
      <w:pPr>
        <w:pStyle w:val="BodyText"/>
        <w:spacing w:line="357" w:lineRule="auto" w:before="90"/>
        <w:ind w:left="699" w:right="308" w:firstLine="360"/>
        <w:jc w:val="both"/>
        <w:rPr>
          <w:sz w:val="16"/>
        </w:rPr>
      </w:pPr>
      <w:bookmarkStart w:name="1.2" w:id="30"/>
      <w:bookmarkEnd w:id="30"/>
      <w:r>
        <w:rPr/>
      </w:r>
      <w:bookmarkStart w:name="1.1" w:id="31"/>
      <w:bookmarkEnd w:id="31"/>
      <w:r>
        <w:rPr/>
      </w:r>
      <w:bookmarkStart w:name="2.1" w:id="32"/>
      <w:bookmarkEnd w:id="32"/>
      <w:r>
        <w:rPr/>
      </w:r>
      <w:r>
        <w:rPr/>
        <w:t>Selon Turban, E., King, D., Lee, J., « Le paiement électronique est une transaction financière réalisée via des moyens numériques, qui permet le transfert de fonds entre un payeur et un bénéficiaire sans l’utilisation d’espèces physiques. » </w:t>
      </w:r>
      <w:r>
        <w:rPr>
          <w:position w:val="9"/>
          <w:sz w:val="16"/>
        </w:rPr>
        <w:t>1</w:t>
      </w:r>
    </w:p>
    <w:p>
      <w:pPr>
        <w:pStyle w:val="BodyText"/>
        <w:spacing w:line="362" w:lineRule="auto" w:before="153"/>
        <w:ind w:left="699" w:right="324" w:firstLine="360"/>
        <w:jc w:val="both"/>
      </w:pPr>
      <w:r>
        <w:rPr/>
        <w:t>D’après ces définitions on peut définir le paiement digital comme un moyen de paiement en ligne qui désigne les transactions financières réalisées en utilisant des technologies digitales sans le besoin de l’argent liquide.</w:t>
      </w:r>
    </w:p>
    <w:p>
      <w:pPr>
        <w:pStyle w:val="BodyText"/>
        <w:spacing w:before="5"/>
      </w:pPr>
    </w:p>
    <w:p>
      <w:pPr>
        <w:pStyle w:val="Heading5"/>
        <w:numPr>
          <w:ilvl w:val="1"/>
          <w:numId w:val="7"/>
        </w:numPr>
        <w:tabs>
          <w:tab w:pos="1421" w:val="left" w:leader="none"/>
        </w:tabs>
        <w:spacing w:line="240" w:lineRule="auto" w:before="1" w:after="0"/>
        <w:ind w:left="1420" w:right="0" w:hanging="361"/>
        <w:jc w:val="left"/>
      </w:pPr>
      <w:bookmarkStart w:name="2.2 Différence entre le paiement digital" w:id="33"/>
      <w:bookmarkEnd w:id="33"/>
      <w:r>
        <w:rPr/>
        <w:t>Di</w:t>
      </w:r>
      <w:r>
        <w:rPr/>
        <w:t>fférence entre </w:t>
      </w:r>
      <w:r>
        <w:rPr>
          <w:spacing w:val="-3"/>
        </w:rPr>
        <w:t>le </w:t>
      </w:r>
      <w:r>
        <w:rPr/>
        <w:t>paiement digital et </w:t>
      </w:r>
      <w:r>
        <w:rPr>
          <w:spacing w:val="-3"/>
        </w:rPr>
        <w:t>le </w:t>
      </w:r>
      <w:r>
        <w:rPr/>
        <w:t>paiement électronique</w:t>
      </w:r>
      <w:r>
        <w:rPr>
          <w:spacing w:val="18"/>
        </w:rPr>
        <w:t> </w:t>
      </w:r>
      <w:r>
        <w:rPr/>
        <w:t>:</w:t>
      </w:r>
    </w:p>
    <w:p>
      <w:pPr>
        <w:pStyle w:val="BodyText"/>
        <w:spacing w:before="6"/>
        <w:rPr>
          <w:b/>
          <w:sz w:val="23"/>
        </w:rPr>
      </w:pPr>
    </w:p>
    <w:p>
      <w:pPr>
        <w:pStyle w:val="BodyText"/>
        <w:spacing w:line="360" w:lineRule="auto"/>
        <w:ind w:left="699" w:right="311" w:firstLine="360"/>
        <w:jc w:val="both"/>
      </w:pPr>
      <w:r>
        <w:rPr/>
        <w:t>Le paiement électronique est un terme plus vaste qui englobe l’ensemble des formes de transactions et de paiements effectués par des moyens électroniques ou dématérialisés tels que </w:t>
      </w:r>
      <w:r>
        <w:rPr>
          <w:spacing w:val="-5"/>
        </w:rPr>
        <w:t>la </w:t>
      </w:r>
      <w:r>
        <w:rPr/>
        <w:t>carte visa et </w:t>
      </w:r>
      <w:r>
        <w:rPr>
          <w:spacing w:val="-3"/>
        </w:rPr>
        <w:t>la </w:t>
      </w:r>
      <w:r>
        <w:rPr/>
        <w:t>carte CIB et </w:t>
      </w:r>
      <w:r>
        <w:rPr>
          <w:spacing w:val="-5"/>
        </w:rPr>
        <w:t>la </w:t>
      </w:r>
      <w:r>
        <w:rPr/>
        <w:t>carte Edahabia en Algérie. Le paiement digital </w:t>
      </w:r>
      <w:r>
        <w:rPr>
          <w:spacing w:val="-3"/>
        </w:rPr>
        <w:t>fait </w:t>
      </w:r>
      <w:r>
        <w:rPr/>
        <w:t>partie importante des paiements électroniques </w:t>
      </w:r>
      <w:r>
        <w:rPr>
          <w:spacing w:val="-3"/>
        </w:rPr>
        <w:t>mais </w:t>
      </w:r>
      <w:r>
        <w:rPr/>
        <w:t>il se diffère par l’utilisation des solutions digitales comme : </w:t>
      </w:r>
      <w:r>
        <w:rPr>
          <w:spacing w:val="-3"/>
        </w:rPr>
        <w:t>les </w:t>
      </w:r>
      <w:r>
        <w:rPr/>
        <w:t>applications mobiles comme BaridiMob (une application mobile qui met à </w:t>
      </w:r>
      <w:r>
        <w:rPr>
          <w:spacing w:val="-5"/>
        </w:rPr>
        <w:t>la </w:t>
      </w:r>
      <w:r>
        <w:rPr/>
        <w:t>disposition des utilisateurs des services monétiques et financiers postaux d’Algérie Poste, </w:t>
      </w:r>
      <w:r>
        <w:rPr>
          <w:spacing w:val="-3"/>
        </w:rPr>
        <w:t>elle </w:t>
      </w:r>
      <w:r>
        <w:rPr/>
        <w:t>contribue à optimiser </w:t>
      </w:r>
      <w:r>
        <w:rPr>
          <w:spacing w:val="-3"/>
        </w:rPr>
        <w:t>le </w:t>
      </w:r>
      <w:r>
        <w:rPr/>
        <w:t>temps, gérer </w:t>
      </w:r>
      <w:r>
        <w:rPr>
          <w:spacing w:val="-5"/>
        </w:rPr>
        <w:t>le </w:t>
      </w:r>
      <w:r>
        <w:rPr/>
        <w:t>compte CCP et </w:t>
      </w:r>
      <w:r>
        <w:rPr>
          <w:spacing w:val="-3"/>
        </w:rPr>
        <w:t>les </w:t>
      </w:r>
      <w:r>
        <w:rPr/>
        <w:t>opérations de n’importe où </w:t>
      </w:r>
      <w:r>
        <w:rPr>
          <w:spacing w:val="-3"/>
        </w:rPr>
        <w:t>et </w:t>
      </w:r>
      <w:r>
        <w:rPr/>
        <w:t>à n’importe quel moment), </w:t>
      </w:r>
      <w:r>
        <w:rPr>
          <w:spacing w:val="-4"/>
        </w:rPr>
        <w:t>les </w:t>
      </w:r>
      <w:r>
        <w:rPr/>
        <w:t>portefeuilles numérique (PayPal et Yassir-cash en Algérie) et paiement par des QR codes (AliPay).</w:t>
      </w:r>
    </w:p>
    <w:p>
      <w:pPr>
        <w:pStyle w:val="Heading5"/>
        <w:numPr>
          <w:ilvl w:val="0"/>
          <w:numId w:val="7"/>
        </w:numPr>
        <w:tabs>
          <w:tab w:pos="1315" w:val="left" w:leader="none"/>
        </w:tabs>
        <w:spacing w:line="240" w:lineRule="auto" w:before="168" w:after="0"/>
        <w:ind w:left="1314" w:right="0" w:hanging="433"/>
        <w:jc w:val="both"/>
      </w:pPr>
      <w:bookmarkStart w:name="3. Les avantages et inconvénients des pa" w:id="34"/>
      <w:bookmarkEnd w:id="34"/>
      <w:r>
        <w:rPr>
          <w:b w:val="0"/>
        </w:rPr>
      </w:r>
      <w:bookmarkStart w:name="3. Les avantages et inconvénients des pa" w:id="35"/>
      <w:bookmarkEnd w:id="35"/>
      <w:r>
        <w:rPr/>
        <w:t>L</w:t>
      </w:r>
      <w:r>
        <w:rPr/>
        <w:t>es avantages et inconvénients des paiements digitaux</w:t>
      </w:r>
    </w:p>
    <w:p>
      <w:pPr>
        <w:pStyle w:val="BodyText"/>
        <w:spacing w:before="4"/>
        <w:rPr>
          <w:b/>
          <w:sz w:val="22"/>
        </w:rPr>
      </w:pPr>
    </w:p>
    <w:p>
      <w:pPr>
        <w:pStyle w:val="BodyText"/>
        <w:spacing w:line="362" w:lineRule="auto" w:before="1"/>
        <w:ind w:left="699" w:right="311" w:firstLine="360"/>
        <w:jc w:val="both"/>
      </w:pPr>
      <w:r>
        <w:rPr/>
        <w:t>Les paiements digitaux offrent de nombreux avantages. En parallèle, ils comportent aussi certaines limites que nous résumons dans ce qui suit :</w:t>
      </w:r>
    </w:p>
    <w:p>
      <w:pPr>
        <w:pStyle w:val="BodyText"/>
        <w:spacing w:before="8"/>
      </w:pPr>
    </w:p>
    <w:p>
      <w:pPr>
        <w:pStyle w:val="Heading5"/>
        <w:numPr>
          <w:ilvl w:val="1"/>
          <w:numId w:val="7"/>
        </w:numPr>
        <w:tabs>
          <w:tab w:pos="1421" w:val="left" w:leader="none"/>
        </w:tabs>
        <w:spacing w:line="240" w:lineRule="auto" w:before="1" w:after="0"/>
        <w:ind w:left="1420" w:right="0" w:hanging="361"/>
        <w:jc w:val="left"/>
      </w:pPr>
      <w:bookmarkStart w:name="3.1 Avantages pour les entreprises" w:id="36"/>
      <w:bookmarkEnd w:id="36"/>
      <w:r>
        <w:rPr/>
        <w:t>Avan</w:t>
      </w:r>
      <w:r>
        <w:rPr/>
        <w:t>tages pour les entreprises</w:t>
      </w:r>
    </w:p>
    <w:p>
      <w:pPr>
        <w:pStyle w:val="BodyText"/>
        <w:spacing w:before="2"/>
        <w:rPr>
          <w:b/>
          <w:sz w:val="23"/>
        </w:rPr>
      </w:pPr>
    </w:p>
    <w:p>
      <w:pPr>
        <w:pStyle w:val="BodyText"/>
        <w:spacing w:line="367" w:lineRule="auto"/>
        <w:ind w:left="699" w:right="324" w:firstLine="360"/>
        <w:jc w:val="both"/>
      </w:pPr>
      <w:r>
        <w:rPr/>
        <w:t>Parmi les nombreux bénéfices offerts par les paiements digitaux, plusieurs concernent directement les entreprises.</w:t>
      </w:r>
    </w:p>
    <w:p>
      <w:pPr>
        <w:pStyle w:val="Heading5"/>
        <w:numPr>
          <w:ilvl w:val="2"/>
          <w:numId w:val="7"/>
        </w:numPr>
        <w:tabs>
          <w:tab w:pos="2140" w:val="left" w:leader="none"/>
          <w:tab w:pos="2141" w:val="left" w:leader="none"/>
        </w:tabs>
        <w:spacing w:line="240" w:lineRule="auto" w:before="154" w:after="0"/>
        <w:ind w:left="2140" w:right="0" w:hanging="721"/>
        <w:jc w:val="left"/>
        <w:rPr>
          <w:rFonts w:ascii="Calibri Light" w:hAnsi="Calibri Light"/>
          <w:b w:val="0"/>
          <w:i/>
          <w:sz w:val="22"/>
        </w:rPr>
      </w:pPr>
      <w:bookmarkStart w:name="3.1.1 Sécurité renforcée et prévention d" w:id="37"/>
      <w:bookmarkEnd w:id="37"/>
      <w:r>
        <w:rPr/>
        <w:t>S</w:t>
      </w:r>
      <w:r>
        <w:rPr/>
        <w:t>écurité renforcée et prévention de </w:t>
      </w:r>
      <w:r>
        <w:rPr>
          <w:spacing w:val="-3"/>
        </w:rPr>
        <w:t>la </w:t>
      </w:r>
      <w:r>
        <w:rPr/>
        <w:t>fraude</w:t>
      </w:r>
      <w:r>
        <w:rPr>
          <w:spacing w:val="4"/>
        </w:rPr>
        <w:t> </w:t>
      </w:r>
      <w:r>
        <w:rPr>
          <w:rFonts w:ascii="Calibri Light" w:hAnsi="Calibri Light"/>
          <w:b w:val="0"/>
          <w:i/>
          <w:sz w:val="22"/>
        </w:rPr>
        <w:t>:</w:t>
      </w:r>
    </w:p>
    <w:p>
      <w:pPr>
        <w:pStyle w:val="BodyText"/>
        <w:spacing w:before="11"/>
        <w:rPr>
          <w:rFonts w:ascii="Calibri Light"/>
          <w:b w:val="0"/>
          <w:i/>
          <w:sz w:val="20"/>
        </w:rPr>
      </w:pPr>
    </w:p>
    <w:p>
      <w:pPr>
        <w:pStyle w:val="BodyText"/>
        <w:spacing w:line="360" w:lineRule="auto"/>
        <w:ind w:left="699" w:right="316" w:firstLine="422"/>
        <w:jc w:val="both"/>
      </w:pPr>
      <w:r>
        <w:rPr/>
        <w:t>Les moyens de paiement numériques utilisent des technologies avancées pour améliorer la sécurité et lutter contre la fraude. Par exemple, les plateformes de mobile money protègent les</w:t>
      </w:r>
    </w:p>
    <w:p>
      <w:pPr>
        <w:pStyle w:val="BodyText"/>
        <w:rPr>
          <w:sz w:val="20"/>
        </w:rPr>
      </w:pPr>
    </w:p>
    <w:p>
      <w:pPr>
        <w:pStyle w:val="BodyText"/>
        <w:spacing w:before="4"/>
        <w:rPr>
          <w:sz w:val="18"/>
        </w:rPr>
      </w:pPr>
      <w:r>
        <w:rPr/>
        <w:pict>
          <v:shape style="position:absolute;margin-left:84.984001pt;margin-top:12.916341pt;width:144.1pt;height:.1pt;mso-position-horizontal-relative:page;mso-position-vertical-relative:paragraph;z-index:-251643904;mso-wrap-distance-left:0;mso-wrap-distance-right:0" coordorigin="1700,258" coordsize="2882,0" path="m1700,258l4581,258e" filled="false" stroked="true" strokeweight=".72003pt" strokecolor="#000000">
            <v:path arrowok="t"/>
            <v:stroke dashstyle="solid"/>
            <w10:wrap type="topAndBottom"/>
          </v:shape>
        </w:pict>
      </w:r>
    </w:p>
    <w:p>
      <w:pPr>
        <w:spacing w:before="62"/>
        <w:ind w:left="699" w:right="577" w:firstLine="0"/>
        <w:jc w:val="left"/>
        <w:rPr>
          <w:i/>
          <w:sz w:val="20"/>
        </w:rPr>
      </w:pPr>
      <w:r>
        <w:rPr>
          <w:i/>
          <w:position w:val="7"/>
          <w:sz w:val="13"/>
        </w:rPr>
        <w:t>1 </w:t>
      </w:r>
      <w:r>
        <w:rPr>
          <w:i/>
          <w:sz w:val="20"/>
        </w:rPr>
        <w:t>Turban, E., King, D., Lee, J., « Electronic Payment Systems », in Electronic Commerce 2018: A Managerial and </w:t>
      </w:r>
      <w:r>
        <w:rPr>
          <w:i/>
          <w:sz w:val="20"/>
        </w:rPr>
        <w:t>Social Networks Perspective, 9e éd., Springer, Cham, 12 octobre 2017</w:t>
      </w:r>
    </w:p>
    <w:p>
      <w:pPr>
        <w:spacing w:after="0"/>
        <w:jc w:val="left"/>
        <w:rPr>
          <w:sz w:val="20"/>
        </w:rPr>
        <w:sectPr>
          <w:pgSz w:w="12240" w:h="15840"/>
          <w:pgMar w:header="723" w:footer="850" w:top="1080" w:bottom="1040" w:left="1000" w:right="820"/>
        </w:sectPr>
      </w:pPr>
    </w:p>
    <w:p>
      <w:pPr>
        <w:pStyle w:val="BodyText"/>
        <w:rPr>
          <w:i/>
          <w:sz w:val="22"/>
        </w:rPr>
      </w:pPr>
    </w:p>
    <w:p>
      <w:pPr>
        <w:pStyle w:val="BodyText"/>
        <w:spacing w:line="357" w:lineRule="auto" w:before="90"/>
        <w:ind w:left="699" w:right="320"/>
        <w:jc w:val="both"/>
        <w:rPr>
          <w:sz w:val="16"/>
        </w:rPr>
      </w:pPr>
      <w:r>
        <w:rPr/>
        <w:t>transactions</w:t>
      </w:r>
      <w:r>
        <w:rPr>
          <w:spacing w:val="-7"/>
        </w:rPr>
        <w:t> </w:t>
      </w:r>
      <w:r>
        <w:rPr/>
        <w:t>et</w:t>
      </w:r>
      <w:r>
        <w:rPr>
          <w:spacing w:val="5"/>
        </w:rPr>
        <w:t> </w:t>
      </w:r>
      <w:r>
        <w:rPr>
          <w:spacing w:val="-4"/>
        </w:rPr>
        <w:t>les</w:t>
      </w:r>
      <w:r>
        <w:rPr>
          <w:spacing w:val="-7"/>
        </w:rPr>
        <w:t> </w:t>
      </w:r>
      <w:r>
        <w:rPr/>
        <w:t>données</w:t>
      </w:r>
      <w:r>
        <w:rPr>
          <w:spacing w:val="-7"/>
        </w:rPr>
        <w:t> </w:t>
      </w:r>
      <w:r>
        <w:rPr/>
        <w:t>personnelles</w:t>
      </w:r>
      <w:r>
        <w:rPr>
          <w:spacing w:val="-7"/>
        </w:rPr>
        <w:t> </w:t>
      </w:r>
      <w:r>
        <w:rPr/>
        <w:t>grâce</w:t>
      </w:r>
      <w:r>
        <w:rPr>
          <w:spacing w:val="-6"/>
        </w:rPr>
        <w:t> </w:t>
      </w:r>
      <w:r>
        <w:rPr/>
        <w:t>à</w:t>
      </w:r>
      <w:r>
        <w:rPr>
          <w:spacing w:val="-5"/>
        </w:rPr>
        <w:t> </w:t>
      </w:r>
      <w:r>
        <w:rPr>
          <w:spacing w:val="2"/>
        </w:rPr>
        <w:t>des</w:t>
      </w:r>
      <w:r>
        <w:rPr>
          <w:spacing w:val="-7"/>
        </w:rPr>
        <w:t> </w:t>
      </w:r>
      <w:r>
        <w:rPr/>
        <w:t>systèmes</w:t>
      </w:r>
      <w:r>
        <w:rPr>
          <w:spacing w:val="-7"/>
        </w:rPr>
        <w:t> </w:t>
      </w:r>
      <w:r>
        <w:rPr/>
        <w:t>de</w:t>
      </w:r>
      <w:r>
        <w:rPr>
          <w:spacing w:val="-6"/>
        </w:rPr>
        <w:t> </w:t>
      </w:r>
      <w:r>
        <w:rPr/>
        <w:t>cryptage</w:t>
      </w:r>
      <w:r>
        <w:rPr>
          <w:spacing w:val="-6"/>
        </w:rPr>
        <w:t> </w:t>
      </w:r>
      <w:r>
        <w:rPr/>
        <w:t>et d’authentification.</w:t>
      </w:r>
      <w:r>
        <w:rPr>
          <w:spacing w:val="-2"/>
        </w:rPr>
        <w:t> </w:t>
      </w:r>
      <w:r>
        <w:rPr/>
        <w:t>De plus,</w:t>
      </w:r>
      <w:r>
        <w:rPr>
          <w:spacing w:val="-11"/>
        </w:rPr>
        <w:t> </w:t>
      </w:r>
      <w:r>
        <w:rPr/>
        <w:t>les</w:t>
      </w:r>
      <w:r>
        <w:rPr>
          <w:spacing w:val="-18"/>
        </w:rPr>
        <w:t> </w:t>
      </w:r>
      <w:r>
        <w:rPr/>
        <w:t>téléphones</w:t>
      </w:r>
      <w:r>
        <w:rPr>
          <w:spacing w:val="-18"/>
        </w:rPr>
        <w:t> </w:t>
      </w:r>
      <w:r>
        <w:rPr/>
        <w:t>portables</w:t>
      </w:r>
      <w:r>
        <w:rPr>
          <w:spacing w:val="-19"/>
        </w:rPr>
        <w:t> </w:t>
      </w:r>
      <w:r>
        <w:rPr/>
        <w:t>peuvent</w:t>
      </w:r>
      <w:r>
        <w:rPr>
          <w:spacing w:val="-11"/>
        </w:rPr>
        <w:t> </w:t>
      </w:r>
      <w:r>
        <w:rPr/>
        <w:t>être</w:t>
      </w:r>
      <w:r>
        <w:rPr>
          <w:spacing w:val="-16"/>
        </w:rPr>
        <w:t> </w:t>
      </w:r>
      <w:r>
        <w:rPr/>
        <w:t>sécurisés</w:t>
      </w:r>
      <w:r>
        <w:rPr>
          <w:spacing w:val="-14"/>
        </w:rPr>
        <w:t> </w:t>
      </w:r>
      <w:r>
        <w:rPr/>
        <w:t>avec</w:t>
      </w:r>
      <w:r>
        <w:rPr>
          <w:spacing w:val="-16"/>
        </w:rPr>
        <w:t> </w:t>
      </w:r>
      <w:r>
        <w:rPr/>
        <w:t>des</w:t>
      </w:r>
      <w:r>
        <w:rPr>
          <w:spacing w:val="-14"/>
        </w:rPr>
        <w:t> </w:t>
      </w:r>
      <w:r>
        <w:rPr/>
        <w:t>méthodes</w:t>
      </w:r>
      <w:r>
        <w:rPr>
          <w:spacing w:val="-18"/>
        </w:rPr>
        <w:t> </w:t>
      </w:r>
      <w:r>
        <w:rPr/>
        <w:t>comme</w:t>
      </w:r>
      <w:r>
        <w:rPr>
          <w:spacing w:val="-13"/>
        </w:rPr>
        <w:t> </w:t>
      </w:r>
      <w:r>
        <w:rPr/>
        <w:t>l’empreinte</w:t>
      </w:r>
      <w:r>
        <w:rPr>
          <w:spacing w:val="-17"/>
        </w:rPr>
        <w:t> </w:t>
      </w:r>
      <w:r>
        <w:rPr/>
        <w:t>digitale ou </w:t>
      </w:r>
      <w:r>
        <w:rPr>
          <w:spacing w:val="-5"/>
        </w:rPr>
        <w:t>la </w:t>
      </w:r>
      <w:r>
        <w:rPr/>
        <w:t>reconnaissance faciale. Ces protections renforcent </w:t>
      </w:r>
      <w:r>
        <w:rPr>
          <w:spacing w:val="-5"/>
        </w:rPr>
        <w:t>la </w:t>
      </w:r>
      <w:r>
        <w:rPr/>
        <w:t>confiance des utilisateurs dans les paiements numériques et réduisent </w:t>
      </w:r>
      <w:r>
        <w:rPr>
          <w:spacing w:val="-3"/>
        </w:rPr>
        <w:t>les </w:t>
      </w:r>
      <w:r>
        <w:rPr/>
        <w:t>risques de fraude ou de vol d’identité.</w:t>
      </w:r>
      <w:r>
        <w:rPr>
          <w:spacing w:val="11"/>
        </w:rPr>
        <w:t> </w:t>
      </w:r>
      <w:r>
        <w:rPr>
          <w:position w:val="9"/>
          <w:sz w:val="16"/>
        </w:rPr>
        <w:t>1</w:t>
      </w:r>
    </w:p>
    <w:p>
      <w:pPr>
        <w:pStyle w:val="Heading5"/>
        <w:numPr>
          <w:ilvl w:val="2"/>
          <w:numId w:val="7"/>
        </w:numPr>
        <w:tabs>
          <w:tab w:pos="2141" w:val="left" w:leader="none"/>
        </w:tabs>
        <w:spacing w:line="240" w:lineRule="auto" w:before="164" w:after="0"/>
        <w:ind w:left="2140" w:right="0" w:hanging="721"/>
        <w:jc w:val="both"/>
        <w:rPr>
          <w:rFonts w:ascii="Calibri Light" w:hAnsi="Calibri Light"/>
          <w:b w:val="0"/>
          <w:i/>
          <w:sz w:val="22"/>
        </w:rPr>
      </w:pPr>
      <w:bookmarkStart w:name="3.1.2 Gestion financière et administrati" w:id="38"/>
      <w:bookmarkEnd w:id="38"/>
      <w:r>
        <w:rPr>
          <w:b w:val="0"/>
        </w:rPr>
      </w:r>
      <w:bookmarkStart w:name="3.1.2 Gestion financière et administrati" w:id="39"/>
      <w:bookmarkEnd w:id="39"/>
      <w:r>
        <w:rPr>
          <w:sz w:val="22"/>
        </w:rPr>
        <w:t>G</w:t>
      </w:r>
      <w:r>
        <w:rPr>
          <w:sz w:val="22"/>
        </w:rPr>
        <w:t>estion </w:t>
      </w:r>
      <w:r>
        <w:rPr/>
        <w:t>financière et administrative simplifiée</w:t>
      </w:r>
      <w:r>
        <w:rPr>
          <w:spacing w:val="5"/>
        </w:rPr>
        <w:t> </w:t>
      </w:r>
      <w:r>
        <w:rPr/>
        <w:t>:</w:t>
      </w:r>
      <w:r>
        <w:rPr>
          <w:rFonts w:ascii="Calibri Light" w:hAnsi="Calibri Light"/>
          <w:b w:val="0"/>
          <w:i/>
          <w:color w:val="2D74B5"/>
          <w:spacing w:val="2"/>
          <w:w w:val="100"/>
          <w:sz w:val="22"/>
        </w:rPr>
        <w:t> </w:t>
      </w:r>
      <w:r>
        <w:rPr>
          <w:rFonts w:ascii="Calibri Light" w:hAnsi="Calibri Light"/>
          <w:b w:val="0"/>
          <w:i/>
          <w:color w:val="2D74B5"/>
          <w:w w:val="100"/>
          <w:sz w:val="22"/>
        </w:rPr>
        <w:t> </w:t>
      </w:r>
    </w:p>
    <w:p>
      <w:pPr>
        <w:pStyle w:val="BodyText"/>
        <w:spacing w:before="1"/>
        <w:rPr>
          <w:rFonts w:ascii="Calibri Light"/>
          <w:b w:val="0"/>
          <w:i/>
          <w:sz w:val="21"/>
        </w:rPr>
      </w:pPr>
    </w:p>
    <w:p>
      <w:pPr>
        <w:pStyle w:val="BodyText"/>
        <w:spacing w:line="357" w:lineRule="auto"/>
        <w:ind w:left="699" w:right="319" w:firstLine="360"/>
        <w:jc w:val="both"/>
        <w:rPr>
          <w:sz w:val="16"/>
        </w:rPr>
      </w:pPr>
      <w:r>
        <w:rPr/>
        <w:t>Les paiements numériques permettent de suivre et de répertorier les dépenses journalières, ce qui facilite </w:t>
      </w:r>
      <w:r>
        <w:rPr>
          <w:spacing w:val="-3"/>
        </w:rPr>
        <w:t>la </w:t>
      </w:r>
      <w:r>
        <w:rPr/>
        <w:t>comptabilité, elle réduit aussi les coûts associés à </w:t>
      </w:r>
      <w:r>
        <w:rPr>
          <w:spacing w:val="-3"/>
        </w:rPr>
        <w:t>la </w:t>
      </w:r>
      <w:r>
        <w:rPr/>
        <w:t>gestion des transactions. Les commerçants n’ont pas besoin de s’occuper de </w:t>
      </w:r>
      <w:r>
        <w:rPr>
          <w:spacing w:val="-5"/>
        </w:rPr>
        <w:t>la </w:t>
      </w:r>
      <w:r>
        <w:rPr/>
        <w:t>gestion de fonds en espèces (La logistique de l’argent</w:t>
      </w:r>
      <w:r>
        <w:rPr>
          <w:spacing w:val="-9"/>
        </w:rPr>
        <w:t> </w:t>
      </w:r>
      <w:r>
        <w:rPr/>
        <w:t>liquide</w:t>
      </w:r>
      <w:r>
        <w:rPr>
          <w:spacing w:val="-11"/>
        </w:rPr>
        <w:t> </w:t>
      </w:r>
      <w:r>
        <w:rPr/>
        <w:t>implique</w:t>
      </w:r>
      <w:r>
        <w:rPr>
          <w:spacing w:val="-14"/>
        </w:rPr>
        <w:t> </w:t>
      </w:r>
      <w:r>
        <w:rPr/>
        <w:t>souvent</w:t>
      </w:r>
      <w:r>
        <w:rPr>
          <w:spacing w:val="-9"/>
        </w:rPr>
        <w:t> </w:t>
      </w:r>
      <w:r>
        <w:rPr/>
        <w:t>un</w:t>
      </w:r>
      <w:r>
        <w:rPr>
          <w:spacing w:val="-18"/>
        </w:rPr>
        <w:t> </w:t>
      </w:r>
      <w:r>
        <w:rPr/>
        <w:t>coût</w:t>
      </w:r>
      <w:r>
        <w:rPr>
          <w:spacing w:val="-14"/>
        </w:rPr>
        <w:t> </w:t>
      </w:r>
      <w:r>
        <w:rPr/>
        <w:t>(parfois</w:t>
      </w:r>
      <w:r>
        <w:rPr>
          <w:spacing w:val="-16"/>
        </w:rPr>
        <w:t> </w:t>
      </w:r>
      <w:r>
        <w:rPr/>
        <w:t>caché)</w:t>
      </w:r>
      <w:r>
        <w:rPr>
          <w:spacing w:val="-13"/>
        </w:rPr>
        <w:t> </w:t>
      </w:r>
      <w:r>
        <w:rPr/>
        <w:t>pour</w:t>
      </w:r>
      <w:r>
        <w:rPr>
          <w:spacing w:val="-12"/>
        </w:rPr>
        <w:t> </w:t>
      </w:r>
      <w:r>
        <w:rPr>
          <w:spacing w:val="-5"/>
        </w:rPr>
        <w:t>le</w:t>
      </w:r>
      <w:r>
        <w:rPr>
          <w:spacing w:val="-15"/>
        </w:rPr>
        <w:t> </w:t>
      </w:r>
      <w:r>
        <w:rPr/>
        <w:t>stockage,</w:t>
      </w:r>
      <w:r>
        <w:rPr>
          <w:spacing w:val="-11"/>
        </w:rPr>
        <w:t> </w:t>
      </w:r>
      <w:r>
        <w:rPr>
          <w:spacing w:val="-5"/>
        </w:rPr>
        <w:t>le</w:t>
      </w:r>
      <w:r>
        <w:rPr>
          <w:spacing w:val="-15"/>
        </w:rPr>
        <w:t> </w:t>
      </w:r>
      <w:r>
        <w:rPr/>
        <w:t>comptage,</w:t>
      </w:r>
      <w:r>
        <w:rPr>
          <w:spacing w:val="-11"/>
        </w:rPr>
        <w:t> </w:t>
      </w:r>
      <w:r>
        <w:rPr>
          <w:spacing w:val="-5"/>
        </w:rPr>
        <w:t>le</w:t>
      </w:r>
      <w:r>
        <w:rPr>
          <w:spacing w:val="-15"/>
        </w:rPr>
        <w:t> </w:t>
      </w:r>
      <w:r>
        <w:rPr/>
        <w:t>transport ou encore </w:t>
      </w:r>
      <w:r>
        <w:rPr>
          <w:spacing w:val="-3"/>
        </w:rPr>
        <w:t>le </w:t>
      </w:r>
      <w:r>
        <w:rPr/>
        <w:t>contrôle de l’authenticité des billets) ni de </w:t>
      </w:r>
      <w:r>
        <w:rPr>
          <w:spacing w:val="-5"/>
        </w:rPr>
        <w:t>la </w:t>
      </w:r>
      <w:r>
        <w:rPr/>
        <w:t>maintenance de terminaux de paiement électronique TPE coûteux.</w:t>
      </w:r>
      <w:r>
        <w:rPr>
          <w:spacing w:val="4"/>
        </w:rPr>
        <w:t> </w:t>
      </w:r>
      <w:r>
        <w:rPr>
          <w:position w:val="9"/>
          <w:sz w:val="16"/>
        </w:rPr>
        <w:t>2</w:t>
      </w:r>
    </w:p>
    <w:p>
      <w:pPr>
        <w:pStyle w:val="Heading5"/>
        <w:numPr>
          <w:ilvl w:val="2"/>
          <w:numId w:val="7"/>
        </w:numPr>
        <w:tabs>
          <w:tab w:pos="2141" w:val="left" w:leader="none"/>
        </w:tabs>
        <w:spacing w:line="240" w:lineRule="auto" w:before="163" w:after="0"/>
        <w:ind w:left="2140" w:right="0" w:hanging="721"/>
        <w:jc w:val="both"/>
      </w:pPr>
      <w:bookmarkStart w:name="3.1.3 Solution 100% dématérialisée :" w:id="40"/>
      <w:bookmarkEnd w:id="40"/>
      <w:r>
        <w:rPr>
          <w:b w:val="0"/>
        </w:rPr>
      </w:r>
      <w:bookmarkStart w:name="3.1.3 Solution 100% dématérialisée :" w:id="41"/>
      <w:bookmarkEnd w:id="41"/>
      <w:r>
        <w:rPr/>
        <w:t>S</w:t>
      </w:r>
      <w:r>
        <w:rPr/>
        <w:t>olution 100% dématérialisée</w:t>
      </w:r>
      <w:r>
        <w:rPr>
          <w:spacing w:val="4"/>
        </w:rPr>
        <w:t> </w:t>
      </w:r>
      <w:r>
        <w:rPr/>
        <w:t>:</w:t>
      </w:r>
    </w:p>
    <w:p>
      <w:pPr>
        <w:pStyle w:val="BodyText"/>
        <w:spacing w:before="9"/>
        <w:rPr>
          <w:b/>
          <w:sz w:val="22"/>
        </w:rPr>
      </w:pPr>
    </w:p>
    <w:p>
      <w:pPr>
        <w:pStyle w:val="BodyText"/>
        <w:spacing w:line="355" w:lineRule="auto"/>
        <w:ind w:left="699" w:right="321" w:firstLine="360"/>
        <w:jc w:val="both"/>
        <w:rPr>
          <w:sz w:val="16"/>
        </w:rPr>
      </w:pPr>
      <w:r>
        <w:rPr/>
        <w:t>Votre</w:t>
      </w:r>
      <w:r>
        <w:rPr>
          <w:spacing w:val="-12"/>
        </w:rPr>
        <w:t> </w:t>
      </w:r>
      <w:r>
        <w:rPr/>
        <w:t>client</w:t>
      </w:r>
      <w:r>
        <w:rPr>
          <w:spacing w:val="-2"/>
        </w:rPr>
        <w:t> </w:t>
      </w:r>
      <w:r>
        <w:rPr>
          <w:spacing w:val="-3"/>
        </w:rPr>
        <w:t>n’a</w:t>
      </w:r>
      <w:r>
        <w:rPr>
          <w:spacing w:val="-7"/>
        </w:rPr>
        <w:t> </w:t>
      </w:r>
      <w:r>
        <w:rPr/>
        <w:t>pas</w:t>
      </w:r>
      <w:r>
        <w:rPr>
          <w:spacing w:val="-4"/>
        </w:rPr>
        <w:t> </w:t>
      </w:r>
      <w:r>
        <w:rPr/>
        <w:t>besoin</w:t>
      </w:r>
      <w:r>
        <w:rPr>
          <w:spacing w:val="-11"/>
        </w:rPr>
        <w:t> </w:t>
      </w:r>
      <w:r>
        <w:rPr/>
        <w:t>d’avoir</w:t>
      </w:r>
      <w:r>
        <w:rPr>
          <w:spacing w:val="-4"/>
        </w:rPr>
        <w:t> </w:t>
      </w:r>
      <w:r>
        <w:rPr/>
        <w:t>sa</w:t>
      </w:r>
      <w:r>
        <w:rPr>
          <w:spacing w:val="-7"/>
        </w:rPr>
        <w:t> </w:t>
      </w:r>
      <w:r>
        <w:rPr/>
        <w:t>carte</w:t>
      </w:r>
      <w:r>
        <w:rPr>
          <w:spacing w:val="-7"/>
        </w:rPr>
        <w:t> </w:t>
      </w:r>
      <w:r>
        <w:rPr/>
        <w:t>bancaire</w:t>
      </w:r>
      <w:r>
        <w:rPr>
          <w:spacing w:val="-7"/>
        </w:rPr>
        <w:t> </w:t>
      </w:r>
      <w:r>
        <w:rPr/>
        <w:t>sur</w:t>
      </w:r>
      <w:r>
        <w:rPr>
          <w:spacing w:val="-4"/>
        </w:rPr>
        <w:t> </w:t>
      </w:r>
      <w:r>
        <w:rPr/>
        <w:t>lui</w:t>
      </w:r>
      <w:r>
        <w:rPr>
          <w:spacing w:val="-10"/>
        </w:rPr>
        <w:t> </w:t>
      </w:r>
      <w:r>
        <w:rPr/>
        <w:t>pour</w:t>
      </w:r>
      <w:r>
        <w:rPr>
          <w:spacing w:val="-4"/>
        </w:rPr>
        <w:t> </w:t>
      </w:r>
      <w:r>
        <w:rPr/>
        <w:t>finaliser</w:t>
      </w:r>
      <w:r>
        <w:rPr>
          <w:spacing w:val="-4"/>
        </w:rPr>
        <w:t> </w:t>
      </w:r>
      <w:r>
        <w:rPr/>
        <w:t>sa</w:t>
      </w:r>
      <w:r>
        <w:rPr>
          <w:spacing w:val="-7"/>
        </w:rPr>
        <w:t> </w:t>
      </w:r>
      <w:r>
        <w:rPr/>
        <w:t>commande.</w:t>
      </w:r>
      <w:r>
        <w:rPr>
          <w:spacing w:val="-5"/>
        </w:rPr>
        <w:t> </w:t>
      </w:r>
      <w:r>
        <w:rPr>
          <w:spacing w:val="3"/>
        </w:rPr>
        <w:t>Il</w:t>
      </w:r>
      <w:r>
        <w:rPr>
          <w:spacing w:val="-14"/>
        </w:rPr>
        <w:t> </w:t>
      </w:r>
      <w:r>
        <w:rPr/>
        <w:t>peut donc réaliser son achat en toute simplicité, directement depuis son mobile ou un autre appareil connecté cela améliore l’expérience client en offrant un paiement rapide, simple via </w:t>
      </w:r>
      <w:r>
        <w:rPr>
          <w:spacing w:val="-3"/>
        </w:rPr>
        <w:t>le </w:t>
      </w:r>
      <w:r>
        <w:rPr/>
        <w:t>mobile et plus de flexibilité dans les moyens de paiement proposés.</w:t>
      </w:r>
      <w:r>
        <w:rPr>
          <w:spacing w:val="25"/>
        </w:rPr>
        <w:t> </w:t>
      </w:r>
      <w:r>
        <w:rPr>
          <w:position w:val="9"/>
          <w:sz w:val="16"/>
        </w:rPr>
        <w:t>3</w:t>
      </w:r>
    </w:p>
    <w:p>
      <w:pPr>
        <w:pStyle w:val="BodyText"/>
        <w:spacing w:before="7"/>
        <w:rPr>
          <w:sz w:val="25"/>
        </w:rPr>
      </w:pPr>
    </w:p>
    <w:p>
      <w:pPr>
        <w:pStyle w:val="Heading5"/>
        <w:numPr>
          <w:ilvl w:val="1"/>
          <w:numId w:val="7"/>
        </w:numPr>
        <w:tabs>
          <w:tab w:pos="1061" w:val="left" w:leader="none"/>
        </w:tabs>
        <w:spacing w:line="240" w:lineRule="auto" w:before="1" w:after="0"/>
        <w:ind w:left="1060" w:right="0" w:hanging="362"/>
        <w:jc w:val="left"/>
      </w:pPr>
      <w:bookmarkStart w:name="3.2 Avantages et inconvénients pour les " w:id="42"/>
      <w:bookmarkEnd w:id="42"/>
      <w:r>
        <w:rPr>
          <w:b w:val="0"/>
        </w:rPr>
      </w:r>
      <w:bookmarkStart w:name="3.2 Avantages et inconvénients pour les " w:id="43"/>
      <w:bookmarkEnd w:id="43"/>
      <w:r>
        <w:rPr/>
        <w:t>Avan</w:t>
      </w:r>
      <w:r>
        <w:rPr/>
        <w:t>tages et inconvénients pour les utilisateurs</w:t>
      </w:r>
      <w:r>
        <w:rPr>
          <w:spacing w:val="4"/>
        </w:rPr>
        <w:t> </w:t>
      </w:r>
      <w:r>
        <w:rPr/>
        <w:t>:</w:t>
      </w:r>
    </w:p>
    <w:p>
      <w:pPr>
        <w:pStyle w:val="BodyText"/>
        <w:spacing w:before="5"/>
        <w:rPr>
          <w:b/>
        </w:rPr>
      </w:pPr>
    </w:p>
    <w:p>
      <w:pPr>
        <w:pStyle w:val="ListParagraph"/>
        <w:numPr>
          <w:ilvl w:val="2"/>
          <w:numId w:val="7"/>
        </w:numPr>
        <w:tabs>
          <w:tab w:pos="2141" w:val="left" w:leader="none"/>
        </w:tabs>
        <w:spacing w:line="283" w:lineRule="exact" w:before="0" w:after="0"/>
        <w:ind w:left="2140" w:right="0" w:hanging="721"/>
        <w:jc w:val="both"/>
        <w:rPr>
          <w:rFonts w:ascii="Calibri Light"/>
          <w:b w:val="0"/>
          <w:i/>
          <w:sz w:val="22"/>
        </w:rPr>
      </w:pPr>
      <w:bookmarkStart w:name="3.2.1 Avantages :" w:id="44"/>
      <w:bookmarkEnd w:id="44"/>
      <w:r>
        <w:rPr/>
      </w:r>
      <w:bookmarkStart w:name="3.2.1 Avantages :" w:id="45"/>
      <w:bookmarkEnd w:id="45"/>
      <w:r>
        <w:rPr>
          <w:b/>
          <w:sz w:val="24"/>
        </w:rPr>
        <w:t>Avan</w:t>
      </w:r>
      <w:r>
        <w:rPr>
          <w:b/>
          <w:sz w:val="24"/>
        </w:rPr>
        <w:t>tages</w:t>
      </w:r>
      <w:r>
        <w:rPr>
          <w:b/>
          <w:color w:val="2D74B5"/>
          <w:spacing w:val="-13"/>
          <w:sz w:val="24"/>
        </w:rPr>
        <w:t> </w:t>
      </w:r>
      <w:r>
        <w:rPr>
          <w:rFonts w:ascii="Calibri Light"/>
          <w:b w:val="0"/>
          <w:i/>
          <w:color w:val="2D74B5"/>
          <w:spacing w:val="4"/>
          <w:sz w:val="22"/>
        </w:rPr>
        <w:t>:</w:t>
      </w:r>
      <w:r>
        <w:rPr>
          <w:rFonts w:ascii="Calibri Light"/>
          <w:b w:val="0"/>
          <w:i/>
          <w:color w:val="2D74B5"/>
          <w:sz w:val="22"/>
        </w:rPr>
        <w:t> </w:t>
      </w:r>
    </w:p>
    <w:p>
      <w:pPr>
        <w:pStyle w:val="BodyText"/>
        <w:spacing w:line="291" w:lineRule="exact"/>
        <w:ind w:left="1060"/>
        <w:rPr>
          <w:sz w:val="16"/>
        </w:rPr>
      </w:pPr>
      <w:r>
        <w:rPr/>
        <w:t>Les avantages du paiement digital des utilisateurs sont résumés comme suit :</w:t>
      </w:r>
      <w:r>
        <w:rPr>
          <w:position w:val="9"/>
          <w:sz w:val="16"/>
        </w:rPr>
        <w:t>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pict>
          <v:shape style="position:absolute;margin-left:84.984001pt;margin-top:8.265215pt;width:144.1pt;height:.1pt;mso-position-horizontal-relative:page;mso-position-vertical-relative:paragraph;z-index:-251642880;mso-wrap-distance-left:0;mso-wrap-distance-right:0" coordorigin="1700,165" coordsize="2882,0" path="m1700,165l4581,165e" filled="false" stroked="true" strokeweight=".71997pt" strokecolor="#000000">
            <v:path arrowok="t"/>
            <v:stroke dashstyle="solid"/>
            <w10:wrap type="topAndBottom"/>
          </v:shape>
        </w:pict>
      </w:r>
    </w:p>
    <w:p>
      <w:pPr>
        <w:spacing w:line="244" w:lineRule="auto" w:before="69"/>
        <w:ind w:left="752" w:right="2353" w:hanging="53"/>
        <w:jc w:val="both"/>
        <w:rPr>
          <w:i/>
          <w:sz w:val="20"/>
        </w:rPr>
      </w:pPr>
      <w:r>
        <w:rPr>
          <w:rFonts w:ascii="Calibri" w:hAnsi="Calibri"/>
          <w:position w:val="7"/>
          <w:sz w:val="13"/>
        </w:rPr>
        <w:t>1 </w:t>
      </w:r>
      <w:r>
        <w:rPr>
          <w:i/>
          <w:sz w:val="20"/>
        </w:rPr>
        <w:t>Imagina, Paiement en ligne : tout ce qu’il faut savoir, Blog Imagina, Imagina, </w:t>
      </w:r>
      <w:hyperlink r:id="rId30">
        <w:r>
          <w:rPr>
            <w:i/>
            <w:color w:val="0462C1"/>
            <w:sz w:val="20"/>
            <w:u w:val="single" w:color="0462C1"/>
          </w:rPr>
          <w:t>https://imagina.com/fr/blog/article/paiement-en-ligne/</w:t>
        </w:r>
        <w:r>
          <w:rPr>
            <w:i/>
            <w:color w:val="0462C1"/>
            <w:sz w:val="20"/>
          </w:rPr>
          <w:t> </w:t>
        </w:r>
      </w:hyperlink>
      <w:r>
        <w:rPr>
          <w:i/>
          <w:sz w:val="20"/>
        </w:rPr>
        <w:t>, [consulté le 20 mai 2025 à 17h08</w:t>
      </w:r>
      <w:r>
        <w:rPr>
          <w:i/>
          <w:spacing w:val="-29"/>
          <w:sz w:val="20"/>
        </w:rPr>
        <w:t> </w:t>
      </w:r>
      <w:r>
        <w:rPr>
          <w:i/>
          <w:sz w:val="20"/>
        </w:rPr>
        <w:t>]</w:t>
      </w:r>
    </w:p>
    <w:p>
      <w:pPr>
        <w:spacing w:line="240" w:lineRule="auto" w:before="0"/>
        <w:ind w:left="699" w:right="306" w:firstLine="0"/>
        <w:jc w:val="both"/>
        <w:rPr>
          <w:i/>
          <w:sz w:val="20"/>
        </w:rPr>
      </w:pPr>
      <w:r>
        <w:rPr>
          <w:i/>
          <w:position w:val="7"/>
          <w:sz w:val="13"/>
        </w:rPr>
        <w:t>2</w:t>
      </w:r>
      <w:r>
        <w:rPr>
          <w:i/>
          <w:sz w:val="20"/>
        </w:rPr>
        <w:t>Market Pay, Paiement à distance : quelles solutions proposées ? Quels avantages et inconvénients ?, Blog Market </w:t>
      </w:r>
      <w:r>
        <w:rPr>
          <w:i/>
          <w:sz w:val="20"/>
        </w:rPr>
        <w:t>Pay, Market Pay, </w:t>
      </w:r>
      <w:hyperlink r:id="rId31">
        <w:r>
          <w:rPr>
            <w:i/>
            <w:color w:val="0462C1"/>
            <w:sz w:val="20"/>
            <w:u w:val="single" w:color="0462C1"/>
          </w:rPr>
          <w:t>https://market-pay.com/blog/paiement-a-distance-quelles-solutions-proposees-quels-avantages-et-</w:t>
        </w:r>
      </w:hyperlink>
      <w:r>
        <w:rPr>
          <w:i/>
          <w:color w:val="0462C1"/>
          <w:sz w:val="20"/>
        </w:rPr>
        <w:t> </w:t>
      </w:r>
      <w:hyperlink r:id="rId31">
        <w:r>
          <w:rPr>
            <w:i/>
            <w:color w:val="0462C1"/>
            <w:sz w:val="20"/>
            <w:u w:val="single" w:color="0462C1"/>
          </w:rPr>
          <w:t>inconvenients</w:t>
        </w:r>
        <w:r>
          <w:rPr>
            <w:i/>
            <w:color w:val="0462C1"/>
            <w:sz w:val="20"/>
          </w:rPr>
          <w:t> </w:t>
        </w:r>
      </w:hyperlink>
      <w:r>
        <w:rPr>
          <w:i/>
          <w:sz w:val="20"/>
        </w:rPr>
        <w:t>, [consulté le 20 mai à 17h10 ]</w:t>
      </w:r>
    </w:p>
    <w:p>
      <w:pPr>
        <w:spacing w:line="242" w:lineRule="auto" w:before="0"/>
        <w:ind w:left="699" w:right="400" w:firstLine="0"/>
        <w:jc w:val="left"/>
        <w:rPr>
          <w:i/>
          <w:sz w:val="20"/>
        </w:rPr>
      </w:pPr>
      <w:r>
        <w:rPr>
          <w:rFonts w:ascii="Calibri" w:hAnsi="Calibri"/>
          <w:position w:val="7"/>
          <w:sz w:val="13"/>
        </w:rPr>
        <w:t>3 </w:t>
      </w:r>
      <w:r>
        <w:rPr>
          <w:i/>
          <w:sz w:val="20"/>
        </w:rPr>
        <w:t>PayPlug, Les différents moyens de paiement : avantages et inconvénients, Blog PayPlug, PayPlug, </w:t>
      </w:r>
      <w:hyperlink r:id="rId32">
        <w:r>
          <w:rPr>
            <w:i/>
            <w:color w:val="0462C1"/>
            <w:sz w:val="20"/>
            <w:u w:val="single" w:color="0462C1"/>
          </w:rPr>
          <w:t>https://www.payplug.com/fr/blog/differents-moyens-paiement-avantages-inconvenients/</w:t>
        </w:r>
        <w:r>
          <w:rPr>
            <w:i/>
            <w:color w:val="0462C1"/>
            <w:sz w:val="20"/>
          </w:rPr>
          <w:t> </w:t>
        </w:r>
      </w:hyperlink>
      <w:r>
        <w:rPr>
          <w:i/>
          <w:sz w:val="20"/>
        </w:rPr>
        <w:t>, [consulté le 20 mai 2025 à 17h13]</w:t>
      </w:r>
    </w:p>
    <w:p>
      <w:pPr>
        <w:spacing w:line="244" w:lineRule="auto" w:before="0"/>
        <w:ind w:left="699" w:right="303" w:firstLine="0"/>
        <w:jc w:val="left"/>
        <w:rPr>
          <w:i/>
          <w:sz w:val="20"/>
        </w:rPr>
      </w:pPr>
      <w:r>
        <w:rPr>
          <w:rFonts w:ascii="Calibri" w:hAnsi="Calibri"/>
          <w:position w:val="7"/>
          <w:sz w:val="13"/>
        </w:rPr>
        <w:t>4</w:t>
      </w:r>
      <w:r>
        <w:rPr>
          <w:i/>
          <w:sz w:val="20"/>
        </w:rPr>
        <w:t>ASJP, Présentation de la revue, Portail ASJP, CERIST, Alger, </w:t>
      </w:r>
      <w:hyperlink r:id="rId33">
        <w:r>
          <w:rPr>
            <w:i/>
            <w:color w:val="0462C1"/>
            <w:sz w:val="20"/>
            <w:u w:val="single" w:color="0462C1"/>
          </w:rPr>
          <w:t>https://www.asjp.cerist.dz/en/PresentationRevue/417</w:t>
        </w:r>
        <w:r>
          <w:rPr>
            <w:i/>
            <w:sz w:val="20"/>
          </w:rPr>
          <w:t>,</w:t>
        </w:r>
      </w:hyperlink>
      <w:r>
        <w:rPr>
          <w:i/>
          <w:sz w:val="20"/>
        </w:rPr>
        <w:t> </w:t>
      </w:r>
      <w:r>
        <w:rPr>
          <w:i/>
          <w:sz w:val="20"/>
        </w:rPr>
        <w:t>[consulté le 20 mai 2025 a 15h]</w:t>
      </w:r>
    </w:p>
    <w:p>
      <w:pPr>
        <w:spacing w:after="0" w:line="244" w:lineRule="auto"/>
        <w:jc w:val="left"/>
        <w:rPr>
          <w:sz w:val="20"/>
        </w:rPr>
        <w:sectPr>
          <w:pgSz w:w="12240" w:h="15840"/>
          <w:pgMar w:header="723" w:footer="850" w:top="1080" w:bottom="1040" w:left="1000" w:right="820"/>
        </w:sectPr>
      </w:pPr>
    </w:p>
    <w:p>
      <w:pPr>
        <w:pStyle w:val="BodyText"/>
        <w:spacing w:before="5"/>
        <w:rPr>
          <w:i/>
          <w:sz w:val="22"/>
        </w:rPr>
      </w:pPr>
    </w:p>
    <w:p>
      <w:pPr>
        <w:pStyle w:val="Heading5"/>
        <w:numPr>
          <w:ilvl w:val="3"/>
          <w:numId w:val="7"/>
        </w:numPr>
        <w:tabs>
          <w:tab w:pos="2861" w:val="left" w:leader="none"/>
        </w:tabs>
        <w:spacing w:line="240" w:lineRule="auto" w:before="90" w:after="0"/>
        <w:ind w:left="2860" w:right="0" w:hanging="721"/>
        <w:jc w:val="left"/>
      </w:pPr>
      <w:bookmarkStart w:name="3.2.1.1 Rapidité d’utilisation lors des " w:id="46"/>
      <w:bookmarkEnd w:id="46"/>
      <w:r>
        <w:rPr>
          <w:b w:val="0"/>
        </w:rPr>
      </w:r>
      <w:bookmarkStart w:name="3.2.1.1 Rapidité d’utilisation lors des " w:id="47"/>
      <w:bookmarkEnd w:id="47"/>
      <w:r>
        <w:rPr/>
        <w:t>Rap</w:t>
      </w:r>
      <w:r>
        <w:rPr/>
        <w:t>idité d’utilisation </w:t>
      </w:r>
      <w:r>
        <w:rPr>
          <w:spacing w:val="-3"/>
        </w:rPr>
        <w:t>lors </w:t>
      </w:r>
      <w:r>
        <w:rPr/>
        <w:t>des transactions</w:t>
      </w:r>
      <w:r>
        <w:rPr>
          <w:spacing w:val="9"/>
        </w:rPr>
        <w:t> </w:t>
      </w:r>
      <w:r>
        <w:rPr/>
        <w:t>:</w:t>
      </w:r>
    </w:p>
    <w:p>
      <w:pPr>
        <w:pStyle w:val="BodyText"/>
        <w:spacing w:before="3"/>
        <w:rPr>
          <w:b/>
          <w:sz w:val="22"/>
        </w:rPr>
      </w:pPr>
    </w:p>
    <w:p>
      <w:pPr>
        <w:pStyle w:val="BodyText"/>
        <w:spacing w:line="367" w:lineRule="auto" w:before="1"/>
        <w:ind w:left="699" w:right="317" w:firstLine="360"/>
        <w:jc w:val="both"/>
      </w:pPr>
      <w:r>
        <w:rPr/>
        <w:t>Cela permet aux utilisateurs d’éviter la file d’attente et faire leurs paiements rapidement dans un clic.</w:t>
      </w:r>
    </w:p>
    <w:p>
      <w:pPr>
        <w:pStyle w:val="Heading5"/>
        <w:numPr>
          <w:ilvl w:val="3"/>
          <w:numId w:val="7"/>
        </w:numPr>
        <w:tabs>
          <w:tab w:pos="2861" w:val="left" w:leader="none"/>
        </w:tabs>
        <w:spacing w:line="240" w:lineRule="auto" w:before="149" w:after="0"/>
        <w:ind w:left="2860" w:right="0" w:hanging="721"/>
        <w:jc w:val="left"/>
      </w:pPr>
      <w:bookmarkStart w:name="3.2.1.2 Évite le port de l’argent liquid" w:id="48"/>
      <w:bookmarkEnd w:id="48"/>
      <w:r>
        <w:rPr>
          <w:b w:val="0"/>
        </w:rPr>
      </w:r>
      <w:bookmarkStart w:name="3.2.1.2 Évite le port de l’argent liquid" w:id="49"/>
      <w:bookmarkEnd w:id="49"/>
      <w:r>
        <w:rPr/>
        <w:t>É</w:t>
      </w:r>
      <w:r>
        <w:rPr/>
        <w:t>vite </w:t>
      </w:r>
      <w:r>
        <w:rPr>
          <w:spacing w:val="-3"/>
        </w:rPr>
        <w:t>le </w:t>
      </w:r>
      <w:r>
        <w:rPr/>
        <w:t>port de l’argent liquide sur soi</w:t>
      </w:r>
      <w:r>
        <w:rPr>
          <w:spacing w:val="14"/>
        </w:rPr>
        <w:t> </w:t>
      </w:r>
      <w:r>
        <w:rPr/>
        <w:t>:</w:t>
      </w:r>
    </w:p>
    <w:p>
      <w:pPr>
        <w:pStyle w:val="BodyText"/>
        <w:spacing w:before="4"/>
        <w:rPr>
          <w:b/>
          <w:sz w:val="22"/>
        </w:rPr>
      </w:pPr>
    </w:p>
    <w:p>
      <w:pPr>
        <w:pStyle w:val="BodyText"/>
        <w:spacing w:line="362" w:lineRule="auto"/>
        <w:ind w:left="699" w:right="327" w:firstLine="360"/>
        <w:jc w:val="both"/>
      </w:pPr>
      <w:r>
        <w:rPr/>
        <w:t>Le paiement digital aide les utilisateurs à ne pas avoir besoin de porter de l’argent, que ce soit en billets ou en pièces afin d’éviter les perdre et les risques de vol.</w:t>
      </w:r>
    </w:p>
    <w:p>
      <w:pPr>
        <w:pStyle w:val="Heading5"/>
        <w:numPr>
          <w:ilvl w:val="3"/>
          <w:numId w:val="7"/>
        </w:numPr>
        <w:tabs>
          <w:tab w:pos="2861" w:val="left" w:leader="none"/>
        </w:tabs>
        <w:spacing w:line="240" w:lineRule="auto" w:before="161" w:after="0"/>
        <w:ind w:left="2860" w:right="0" w:hanging="721"/>
        <w:jc w:val="left"/>
      </w:pPr>
      <w:bookmarkStart w:name="3.2.1.3 Facilite toutes opérations, tran" w:id="50"/>
      <w:bookmarkEnd w:id="50"/>
      <w:r>
        <w:rPr>
          <w:b w:val="0"/>
        </w:rPr>
      </w:r>
      <w:bookmarkStart w:name="3.2.1.3 Facilite toutes opérations, tran" w:id="51"/>
      <w:bookmarkEnd w:id="51"/>
      <w:r>
        <w:rPr/>
        <w:t>F</w:t>
      </w:r>
      <w:r>
        <w:rPr/>
        <w:t>acilite toutes opérations, transactions et paiements en ligne</w:t>
      </w:r>
      <w:r>
        <w:rPr>
          <w:spacing w:val="9"/>
        </w:rPr>
        <w:t> </w:t>
      </w:r>
      <w:r>
        <w:rPr/>
        <w:t>:</w:t>
      </w:r>
    </w:p>
    <w:p>
      <w:pPr>
        <w:pStyle w:val="BodyText"/>
        <w:spacing w:before="3"/>
        <w:rPr>
          <w:b/>
          <w:sz w:val="22"/>
        </w:rPr>
      </w:pPr>
    </w:p>
    <w:p>
      <w:pPr>
        <w:pStyle w:val="BodyText"/>
        <w:spacing w:line="362" w:lineRule="auto"/>
        <w:ind w:left="699" w:right="315" w:firstLine="422"/>
        <w:jc w:val="both"/>
      </w:pPr>
      <w:r>
        <w:rPr/>
        <w:t>Moyen</w:t>
      </w:r>
      <w:r>
        <w:rPr>
          <w:spacing w:val="-15"/>
        </w:rPr>
        <w:t> </w:t>
      </w:r>
      <w:r>
        <w:rPr/>
        <w:t>de</w:t>
      </w:r>
      <w:r>
        <w:rPr>
          <w:spacing w:val="-12"/>
        </w:rPr>
        <w:t> </w:t>
      </w:r>
      <w:r>
        <w:rPr/>
        <w:t>règlement</w:t>
      </w:r>
      <w:r>
        <w:rPr>
          <w:spacing w:val="-6"/>
        </w:rPr>
        <w:t> </w:t>
      </w:r>
      <w:r>
        <w:rPr/>
        <w:t>simple</w:t>
      </w:r>
      <w:r>
        <w:rPr>
          <w:spacing w:val="-12"/>
        </w:rPr>
        <w:t> </w:t>
      </w:r>
      <w:r>
        <w:rPr/>
        <w:t>et</w:t>
      </w:r>
      <w:r>
        <w:rPr>
          <w:spacing w:val="-6"/>
        </w:rPr>
        <w:t> </w:t>
      </w:r>
      <w:r>
        <w:rPr/>
        <w:t>pratique</w:t>
      </w:r>
      <w:r>
        <w:rPr>
          <w:spacing w:val="-12"/>
        </w:rPr>
        <w:t> </w:t>
      </w:r>
      <w:r>
        <w:rPr/>
        <w:t>car</w:t>
      </w:r>
      <w:r>
        <w:rPr>
          <w:spacing w:val="-4"/>
        </w:rPr>
        <w:t> </w:t>
      </w:r>
      <w:r>
        <w:rPr>
          <w:spacing w:val="-3"/>
        </w:rPr>
        <w:t>il</w:t>
      </w:r>
      <w:r>
        <w:rPr>
          <w:spacing w:val="-14"/>
        </w:rPr>
        <w:t> </w:t>
      </w:r>
      <w:r>
        <w:rPr/>
        <w:t>permet</w:t>
      </w:r>
      <w:r>
        <w:rPr>
          <w:spacing w:val="-6"/>
        </w:rPr>
        <w:t> </w:t>
      </w:r>
      <w:r>
        <w:rPr/>
        <w:t>d’effectuer</w:t>
      </w:r>
      <w:r>
        <w:rPr>
          <w:spacing w:val="-9"/>
        </w:rPr>
        <w:t> </w:t>
      </w:r>
      <w:r>
        <w:rPr/>
        <w:t>des</w:t>
      </w:r>
      <w:r>
        <w:rPr>
          <w:spacing w:val="-13"/>
        </w:rPr>
        <w:t> </w:t>
      </w:r>
      <w:r>
        <w:rPr/>
        <w:t>opérations</w:t>
      </w:r>
      <w:r>
        <w:rPr>
          <w:spacing w:val="-13"/>
        </w:rPr>
        <w:t> </w:t>
      </w:r>
      <w:r>
        <w:rPr/>
        <w:t>à</w:t>
      </w:r>
      <w:r>
        <w:rPr>
          <w:spacing w:val="-12"/>
        </w:rPr>
        <w:t> </w:t>
      </w:r>
      <w:r>
        <w:rPr/>
        <w:t>tout</w:t>
      </w:r>
      <w:r>
        <w:rPr>
          <w:spacing w:val="-6"/>
        </w:rPr>
        <w:t> </w:t>
      </w:r>
      <w:r>
        <w:rPr/>
        <w:t>moment, sans perdre du temps et </w:t>
      </w:r>
      <w:r>
        <w:rPr>
          <w:spacing w:val="-3"/>
        </w:rPr>
        <w:t>sans </w:t>
      </w:r>
      <w:r>
        <w:rPr/>
        <w:t>déplacement, aussi disponible 24h/24 et</w:t>
      </w:r>
      <w:r>
        <w:rPr>
          <w:spacing w:val="7"/>
        </w:rPr>
        <w:t> </w:t>
      </w:r>
      <w:r>
        <w:rPr/>
        <w:t>7j/7.</w:t>
      </w:r>
    </w:p>
    <w:p>
      <w:pPr>
        <w:pStyle w:val="Heading5"/>
        <w:numPr>
          <w:ilvl w:val="3"/>
          <w:numId w:val="7"/>
        </w:numPr>
        <w:tabs>
          <w:tab w:pos="2861" w:val="left" w:leader="none"/>
        </w:tabs>
        <w:spacing w:line="259" w:lineRule="auto" w:before="161" w:after="0"/>
        <w:ind w:left="2500" w:right="316" w:hanging="361"/>
        <w:jc w:val="left"/>
      </w:pPr>
      <w:bookmarkStart w:name="3.2.1.4 Protection renforcée grâce au co" w:id="52"/>
      <w:bookmarkEnd w:id="52"/>
      <w:r>
        <w:rPr>
          <w:b w:val="0"/>
        </w:rPr>
      </w:r>
      <w:bookmarkStart w:name="3.2.1.4 Protection renforcée grâce au co" w:id="53"/>
      <w:bookmarkEnd w:id="53"/>
      <w:r>
        <w:rPr/>
        <w:t>P</w:t>
      </w:r>
      <w:r>
        <w:rPr/>
        <w:t>rotection renforcée grâce au code confidentiel personnel (CVV2 et OTP)</w:t>
      </w:r>
      <w:r>
        <w:rPr>
          <w:spacing w:val="3"/>
        </w:rPr>
        <w:t> </w:t>
      </w:r>
      <w:r>
        <w:rPr/>
        <w:t>:</w:t>
      </w:r>
    </w:p>
    <w:p>
      <w:pPr>
        <w:pStyle w:val="BodyText"/>
        <w:spacing w:before="4"/>
        <w:rPr>
          <w:b/>
          <w:sz w:val="20"/>
        </w:rPr>
      </w:pPr>
    </w:p>
    <w:p>
      <w:pPr>
        <w:pStyle w:val="BodyText"/>
        <w:spacing w:line="360" w:lineRule="auto" w:before="1"/>
        <w:ind w:left="699" w:right="317" w:firstLine="360"/>
        <w:jc w:val="both"/>
      </w:pPr>
      <w:r>
        <w:rPr/>
        <w:t>Offre une sécurité améliorée et garanti </w:t>
      </w:r>
      <w:r>
        <w:rPr>
          <w:spacing w:val="-3"/>
        </w:rPr>
        <w:t>la </w:t>
      </w:r>
      <w:r>
        <w:rPr/>
        <w:t>confidentialité grâce à deux codes confidentiels personnels</w:t>
      </w:r>
      <w:r>
        <w:rPr>
          <w:spacing w:val="-7"/>
        </w:rPr>
        <w:t> </w:t>
      </w:r>
      <w:r>
        <w:rPr/>
        <w:t>(CCV2</w:t>
      </w:r>
      <w:r>
        <w:rPr>
          <w:spacing w:val="-10"/>
        </w:rPr>
        <w:t> </w:t>
      </w:r>
      <w:r>
        <w:rPr/>
        <w:t>et</w:t>
      </w:r>
      <w:r>
        <w:rPr>
          <w:spacing w:val="-4"/>
        </w:rPr>
        <w:t> </w:t>
      </w:r>
      <w:r>
        <w:rPr/>
        <w:t>OTP).</w:t>
      </w:r>
      <w:r>
        <w:rPr>
          <w:spacing w:val="-8"/>
        </w:rPr>
        <w:t> </w:t>
      </w:r>
      <w:r>
        <w:rPr/>
        <w:t>Le</w:t>
      </w:r>
      <w:r>
        <w:rPr>
          <w:spacing w:val="-10"/>
        </w:rPr>
        <w:t> </w:t>
      </w:r>
      <w:r>
        <w:rPr/>
        <w:t>CVV2</w:t>
      </w:r>
      <w:r>
        <w:rPr>
          <w:spacing w:val="-10"/>
        </w:rPr>
        <w:t> </w:t>
      </w:r>
      <w:r>
        <w:rPr/>
        <w:t>est</w:t>
      </w:r>
      <w:r>
        <w:rPr>
          <w:spacing w:val="-5"/>
        </w:rPr>
        <w:t> </w:t>
      </w:r>
      <w:r>
        <w:rPr/>
        <w:t>un</w:t>
      </w:r>
      <w:r>
        <w:rPr>
          <w:spacing w:val="-13"/>
        </w:rPr>
        <w:t> </w:t>
      </w:r>
      <w:r>
        <w:rPr/>
        <w:t>petit</w:t>
      </w:r>
      <w:r>
        <w:rPr>
          <w:spacing w:val="-5"/>
        </w:rPr>
        <w:t> </w:t>
      </w:r>
      <w:r>
        <w:rPr/>
        <w:t>code</w:t>
      </w:r>
      <w:r>
        <w:rPr>
          <w:spacing w:val="-10"/>
        </w:rPr>
        <w:t> </w:t>
      </w:r>
      <w:r>
        <w:rPr/>
        <w:t>à</w:t>
      </w:r>
      <w:r>
        <w:rPr>
          <w:spacing w:val="-11"/>
        </w:rPr>
        <w:t> </w:t>
      </w:r>
      <w:r>
        <w:rPr/>
        <w:t>3</w:t>
      </w:r>
      <w:r>
        <w:rPr>
          <w:spacing w:val="-9"/>
        </w:rPr>
        <w:t> </w:t>
      </w:r>
      <w:r>
        <w:rPr/>
        <w:t>chiffres</w:t>
      </w:r>
      <w:r>
        <w:rPr>
          <w:spacing w:val="-12"/>
        </w:rPr>
        <w:t> </w:t>
      </w:r>
      <w:r>
        <w:rPr/>
        <w:t>situé</w:t>
      </w:r>
      <w:r>
        <w:rPr>
          <w:spacing w:val="-5"/>
        </w:rPr>
        <w:t> </w:t>
      </w:r>
      <w:r>
        <w:rPr/>
        <w:t>au</w:t>
      </w:r>
      <w:r>
        <w:rPr>
          <w:spacing w:val="-10"/>
        </w:rPr>
        <w:t> </w:t>
      </w:r>
      <w:r>
        <w:rPr/>
        <w:t>dos</w:t>
      </w:r>
      <w:r>
        <w:rPr>
          <w:spacing w:val="-11"/>
        </w:rPr>
        <w:t> </w:t>
      </w:r>
      <w:r>
        <w:rPr/>
        <w:t>de</w:t>
      </w:r>
      <w:r>
        <w:rPr>
          <w:spacing w:val="-6"/>
        </w:rPr>
        <w:t> </w:t>
      </w:r>
      <w:r>
        <w:rPr>
          <w:spacing w:val="-5"/>
        </w:rPr>
        <w:t>la</w:t>
      </w:r>
      <w:r>
        <w:rPr>
          <w:spacing w:val="-10"/>
        </w:rPr>
        <w:t> </w:t>
      </w:r>
      <w:r>
        <w:rPr/>
        <w:t>carte</w:t>
      </w:r>
      <w:r>
        <w:rPr>
          <w:spacing w:val="-11"/>
        </w:rPr>
        <w:t> </w:t>
      </w:r>
      <w:r>
        <w:rPr/>
        <w:t>bancaire et </w:t>
      </w:r>
      <w:r>
        <w:rPr>
          <w:spacing w:val="-3"/>
        </w:rPr>
        <w:t>il </w:t>
      </w:r>
      <w:r>
        <w:rPr/>
        <w:t>est demandé pour chaque opération effectuée en </w:t>
      </w:r>
      <w:r>
        <w:rPr>
          <w:spacing w:val="-3"/>
        </w:rPr>
        <w:t>ligne </w:t>
      </w:r>
      <w:r>
        <w:rPr/>
        <w:t>pour la passer, </w:t>
      </w:r>
      <w:r>
        <w:rPr>
          <w:spacing w:val="-3"/>
        </w:rPr>
        <w:t>même </w:t>
      </w:r>
      <w:r>
        <w:rPr/>
        <w:t>pour confirmer que c’est </w:t>
      </w:r>
      <w:r>
        <w:rPr>
          <w:spacing w:val="-5"/>
        </w:rPr>
        <w:t>la </w:t>
      </w:r>
      <w:r>
        <w:rPr/>
        <w:t>bonne personne qui possède </w:t>
      </w:r>
      <w:r>
        <w:rPr>
          <w:spacing w:val="-3"/>
        </w:rPr>
        <w:t>la </w:t>
      </w:r>
      <w:r>
        <w:rPr/>
        <w:t>carte </w:t>
      </w:r>
      <w:r>
        <w:rPr>
          <w:spacing w:val="-3"/>
        </w:rPr>
        <w:t>et </w:t>
      </w:r>
      <w:r>
        <w:rPr/>
        <w:t>pas quelqu’un d’autre en cas de vol du numéro de </w:t>
      </w:r>
      <w:r>
        <w:rPr>
          <w:spacing w:val="-5"/>
        </w:rPr>
        <w:t>la </w:t>
      </w:r>
      <w:r>
        <w:rPr/>
        <w:t>carte. Pour l’OTP, est un code secret temporaire qui sera reçu par sms pour confirmer </w:t>
      </w:r>
      <w:r>
        <w:rPr>
          <w:spacing w:val="-3"/>
        </w:rPr>
        <w:t>la </w:t>
      </w:r>
      <w:r>
        <w:rPr/>
        <w:t>transaction, </w:t>
      </w:r>
      <w:r>
        <w:rPr>
          <w:spacing w:val="-3"/>
        </w:rPr>
        <w:t>il </w:t>
      </w:r>
      <w:r>
        <w:rPr/>
        <w:t>sera changé chaque transaction et </w:t>
      </w:r>
      <w:r>
        <w:rPr>
          <w:spacing w:val="-3"/>
        </w:rPr>
        <w:t>il </w:t>
      </w:r>
      <w:r>
        <w:rPr/>
        <w:t>doit entrer pour valider </w:t>
      </w:r>
      <w:r>
        <w:rPr>
          <w:spacing w:val="-5"/>
        </w:rPr>
        <w:t>le</w:t>
      </w:r>
      <w:r>
        <w:rPr>
          <w:spacing w:val="15"/>
        </w:rPr>
        <w:t> </w:t>
      </w:r>
      <w:r>
        <w:rPr/>
        <w:t>paiement.</w:t>
      </w:r>
    </w:p>
    <w:p>
      <w:pPr>
        <w:pStyle w:val="Heading5"/>
        <w:numPr>
          <w:ilvl w:val="2"/>
          <w:numId w:val="7"/>
        </w:numPr>
        <w:tabs>
          <w:tab w:pos="2141" w:val="left" w:leader="none"/>
        </w:tabs>
        <w:spacing w:line="240" w:lineRule="auto" w:before="166" w:after="0"/>
        <w:ind w:left="2140" w:right="0" w:hanging="721"/>
        <w:jc w:val="both"/>
      </w:pPr>
      <w:bookmarkStart w:name="3.2.2 Inconvénients :" w:id="54"/>
      <w:bookmarkEnd w:id="54"/>
      <w:r>
        <w:rPr>
          <w:b w:val="0"/>
        </w:rPr>
      </w:r>
      <w:bookmarkStart w:name="3.2.2 Inconvénients :" w:id="55"/>
      <w:bookmarkEnd w:id="55"/>
      <w:r>
        <w:rPr/>
        <w:t>I</w:t>
      </w:r>
      <w:r>
        <w:rPr/>
        <w:t>nconvénients</w:t>
      </w:r>
      <w:r>
        <w:rPr>
          <w:spacing w:val="-1"/>
        </w:rPr>
        <w:t> </w:t>
      </w:r>
      <w:r>
        <w:rPr/>
        <w:t>:</w:t>
      </w:r>
    </w:p>
    <w:p>
      <w:pPr>
        <w:pStyle w:val="BodyText"/>
        <w:spacing w:line="350" w:lineRule="auto" w:before="17"/>
        <w:ind w:left="699" w:right="317" w:firstLine="360"/>
        <w:jc w:val="both"/>
        <w:rPr>
          <w:sz w:val="16"/>
        </w:rPr>
      </w:pPr>
      <w:r>
        <w:rPr/>
        <w:t>Malgré les avantages précédemment évoqués, certaines limites subsistent et méritent d’être prises en considération. </w:t>
      </w:r>
      <w:r>
        <w:rPr>
          <w:position w:val="9"/>
          <w:sz w:val="16"/>
        </w:rPr>
        <w:t>1</w:t>
      </w:r>
    </w:p>
    <w:p>
      <w:pPr>
        <w:pStyle w:val="Heading5"/>
        <w:numPr>
          <w:ilvl w:val="3"/>
          <w:numId w:val="7"/>
        </w:numPr>
        <w:tabs>
          <w:tab w:pos="2861" w:val="left" w:leader="none"/>
        </w:tabs>
        <w:spacing w:line="240" w:lineRule="auto" w:before="173" w:after="0"/>
        <w:ind w:left="2860" w:right="0" w:hanging="721"/>
        <w:jc w:val="both"/>
      </w:pPr>
      <w:bookmarkStart w:name="3.2.2.1 Frais de transaction" w:id="56"/>
      <w:bookmarkEnd w:id="56"/>
      <w:r>
        <w:rPr>
          <w:b w:val="0"/>
        </w:rPr>
      </w:r>
      <w:bookmarkStart w:name="3.2.2.1 Frais de transaction" w:id="57"/>
      <w:bookmarkEnd w:id="57"/>
      <w:r>
        <w:rPr/>
        <w:t>F</w:t>
      </w:r>
      <w:r>
        <w:rPr/>
        <w:t>rais de transaction</w:t>
      </w:r>
    </w:p>
    <w:p>
      <w:pPr>
        <w:pStyle w:val="BodyText"/>
        <w:spacing w:line="362" w:lineRule="auto" w:before="17"/>
        <w:ind w:left="699" w:right="312" w:firstLine="360"/>
        <w:jc w:val="both"/>
      </w:pPr>
      <w:r>
        <w:rPr/>
        <w:t>Certains paiements mobiles ou en ligne peuvent entraîner des frais supplémentaires, supportés par l’utilisateur ou le commerçant.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r>
        <w:rPr/>
        <w:pict>
          <v:shape style="position:absolute;margin-left:84.984001pt;margin-top:15.162086pt;width:144.1pt;height:.1pt;mso-position-horizontal-relative:page;mso-position-vertical-relative:paragraph;z-index:-251641856;mso-wrap-distance-left:0;mso-wrap-distance-right:0" coordorigin="1700,303" coordsize="2882,0" path="m1700,303l4581,303e" filled="false" stroked="true" strokeweight=".71997pt" strokecolor="#000000">
            <v:path arrowok="t"/>
            <v:stroke dashstyle="solid"/>
            <w10:wrap type="topAndBottom"/>
          </v:shape>
        </w:pict>
      </w:r>
    </w:p>
    <w:p>
      <w:pPr>
        <w:spacing w:line="244" w:lineRule="auto" w:before="69"/>
        <w:ind w:left="699" w:right="238" w:firstLine="0"/>
        <w:jc w:val="left"/>
        <w:rPr>
          <w:i/>
          <w:sz w:val="20"/>
        </w:rPr>
      </w:pPr>
      <w:r>
        <w:rPr>
          <w:rFonts w:ascii="Calibri" w:hAnsi="Calibri"/>
          <w:position w:val="7"/>
          <w:sz w:val="13"/>
        </w:rPr>
        <w:t>1 </w:t>
      </w:r>
      <w:r>
        <w:rPr>
          <w:i/>
          <w:sz w:val="20"/>
        </w:rPr>
        <w:t>Mahaal, Les avantages et les inconvénients des différentes méthodes de traitement des paiements, Blog Mahaal, </w:t>
      </w:r>
      <w:r>
        <w:rPr>
          <w:i/>
          <w:sz w:val="20"/>
        </w:rPr>
        <w:t>Mahaal, </w:t>
      </w:r>
      <w:hyperlink r:id="rId34">
        <w:r>
          <w:rPr>
            <w:i/>
            <w:color w:val="0462C1"/>
            <w:sz w:val="20"/>
            <w:u w:val="single" w:color="0462C1"/>
          </w:rPr>
          <w:t>https://www.mahaal.app/fr/blog/</w:t>
        </w:r>
        <w:r>
          <w:rPr>
            <w:i/>
            <w:sz w:val="20"/>
          </w:rPr>
          <w:t>,</w:t>
        </w:r>
      </w:hyperlink>
      <w:r>
        <w:rPr>
          <w:i/>
          <w:sz w:val="20"/>
        </w:rPr>
        <w:t> consulté le 26 mai 2025 à 14h32</w:t>
      </w:r>
    </w:p>
    <w:p>
      <w:pPr>
        <w:spacing w:after="0" w:line="244" w:lineRule="auto"/>
        <w:jc w:val="left"/>
        <w:rPr>
          <w:sz w:val="20"/>
        </w:rPr>
        <w:sectPr>
          <w:pgSz w:w="12240" w:h="15840"/>
          <w:pgMar w:header="723" w:footer="850" w:top="1080" w:bottom="1040" w:left="1000" w:right="820"/>
        </w:sectPr>
      </w:pPr>
    </w:p>
    <w:p>
      <w:pPr>
        <w:pStyle w:val="BodyText"/>
        <w:spacing w:before="5"/>
        <w:rPr>
          <w:i/>
          <w:sz w:val="22"/>
        </w:rPr>
      </w:pPr>
    </w:p>
    <w:p>
      <w:pPr>
        <w:pStyle w:val="Heading5"/>
        <w:numPr>
          <w:ilvl w:val="3"/>
          <w:numId w:val="7"/>
        </w:numPr>
        <w:tabs>
          <w:tab w:pos="2861" w:val="left" w:leader="none"/>
        </w:tabs>
        <w:spacing w:line="240" w:lineRule="auto" w:before="90" w:after="0"/>
        <w:ind w:left="2860" w:right="0" w:hanging="721"/>
        <w:jc w:val="both"/>
      </w:pPr>
      <w:bookmarkStart w:name="3.2.2.2 Dépendance à la technologie" w:id="58"/>
      <w:bookmarkEnd w:id="58"/>
      <w:r>
        <w:rPr>
          <w:b w:val="0"/>
        </w:rPr>
      </w:r>
      <w:bookmarkStart w:name="3.2.2.2 Dépendance à la technologie" w:id="59"/>
      <w:bookmarkEnd w:id="59"/>
      <w:r>
        <w:rPr/>
        <w:t>D</w:t>
      </w:r>
      <w:r>
        <w:rPr/>
        <w:t>épendance à </w:t>
      </w:r>
      <w:r>
        <w:rPr>
          <w:spacing w:val="-3"/>
        </w:rPr>
        <w:t>la</w:t>
      </w:r>
      <w:r>
        <w:rPr>
          <w:spacing w:val="4"/>
        </w:rPr>
        <w:t> </w:t>
      </w:r>
      <w:r>
        <w:rPr/>
        <w:t>technologie</w:t>
      </w:r>
    </w:p>
    <w:p>
      <w:pPr>
        <w:pStyle w:val="BodyText"/>
        <w:spacing w:line="364" w:lineRule="auto" w:before="136"/>
        <w:ind w:left="699" w:right="325" w:firstLine="360"/>
        <w:jc w:val="both"/>
      </w:pPr>
      <w:r>
        <w:rPr/>
        <w:t>Ces paiements nécessitent un appareil électronique (smartphone, ordinateur) et une connexion Internet, ce qui peut exclure certaines personnes.</w:t>
      </w:r>
    </w:p>
    <w:p>
      <w:pPr>
        <w:pStyle w:val="Heading5"/>
        <w:numPr>
          <w:ilvl w:val="3"/>
          <w:numId w:val="7"/>
        </w:numPr>
        <w:tabs>
          <w:tab w:pos="2861" w:val="left" w:leader="none"/>
        </w:tabs>
        <w:spacing w:line="240" w:lineRule="auto" w:before="151" w:after="0"/>
        <w:ind w:left="2860" w:right="0" w:hanging="721"/>
        <w:jc w:val="both"/>
      </w:pPr>
      <w:bookmarkStart w:name="3.2.2.3 Risques en cas de panne" w:id="60"/>
      <w:bookmarkEnd w:id="60"/>
      <w:r>
        <w:rPr>
          <w:b w:val="0"/>
        </w:rPr>
      </w:r>
      <w:bookmarkStart w:name="3.2.2.3 Risques en cas de panne" w:id="61"/>
      <w:bookmarkEnd w:id="61"/>
      <w:r>
        <w:rPr/>
        <w:t>Ri</w:t>
      </w:r>
      <w:r>
        <w:rPr/>
        <w:t>sques en cas de</w:t>
      </w:r>
      <w:r>
        <w:rPr>
          <w:spacing w:val="2"/>
        </w:rPr>
        <w:t> </w:t>
      </w:r>
      <w:r>
        <w:rPr/>
        <w:t>panne</w:t>
      </w:r>
    </w:p>
    <w:p>
      <w:pPr>
        <w:pStyle w:val="BodyText"/>
        <w:spacing w:line="367" w:lineRule="auto" w:before="17"/>
        <w:ind w:left="699" w:right="328" w:firstLine="360"/>
        <w:jc w:val="both"/>
      </w:pPr>
      <w:r>
        <w:rPr/>
        <w:t>En cas de problème technique ou de coupure d’Internet, les paiements peuvent devenir impossibles, bloquant l’accès au service.</w:t>
      </w:r>
    </w:p>
    <w:p>
      <w:pPr>
        <w:pStyle w:val="Heading5"/>
        <w:numPr>
          <w:ilvl w:val="3"/>
          <w:numId w:val="7"/>
        </w:numPr>
        <w:tabs>
          <w:tab w:pos="2861" w:val="left" w:leader="none"/>
        </w:tabs>
        <w:spacing w:line="240" w:lineRule="auto" w:before="149" w:after="0"/>
        <w:ind w:left="2860" w:right="0" w:hanging="721"/>
        <w:jc w:val="both"/>
      </w:pPr>
      <w:bookmarkStart w:name="3.2.2.4 Problèmes de confidentialité" w:id="62"/>
      <w:bookmarkEnd w:id="62"/>
      <w:r>
        <w:rPr>
          <w:b w:val="0"/>
        </w:rPr>
      </w:r>
      <w:bookmarkStart w:name="3.2.2.4 Problèmes de confidentialité" w:id="63"/>
      <w:bookmarkEnd w:id="63"/>
      <w:r>
        <w:rPr/>
        <w:t>P</w:t>
      </w:r>
      <w:r>
        <w:rPr/>
        <w:t>roblèmes de confidentialité</w:t>
      </w:r>
    </w:p>
    <w:p>
      <w:pPr>
        <w:pStyle w:val="BodyText"/>
        <w:spacing w:line="367" w:lineRule="auto" w:before="132"/>
        <w:ind w:left="699" w:right="317" w:firstLine="360"/>
        <w:jc w:val="both"/>
      </w:pPr>
      <w:r>
        <w:rPr/>
        <w:t>Les transactions laissent des traces numériques, ce qui peut soulever des inquiétudes sur </w:t>
      </w:r>
      <w:r>
        <w:rPr>
          <w:spacing w:val="-3"/>
        </w:rPr>
        <w:t>la </w:t>
      </w:r>
      <w:r>
        <w:rPr/>
        <w:t>vie privée et l’usage des données personnelles.</w:t>
      </w:r>
    </w:p>
    <w:p>
      <w:pPr>
        <w:pStyle w:val="Heading5"/>
        <w:numPr>
          <w:ilvl w:val="3"/>
          <w:numId w:val="7"/>
        </w:numPr>
        <w:tabs>
          <w:tab w:pos="2861" w:val="left" w:leader="none"/>
        </w:tabs>
        <w:spacing w:line="240" w:lineRule="auto" w:before="149" w:after="0"/>
        <w:ind w:left="2860" w:right="0" w:hanging="721"/>
        <w:jc w:val="both"/>
      </w:pPr>
      <w:bookmarkStart w:name="3.2.2.5 Fraude et cybercriminalité :" w:id="64"/>
      <w:bookmarkEnd w:id="64"/>
      <w:r>
        <w:rPr>
          <w:b w:val="0"/>
        </w:rPr>
      </w:r>
      <w:bookmarkStart w:name="3.2.2.5 Fraude et cybercriminalité :" w:id="65"/>
      <w:bookmarkEnd w:id="65"/>
      <w:r>
        <w:rPr/>
        <w:t>F</w:t>
      </w:r>
      <w:r>
        <w:rPr/>
        <w:t>raude et cybercriminalité</w:t>
      </w:r>
      <w:r>
        <w:rPr>
          <w:spacing w:val="4"/>
        </w:rPr>
        <w:t> </w:t>
      </w:r>
      <w:r>
        <w:rPr/>
        <w:t>:</w:t>
      </w:r>
    </w:p>
    <w:p>
      <w:pPr>
        <w:pStyle w:val="BodyText"/>
        <w:spacing w:line="360" w:lineRule="auto" w:before="138"/>
        <w:ind w:left="699" w:right="310" w:firstLine="360"/>
        <w:jc w:val="both"/>
      </w:pPr>
      <w:r>
        <w:rPr/>
        <w:t>Les solutions de paiement en ligne présentent de nombreux avantages, mais elles s’accompagnent aussi d’un inconvénient majeur : la fraude et la cybercriminalité qui est un défi important pour les entreprises.</w:t>
      </w:r>
    </w:p>
    <w:p>
      <w:pPr>
        <w:pStyle w:val="BodyText"/>
        <w:spacing w:line="362" w:lineRule="auto" w:before="160"/>
        <w:ind w:left="699" w:right="319" w:firstLine="360"/>
        <w:jc w:val="both"/>
      </w:pPr>
      <w:r>
        <w:rPr/>
        <w:t>Les cybercriminels cherchent constamment à exploiter les failles de sécurité pour accéder aux données sensibles des clients et détourner des fonds.</w:t>
      </w:r>
    </w:p>
    <w:p>
      <w:pPr>
        <w:pStyle w:val="Heading5"/>
        <w:numPr>
          <w:ilvl w:val="3"/>
          <w:numId w:val="7"/>
        </w:numPr>
        <w:tabs>
          <w:tab w:pos="2861" w:val="left" w:leader="none"/>
        </w:tabs>
        <w:spacing w:line="240" w:lineRule="auto" w:before="155" w:after="0"/>
        <w:ind w:left="2860" w:right="0" w:hanging="721"/>
        <w:jc w:val="both"/>
      </w:pPr>
      <w:bookmarkStart w:name="3.2.2.6 Frais de transaction élevés :" w:id="66"/>
      <w:bookmarkEnd w:id="66"/>
      <w:r>
        <w:rPr>
          <w:b w:val="0"/>
        </w:rPr>
      </w:r>
      <w:bookmarkStart w:name="3.2.2.6 Frais de transaction élevés :" w:id="67"/>
      <w:bookmarkEnd w:id="67"/>
      <w:r>
        <w:rPr/>
        <w:t>F</w:t>
      </w:r>
      <w:r>
        <w:rPr/>
        <w:t>rais de transaction élevés</w:t>
      </w:r>
      <w:r>
        <w:rPr>
          <w:spacing w:val="6"/>
        </w:rPr>
        <w:t> </w:t>
      </w:r>
      <w:r>
        <w:rPr/>
        <w:t>:</w:t>
      </w:r>
    </w:p>
    <w:p>
      <w:pPr>
        <w:pStyle w:val="BodyText"/>
        <w:spacing w:line="362" w:lineRule="auto" w:before="137"/>
        <w:ind w:left="699" w:right="325" w:firstLine="360"/>
        <w:jc w:val="both"/>
      </w:pPr>
      <w:r>
        <w:rPr/>
        <w:t>Les portefeuilles électroniques appliquent généralement des commissions plus élevées que celles des paiements par carte bancaire.</w:t>
      </w:r>
    </w:p>
    <w:p>
      <w:pPr>
        <w:pStyle w:val="Heading5"/>
        <w:numPr>
          <w:ilvl w:val="3"/>
          <w:numId w:val="7"/>
        </w:numPr>
        <w:tabs>
          <w:tab w:pos="2861" w:val="left" w:leader="none"/>
        </w:tabs>
        <w:spacing w:line="240" w:lineRule="auto" w:before="161" w:after="0"/>
        <w:ind w:left="2860" w:right="0" w:hanging="721"/>
        <w:jc w:val="both"/>
      </w:pPr>
      <w:r>
        <w:rPr/>
        <w:t>Chargeback fréquent :</w:t>
      </w:r>
    </w:p>
    <w:p>
      <w:pPr>
        <w:pStyle w:val="BodyText"/>
        <w:spacing w:line="362" w:lineRule="auto" w:before="132"/>
        <w:ind w:left="699" w:right="319" w:firstLine="360"/>
        <w:jc w:val="both"/>
      </w:pPr>
      <w:r>
        <w:rPr/>
        <w:t>Le</w:t>
      </w:r>
      <w:r>
        <w:rPr>
          <w:spacing w:val="-13"/>
        </w:rPr>
        <w:t> </w:t>
      </w:r>
      <w:r>
        <w:rPr/>
        <w:t>nombre</w:t>
      </w:r>
      <w:r>
        <w:rPr>
          <w:spacing w:val="-12"/>
        </w:rPr>
        <w:t> </w:t>
      </w:r>
      <w:r>
        <w:rPr/>
        <w:t>d’acheteurs</w:t>
      </w:r>
      <w:r>
        <w:rPr>
          <w:spacing w:val="-13"/>
        </w:rPr>
        <w:t> </w:t>
      </w:r>
      <w:r>
        <w:rPr/>
        <w:t>qui</w:t>
      </w:r>
      <w:r>
        <w:rPr>
          <w:spacing w:val="-20"/>
        </w:rPr>
        <w:t> </w:t>
      </w:r>
      <w:r>
        <w:rPr/>
        <w:t>contestent</w:t>
      </w:r>
      <w:r>
        <w:rPr>
          <w:spacing w:val="-6"/>
        </w:rPr>
        <w:t> </w:t>
      </w:r>
      <w:r>
        <w:rPr/>
        <w:t>des</w:t>
      </w:r>
      <w:r>
        <w:rPr>
          <w:spacing w:val="-18"/>
        </w:rPr>
        <w:t> </w:t>
      </w:r>
      <w:r>
        <w:rPr/>
        <w:t>transactions</w:t>
      </w:r>
      <w:r>
        <w:rPr>
          <w:spacing w:val="-10"/>
        </w:rPr>
        <w:t> </w:t>
      </w:r>
      <w:r>
        <w:rPr/>
        <w:t>réalisées</w:t>
      </w:r>
      <w:r>
        <w:rPr>
          <w:spacing w:val="-9"/>
        </w:rPr>
        <w:t> </w:t>
      </w:r>
      <w:r>
        <w:rPr/>
        <w:t>via</w:t>
      </w:r>
      <w:r>
        <w:rPr>
          <w:spacing w:val="-12"/>
        </w:rPr>
        <w:t> </w:t>
      </w:r>
      <w:r>
        <w:rPr/>
        <w:t>un</w:t>
      </w:r>
      <w:r>
        <w:rPr>
          <w:spacing w:val="-15"/>
        </w:rPr>
        <w:t> </w:t>
      </w:r>
      <w:r>
        <w:rPr/>
        <w:t>portefeuille</w:t>
      </w:r>
      <w:r>
        <w:rPr>
          <w:spacing w:val="-12"/>
        </w:rPr>
        <w:t> </w:t>
      </w:r>
      <w:r>
        <w:rPr/>
        <w:t>électronique est plus élevé que pour d’autres moyens de paiement, ce qui oblige </w:t>
      </w:r>
      <w:r>
        <w:rPr>
          <w:spacing w:val="-3"/>
        </w:rPr>
        <w:t>les </w:t>
      </w:r>
      <w:r>
        <w:rPr/>
        <w:t>commerçants à traiter davantage de demandes de</w:t>
      </w:r>
      <w:r>
        <w:rPr>
          <w:spacing w:val="3"/>
        </w:rPr>
        <w:t> </w:t>
      </w:r>
      <w:r>
        <w:rPr/>
        <w:t>remboursement.</w:t>
      </w:r>
    </w:p>
    <w:p>
      <w:pPr>
        <w:pStyle w:val="Heading5"/>
        <w:numPr>
          <w:ilvl w:val="0"/>
          <w:numId w:val="7"/>
        </w:numPr>
        <w:tabs>
          <w:tab w:pos="1315" w:val="left" w:leader="none"/>
        </w:tabs>
        <w:spacing w:line="240" w:lineRule="auto" w:before="156" w:after="0"/>
        <w:ind w:left="1314" w:right="0" w:hanging="433"/>
        <w:jc w:val="both"/>
      </w:pPr>
      <w:bookmarkStart w:name="4. Lancement du e-paiement en Algérie et" w:id="68"/>
      <w:bookmarkEnd w:id="68"/>
      <w:r>
        <w:rPr>
          <w:b w:val="0"/>
        </w:rPr>
      </w:r>
      <w:bookmarkStart w:name="4. Lancement du e-paiement en Algérie et" w:id="69"/>
      <w:bookmarkEnd w:id="69"/>
      <w:r>
        <w:rPr/>
        <w:t>L</w:t>
      </w:r>
      <w:r>
        <w:rPr/>
        <w:t>ancement du e-paiement en Algérie et son </w:t>
      </w:r>
      <w:r>
        <w:rPr>
          <w:spacing w:val="-3"/>
        </w:rPr>
        <w:t>cadre</w:t>
      </w:r>
      <w:r>
        <w:rPr>
          <w:spacing w:val="15"/>
        </w:rPr>
        <w:t> </w:t>
      </w:r>
      <w:r>
        <w:rPr/>
        <w:t>légal</w:t>
      </w:r>
    </w:p>
    <w:p>
      <w:pPr>
        <w:pStyle w:val="BodyText"/>
        <w:spacing w:line="362" w:lineRule="auto" w:before="133"/>
        <w:ind w:left="699" w:right="306" w:firstLine="360"/>
        <w:jc w:val="both"/>
      </w:pPr>
      <w:r>
        <w:rPr/>
        <w:t>Le paiement électronique ou paiement en </w:t>
      </w:r>
      <w:r>
        <w:rPr>
          <w:spacing w:val="-3"/>
        </w:rPr>
        <w:t>ligne </w:t>
      </w:r>
      <w:r>
        <w:rPr/>
        <w:t>est </w:t>
      </w:r>
      <w:r>
        <w:rPr>
          <w:spacing w:val="-3"/>
        </w:rPr>
        <w:t>l’un </w:t>
      </w:r>
      <w:r>
        <w:rPr/>
        <w:t>des services crée par </w:t>
      </w:r>
      <w:r>
        <w:rPr>
          <w:spacing w:val="-5"/>
        </w:rPr>
        <w:t>la </w:t>
      </w:r>
      <w:r>
        <w:rPr/>
        <w:t>GIE a été officiellement </w:t>
      </w:r>
      <w:r>
        <w:rPr>
          <w:spacing w:val="-3"/>
        </w:rPr>
        <w:t>lancé </w:t>
      </w:r>
      <w:r>
        <w:rPr>
          <w:spacing w:val="-5"/>
        </w:rPr>
        <w:t>le </w:t>
      </w:r>
      <w:r>
        <w:rPr/>
        <w:t>04 octobre 2016 </w:t>
      </w:r>
      <w:r>
        <w:rPr>
          <w:spacing w:val="-3"/>
        </w:rPr>
        <w:t>et </w:t>
      </w:r>
      <w:r>
        <w:rPr>
          <w:spacing w:val="-4"/>
        </w:rPr>
        <w:t>mis </w:t>
      </w:r>
      <w:r>
        <w:rPr/>
        <w:t>en œuvre par 11 banques et 9 entreprises et 9 web marchands</w:t>
      </w:r>
      <w:r>
        <w:rPr>
          <w:spacing w:val="-15"/>
        </w:rPr>
        <w:t> </w:t>
      </w:r>
      <w:r>
        <w:rPr/>
        <w:t>proposant</w:t>
      </w:r>
      <w:r>
        <w:rPr>
          <w:spacing w:val="-11"/>
        </w:rPr>
        <w:t> </w:t>
      </w:r>
      <w:r>
        <w:rPr/>
        <w:t>ce</w:t>
      </w:r>
      <w:r>
        <w:rPr>
          <w:spacing w:val="-13"/>
        </w:rPr>
        <w:t> </w:t>
      </w:r>
      <w:r>
        <w:rPr/>
        <w:t>service</w:t>
      </w:r>
      <w:r>
        <w:rPr>
          <w:spacing w:val="-14"/>
        </w:rPr>
        <w:t> </w:t>
      </w:r>
      <w:r>
        <w:rPr/>
        <w:t>à</w:t>
      </w:r>
      <w:r>
        <w:rPr>
          <w:spacing w:val="-8"/>
        </w:rPr>
        <w:t> </w:t>
      </w:r>
      <w:r>
        <w:rPr/>
        <w:t>leurs</w:t>
      </w:r>
      <w:r>
        <w:rPr>
          <w:spacing w:val="-14"/>
        </w:rPr>
        <w:t> </w:t>
      </w:r>
      <w:r>
        <w:rPr/>
        <w:t>clients.</w:t>
      </w:r>
      <w:r>
        <w:rPr>
          <w:spacing w:val="-11"/>
        </w:rPr>
        <w:t> </w:t>
      </w:r>
      <w:r>
        <w:rPr/>
        <w:t>Concernant</w:t>
      </w:r>
      <w:r>
        <w:rPr>
          <w:spacing w:val="-8"/>
        </w:rPr>
        <w:t> </w:t>
      </w:r>
      <w:r>
        <w:rPr/>
        <w:t>les</w:t>
      </w:r>
      <w:r>
        <w:rPr>
          <w:spacing w:val="-14"/>
        </w:rPr>
        <w:t> </w:t>
      </w:r>
      <w:r>
        <w:rPr/>
        <w:t>banques</w:t>
      </w:r>
      <w:r>
        <w:rPr>
          <w:spacing w:val="-9"/>
        </w:rPr>
        <w:t> </w:t>
      </w:r>
      <w:r>
        <w:rPr>
          <w:spacing w:val="-3"/>
        </w:rPr>
        <w:t>il</w:t>
      </w:r>
      <w:r>
        <w:rPr>
          <w:spacing w:val="-12"/>
        </w:rPr>
        <w:t> </w:t>
      </w:r>
      <w:r>
        <w:rPr/>
        <w:t>y</w:t>
      </w:r>
      <w:r>
        <w:rPr>
          <w:spacing w:val="-20"/>
        </w:rPr>
        <w:t> </w:t>
      </w:r>
      <w:r>
        <w:rPr/>
        <w:t>a</w:t>
      </w:r>
      <w:r>
        <w:rPr>
          <w:spacing w:val="-14"/>
        </w:rPr>
        <w:t> </w:t>
      </w:r>
      <w:r>
        <w:rPr/>
        <w:t>six</w:t>
      </w:r>
      <w:r>
        <w:rPr>
          <w:spacing w:val="-5"/>
        </w:rPr>
        <w:t> </w:t>
      </w:r>
      <w:r>
        <w:rPr/>
        <w:t>banques</w:t>
      </w:r>
      <w:r>
        <w:rPr>
          <w:spacing w:val="-14"/>
        </w:rPr>
        <w:t> </w:t>
      </w:r>
      <w:r>
        <w:rPr/>
        <w:t>publiques</w:t>
      </w:r>
    </w:p>
    <w:p>
      <w:pPr>
        <w:pStyle w:val="BodyText"/>
        <w:spacing w:line="360" w:lineRule="auto"/>
        <w:ind w:left="699" w:right="238"/>
      </w:pPr>
      <w:r>
        <w:rPr/>
        <w:t>; </w:t>
      </w:r>
      <w:r>
        <w:rPr>
          <w:spacing w:val="-5"/>
        </w:rPr>
        <w:t>la </w:t>
      </w:r>
      <w:r>
        <w:rPr/>
        <w:t>BADR, CPA, BDL, BNA, BEA, CNEP, </w:t>
      </w:r>
      <w:r>
        <w:rPr>
          <w:spacing w:val="-3"/>
        </w:rPr>
        <w:t>et </w:t>
      </w:r>
      <w:r>
        <w:rPr/>
        <w:t>cinq autres privées ; Trust Bank Algérie, Natixis Algérie,</w:t>
      </w:r>
      <w:r>
        <w:rPr>
          <w:spacing w:val="-11"/>
        </w:rPr>
        <w:t> </w:t>
      </w:r>
      <w:r>
        <w:rPr/>
        <w:t>Société</w:t>
      </w:r>
      <w:r>
        <w:rPr>
          <w:spacing w:val="-14"/>
        </w:rPr>
        <w:t> </w:t>
      </w:r>
      <w:r>
        <w:rPr/>
        <w:t>Générale</w:t>
      </w:r>
      <w:r>
        <w:rPr>
          <w:spacing w:val="-9"/>
        </w:rPr>
        <w:t> </w:t>
      </w:r>
      <w:r>
        <w:rPr/>
        <w:t>Algérie,</w:t>
      </w:r>
      <w:r>
        <w:rPr>
          <w:spacing w:val="-10"/>
        </w:rPr>
        <w:t> </w:t>
      </w:r>
      <w:r>
        <w:rPr/>
        <w:t>Gulf</w:t>
      </w:r>
      <w:r>
        <w:rPr>
          <w:spacing w:val="-16"/>
        </w:rPr>
        <w:t> </w:t>
      </w:r>
      <w:r>
        <w:rPr/>
        <w:t>Bank</w:t>
      </w:r>
      <w:r>
        <w:rPr>
          <w:spacing w:val="-8"/>
        </w:rPr>
        <w:t> </w:t>
      </w:r>
      <w:r>
        <w:rPr/>
        <w:t>Algérie</w:t>
      </w:r>
      <w:r>
        <w:rPr>
          <w:spacing w:val="-13"/>
        </w:rPr>
        <w:t> </w:t>
      </w:r>
      <w:r>
        <w:rPr/>
        <w:t>et</w:t>
      </w:r>
      <w:r>
        <w:rPr>
          <w:spacing w:val="-8"/>
        </w:rPr>
        <w:t> </w:t>
      </w:r>
      <w:r>
        <w:rPr/>
        <w:t>Al</w:t>
      </w:r>
      <w:r>
        <w:rPr>
          <w:spacing w:val="-21"/>
        </w:rPr>
        <w:t> </w:t>
      </w:r>
      <w:r>
        <w:rPr/>
        <w:t>Baraka.</w:t>
      </w:r>
      <w:r>
        <w:rPr>
          <w:spacing w:val="-11"/>
        </w:rPr>
        <w:t> </w:t>
      </w:r>
      <w:r>
        <w:rPr/>
        <w:t>Et</w:t>
      </w:r>
      <w:r>
        <w:rPr>
          <w:spacing w:val="1"/>
        </w:rPr>
        <w:t> </w:t>
      </w:r>
      <w:r>
        <w:rPr/>
        <w:t>pour</w:t>
      </w:r>
      <w:r>
        <w:rPr>
          <w:spacing w:val="-11"/>
        </w:rPr>
        <w:t> </w:t>
      </w:r>
      <w:r>
        <w:rPr>
          <w:spacing w:val="-4"/>
        </w:rPr>
        <w:t>les</w:t>
      </w:r>
      <w:r>
        <w:rPr>
          <w:spacing w:val="-14"/>
        </w:rPr>
        <w:t> </w:t>
      </w:r>
      <w:r>
        <w:rPr/>
        <w:t>entreprises,</w:t>
      </w:r>
      <w:r>
        <w:rPr>
          <w:spacing w:val="-11"/>
        </w:rPr>
        <w:t> </w:t>
      </w:r>
      <w:r>
        <w:rPr>
          <w:spacing w:val="3"/>
        </w:rPr>
        <w:t>Il</w:t>
      </w:r>
      <w:r>
        <w:rPr>
          <w:spacing w:val="-21"/>
        </w:rPr>
        <w:t> </w:t>
      </w:r>
      <w:r>
        <w:rPr/>
        <w:t>s’agit</w:t>
      </w:r>
    </w:p>
    <w:p>
      <w:pPr>
        <w:spacing w:after="0" w:line="360" w:lineRule="auto"/>
        <w:sectPr>
          <w:pgSz w:w="12240" w:h="15840"/>
          <w:pgMar w:header="723" w:footer="850" w:top="1080" w:bottom="1040" w:left="1000" w:right="820"/>
        </w:sectPr>
      </w:pPr>
    </w:p>
    <w:p>
      <w:pPr>
        <w:pStyle w:val="BodyText"/>
        <w:rPr>
          <w:sz w:val="22"/>
        </w:rPr>
      </w:pPr>
    </w:p>
    <w:p>
      <w:pPr>
        <w:pStyle w:val="BodyText"/>
        <w:spacing w:line="367" w:lineRule="auto" w:before="90"/>
        <w:ind w:left="699" w:right="315"/>
        <w:jc w:val="both"/>
      </w:pPr>
      <w:r>
        <w:rPr/>
        <w:t>d’Air Algérie, Tassili Airlines, Djezzy, Algérie Télécom ; Mobilis, SEDAL, CNAS, OOREDOO et l’assureur Amana.</w:t>
      </w:r>
    </w:p>
    <w:p>
      <w:pPr>
        <w:pStyle w:val="BodyText"/>
        <w:spacing w:line="362" w:lineRule="auto" w:before="145"/>
        <w:ind w:left="699" w:right="315" w:firstLine="360"/>
        <w:jc w:val="both"/>
      </w:pPr>
      <w:r>
        <w:rPr/>
        <w:t>Or pour ce qui est de </w:t>
      </w:r>
      <w:r>
        <w:rPr>
          <w:spacing w:val="-5"/>
        </w:rPr>
        <w:t>la </w:t>
      </w:r>
      <w:r>
        <w:rPr/>
        <w:t>plateforme du système de paiement électronique algérien, </w:t>
      </w:r>
      <w:r>
        <w:rPr>
          <w:spacing w:val="-3"/>
        </w:rPr>
        <w:t>il </w:t>
      </w:r>
      <w:r>
        <w:rPr/>
        <w:t>s’articule principalement sur l’utilisation de </w:t>
      </w:r>
      <w:r>
        <w:rPr>
          <w:spacing w:val="-5"/>
        </w:rPr>
        <w:t>la </w:t>
      </w:r>
      <w:r>
        <w:rPr/>
        <w:t>carte CIB sous ces deux formes l’une fournie par les banques et</w:t>
      </w:r>
      <w:r>
        <w:rPr>
          <w:spacing w:val="-10"/>
        </w:rPr>
        <w:t> </w:t>
      </w:r>
      <w:r>
        <w:rPr>
          <w:spacing w:val="-5"/>
        </w:rPr>
        <w:t>la</w:t>
      </w:r>
      <w:r>
        <w:rPr>
          <w:spacing w:val="-12"/>
        </w:rPr>
        <w:t> </w:t>
      </w:r>
      <w:r>
        <w:rPr/>
        <w:t>seconde</w:t>
      </w:r>
      <w:r>
        <w:rPr>
          <w:spacing w:val="-12"/>
        </w:rPr>
        <w:t> </w:t>
      </w:r>
      <w:r>
        <w:rPr/>
        <w:t>par</w:t>
      </w:r>
      <w:r>
        <w:rPr>
          <w:spacing w:val="-9"/>
        </w:rPr>
        <w:t> </w:t>
      </w:r>
      <w:r>
        <w:rPr/>
        <w:t>Algérie</w:t>
      </w:r>
      <w:r>
        <w:rPr>
          <w:spacing w:val="-11"/>
        </w:rPr>
        <w:t> </w:t>
      </w:r>
      <w:r>
        <w:rPr/>
        <w:t>Poste,</w:t>
      </w:r>
      <w:r>
        <w:rPr>
          <w:spacing w:val="-13"/>
        </w:rPr>
        <w:t> </w:t>
      </w:r>
      <w:r>
        <w:rPr/>
        <w:t>et</w:t>
      </w:r>
      <w:r>
        <w:rPr>
          <w:spacing w:val="-10"/>
        </w:rPr>
        <w:t> </w:t>
      </w:r>
      <w:r>
        <w:rPr/>
        <w:t>ce,</w:t>
      </w:r>
      <w:r>
        <w:rPr>
          <w:spacing w:val="-13"/>
        </w:rPr>
        <w:t> </w:t>
      </w:r>
      <w:r>
        <w:rPr/>
        <w:t>à</w:t>
      </w:r>
      <w:r>
        <w:rPr>
          <w:spacing w:val="-15"/>
        </w:rPr>
        <w:t> </w:t>
      </w:r>
      <w:r>
        <w:rPr/>
        <w:t>travers</w:t>
      </w:r>
      <w:r>
        <w:rPr>
          <w:spacing w:val="-13"/>
        </w:rPr>
        <w:t> </w:t>
      </w:r>
      <w:r>
        <w:rPr/>
        <w:t>tout</w:t>
      </w:r>
      <w:r>
        <w:rPr>
          <w:spacing w:val="-15"/>
        </w:rPr>
        <w:t> </w:t>
      </w:r>
      <w:r>
        <w:rPr/>
        <w:t>un</w:t>
      </w:r>
      <w:r>
        <w:rPr>
          <w:spacing w:val="-14"/>
        </w:rPr>
        <w:t> </w:t>
      </w:r>
      <w:r>
        <w:rPr/>
        <w:t>réseau,</w:t>
      </w:r>
      <w:r>
        <w:rPr>
          <w:spacing w:val="-9"/>
        </w:rPr>
        <w:t> </w:t>
      </w:r>
      <w:r>
        <w:rPr/>
        <w:t>comme</w:t>
      </w:r>
      <w:r>
        <w:rPr>
          <w:spacing w:val="-6"/>
        </w:rPr>
        <w:t> </w:t>
      </w:r>
      <w:r>
        <w:rPr/>
        <w:t>se</w:t>
      </w:r>
      <w:r>
        <w:rPr>
          <w:spacing w:val="-11"/>
        </w:rPr>
        <w:t> </w:t>
      </w:r>
      <w:r>
        <w:rPr/>
        <w:t>présente</w:t>
      </w:r>
      <w:r>
        <w:rPr>
          <w:spacing w:val="-12"/>
        </w:rPr>
        <w:t> </w:t>
      </w:r>
      <w:r>
        <w:rPr/>
        <w:t>à</w:t>
      </w:r>
      <w:r>
        <w:rPr>
          <w:spacing w:val="-15"/>
        </w:rPr>
        <w:t> </w:t>
      </w:r>
      <w:r>
        <w:rPr/>
        <w:t>l’heure</w:t>
      </w:r>
      <w:r>
        <w:rPr>
          <w:spacing w:val="-12"/>
        </w:rPr>
        <w:t> </w:t>
      </w:r>
      <w:r>
        <w:rPr/>
        <w:t>actuelle.</w:t>
      </w:r>
    </w:p>
    <w:p>
      <w:pPr>
        <w:pStyle w:val="BodyText"/>
        <w:spacing w:line="357" w:lineRule="auto" w:before="151"/>
        <w:ind w:left="699" w:right="310" w:firstLine="360"/>
        <w:jc w:val="both"/>
        <w:rPr>
          <w:sz w:val="16"/>
        </w:rPr>
      </w:pPr>
      <w:r>
        <w:rPr/>
        <w:t>Depuis octobre 2016, </w:t>
      </w:r>
      <w:r>
        <w:rPr>
          <w:spacing w:val="-5"/>
        </w:rPr>
        <w:t>le </w:t>
      </w:r>
      <w:r>
        <w:rPr/>
        <w:t>paiement sur Internet par carte CIB est officiellement opérationnel en Algérie.</w:t>
      </w:r>
      <w:r>
        <w:rPr>
          <w:spacing w:val="-6"/>
        </w:rPr>
        <w:t> </w:t>
      </w:r>
      <w:r>
        <w:rPr/>
        <w:t>Dans</w:t>
      </w:r>
      <w:r>
        <w:rPr>
          <w:spacing w:val="-8"/>
        </w:rPr>
        <w:t> </w:t>
      </w:r>
      <w:r>
        <w:rPr/>
        <w:t>une</w:t>
      </w:r>
      <w:r>
        <w:rPr>
          <w:spacing w:val="-8"/>
        </w:rPr>
        <w:t> </w:t>
      </w:r>
      <w:r>
        <w:rPr/>
        <w:t>première</w:t>
      </w:r>
      <w:r>
        <w:rPr>
          <w:spacing w:val="-8"/>
        </w:rPr>
        <w:t> </w:t>
      </w:r>
      <w:r>
        <w:rPr/>
        <w:t>phase,</w:t>
      </w:r>
      <w:r>
        <w:rPr>
          <w:spacing w:val="-5"/>
        </w:rPr>
        <w:t> </w:t>
      </w:r>
      <w:r>
        <w:rPr>
          <w:spacing w:val="-3"/>
        </w:rPr>
        <w:t>le</w:t>
      </w:r>
      <w:r>
        <w:rPr>
          <w:spacing w:val="-8"/>
        </w:rPr>
        <w:t> </w:t>
      </w:r>
      <w:r>
        <w:rPr/>
        <w:t>service</w:t>
      </w:r>
      <w:r>
        <w:rPr>
          <w:spacing w:val="-8"/>
        </w:rPr>
        <w:t> </w:t>
      </w:r>
      <w:r>
        <w:rPr/>
        <w:t>a</w:t>
      </w:r>
      <w:r>
        <w:rPr>
          <w:spacing w:val="-8"/>
        </w:rPr>
        <w:t> </w:t>
      </w:r>
      <w:r>
        <w:rPr/>
        <w:t>été</w:t>
      </w:r>
      <w:r>
        <w:rPr>
          <w:spacing w:val="-16"/>
        </w:rPr>
        <w:t> </w:t>
      </w:r>
      <w:r>
        <w:rPr/>
        <w:t>ouvert</w:t>
      </w:r>
      <w:r>
        <w:rPr>
          <w:spacing w:val="-6"/>
        </w:rPr>
        <w:t> </w:t>
      </w:r>
      <w:r>
        <w:rPr/>
        <w:t>pour</w:t>
      </w:r>
      <w:r>
        <w:rPr>
          <w:spacing w:val="-9"/>
        </w:rPr>
        <w:t> </w:t>
      </w:r>
      <w:r>
        <w:rPr>
          <w:spacing w:val="-4"/>
        </w:rPr>
        <w:t>les</w:t>
      </w:r>
      <w:r>
        <w:rPr>
          <w:spacing w:val="-9"/>
        </w:rPr>
        <w:t> </w:t>
      </w:r>
      <w:r>
        <w:rPr/>
        <w:t>grands</w:t>
      </w:r>
      <w:r>
        <w:rPr>
          <w:spacing w:val="2"/>
        </w:rPr>
        <w:t> </w:t>
      </w:r>
      <w:r>
        <w:rPr/>
        <w:t>facturiers,</w:t>
      </w:r>
      <w:r>
        <w:rPr>
          <w:spacing w:val="-5"/>
        </w:rPr>
        <w:t> </w:t>
      </w:r>
      <w:r>
        <w:rPr/>
        <w:t>et</w:t>
      </w:r>
      <w:r>
        <w:rPr>
          <w:spacing w:val="-6"/>
        </w:rPr>
        <w:t> </w:t>
      </w:r>
      <w:r>
        <w:rPr/>
        <w:t>aujourd’hui, 105 </w:t>
      </w:r>
      <w:r>
        <w:rPr>
          <w:spacing w:val="-3"/>
        </w:rPr>
        <w:t>Web </w:t>
      </w:r>
      <w:r>
        <w:rPr/>
        <w:t>marchands sont adhérents au système de paiement sur internet par CIB. </w:t>
      </w:r>
      <w:r>
        <w:rPr>
          <w:spacing w:val="-3"/>
        </w:rPr>
        <w:t>Faisant </w:t>
      </w:r>
      <w:r>
        <w:rPr/>
        <w:t>suite à l’adhésion d’Algérie Poste au GIE Monétique </w:t>
      </w:r>
      <w:r>
        <w:rPr>
          <w:spacing w:val="-3"/>
        </w:rPr>
        <w:t>et </w:t>
      </w:r>
      <w:r>
        <w:rPr>
          <w:spacing w:val="-5"/>
        </w:rPr>
        <w:t>la </w:t>
      </w:r>
      <w:r>
        <w:rPr/>
        <w:t>réalisation de l’interopérabilité CIB/EDAHABIA, entrée en production depuis </w:t>
      </w:r>
      <w:r>
        <w:rPr>
          <w:spacing w:val="-3"/>
        </w:rPr>
        <w:t>le </w:t>
      </w:r>
      <w:r>
        <w:rPr/>
        <w:t>05 janvier</w:t>
      </w:r>
      <w:r>
        <w:rPr>
          <w:spacing w:val="9"/>
        </w:rPr>
        <w:t> </w:t>
      </w:r>
      <w:r>
        <w:rPr/>
        <w:t>2020.</w:t>
      </w:r>
      <w:r>
        <w:rPr>
          <w:position w:val="9"/>
          <w:sz w:val="16"/>
        </w:rPr>
        <w:t>1</w:t>
      </w:r>
    </w:p>
    <w:p>
      <w:pPr>
        <w:pStyle w:val="Heading5"/>
        <w:numPr>
          <w:ilvl w:val="0"/>
          <w:numId w:val="7"/>
        </w:numPr>
        <w:tabs>
          <w:tab w:pos="1315" w:val="left" w:leader="none"/>
        </w:tabs>
        <w:spacing w:line="240" w:lineRule="auto" w:before="167" w:after="0"/>
        <w:ind w:left="1314" w:right="0" w:hanging="433"/>
        <w:jc w:val="both"/>
      </w:pPr>
      <w:bookmarkStart w:name="5. Le cadre légal" w:id="70"/>
      <w:bookmarkEnd w:id="70"/>
      <w:r>
        <w:rPr>
          <w:b w:val="0"/>
        </w:rPr>
      </w:r>
      <w:bookmarkStart w:name="5. Le cadre légal" w:id="71"/>
      <w:bookmarkEnd w:id="71"/>
      <w:r>
        <w:rPr/>
        <w:t>L</w:t>
      </w:r>
      <w:r>
        <w:rPr/>
        <w:t>e cadre</w:t>
      </w:r>
      <w:r>
        <w:rPr>
          <w:spacing w:val="6"/>
        </w:rPr>
        <w:t> </w:t>
      </w:r>
      <w:r>
        <w:rPr/>
        <w:t>légal</w:t>
      </w:r>
    </w:p>
    <w:p>
      <w:pPr>
        <w:pStyle w:val="BodyText"/>
        <w:spacing w:line="360" w:lineRule="auto" w:before="132"/>
        <w:ind w:left="699" w:right="309" w:firstLine="360"/>
        <w:jc w:val="both"/>
      </w:pPr>
      <w:r>
        <w:rPr/>
        <w:t>Selon l’article 27 de </w:t>
      </w:r>
      <w:r>
        <w:rPr>
          <w:spacing w:val="-5"/>
        </w:rPr>
        <w:t>la </w:t>
      </w:r>
      <w:r>
        <w:rPr>
          <w:spacing w:val="3"/>
        </w:rPr>
        <w:t>Loi </w:t>
      </w:r>
      <w:r>
        <w:rPr/>
        <w:t>n° 18-05 relative au commerce électronique, </w:t>
      </w:r>
      <w:r>
        <w:rPr>
          <w:spacing w:val="-5"/>
        </w:rPr>
        <w:t>le </w:t>
      </w:r>
      <w:r>
        <w:rPr/>
        <w:t>paiement des transactions électroniques est défini : « Le paiement des transactions commerciales électroniques s’effectue, à distance ou à </w:t>
      </w:r>
      <w:r>
        <w:rPr>
          <w:spacing w:val="-5"/>
        </w:rPr>
        <w:t>la </w:t>
      </w:r>
      <w:r>
        <w:rPr/>
        <w:t>livraison du produit, par </w:t>
      </w:r>
      <w:r>
        <w:rPr>
          <w:spacing w:val="-4"/>
        </w:rPr>
        <w:t>les</w:t>
      </w:r>
      <w:r>
        <w:rPr>
          <w:spacing w:val="52"/>
        </w:rPr>
        <w:t> </w:t>
      </w:r>
      <w:r>
        <w:rPr/>
        <w:t>moyens de paiement autorisés conformément à </w:t>
      </w:r>
      <w:r>
        <w:rPr>
          <w:spacing w:val="-3"/>
        </w:rPr>
        <w:t>la </w:t>
      </w:r>
      <w:r>
        <w:rPr/>
        <w:t>législation en vigueur </w:t>
      </w:r>
      <w:r>
        <w:rPr>
          <w:spacing w:val="-3"/>
        </w:rPr>
        <w:t>», </w:t>
      </w:r>
      <w:r>
        <w:rPr/>
        <w:t>« Lorsque </w:t>
      </w:r>
      <w:r>
        <w:rPr>
          <w:spacing w:val="-5"/>
        </w:rPr>
        <w:t>le </w:t>
      </w:r>
      <w:r>
        <w:rPr/>
        <w:t>paiement est électronique, </w:t>
      </w:r>
      <w:r>
        <w:rPr>
          <w:spacing w:val="-3"/>
        </w:rPr>
        <w:t>il </w:t>
      </w:r>
      <w:r>
        <w:rPr/>
        <w:t>s’effectue à travers des plates-formes de paiement dédiées, mises en place et exploitées exclusivement par les banques agréées par </w:t>
      </w:r>
      <w:r>
        <w:rPr>
          <w:spacing w:val="-3"/>
        </w:rPr>
        <w:t>la </w:t>
      </w:r>
      <w:r>
        <w:rPr/>
        <w:t>Banque d’Algérie et Algérie Poste </w:t>
      </w:r>
      <w:r>
        <w:rPr>
          <w:spacing w:val="-3"/>
        </w:rPr>
        <w:t>et </w:t>
      </w:r>
      <w:r>
        <w:rPr/>
        <w:t>connectées à tout type de terminal de paiement électronique via </w:t>
      </w:r>
      <w:r>
        <w:rPr>
          <w:spacing w:val="-5"/>
        </w:rPr>
        <w:t>le </w:t>
      </w:r>
      <w:r>
        <w:rPr/>
        <w:t>réseau de l’opérateur public de télécommunications </w:t>
      </w:r>
      <w:r>
        <w:rPr>
          <w:spacing w:val="-3"/>
        </w:rPr>
        <w:t>», </w:t>
      </w:r>
      <w:r>
        <w:rPr/>
        <w:t>« Le paiement des transactions commerciales transfrontalières s’effectue exclusivement à distance par voie de communications électroniques </w:t>
      </w:r>
      <w:r>
        <w:rPr>
          <w:spacing w:val="-5"/>
        </w:rPr>
        <w:t>».</w:t>
      </w:r>
    </w:p>
    <w:p>
      <w:pPr>
        <w:pStyle w:val="BodyText"/>
        <w:spacing w:line="362" w:lineRule="auto" w:before="163"/>
        <w:ind w:left="699" w:right="312" w:firstLine="360"/>
        <w:jc w:val="both"/>
      </w:pPr>
      <w:r>
        <w:rPr/>
        <w:t>Selon</w:t>
      </w:r>
      <w:r>
        <w:rPr>
          <w:spacing w:val="-6"/>
        </w:rPr>
        <w:t> </w:t>
      </w:r>
      <w:r>
        <w:rPr/>
        <w:t>l’article</w:t>
      </w:r>
      <w:r>
        <w:rPr>
          <w:spacing w:val="-7"/>
        </w:rPr>
        <w:t> </w:t>
      </w:r>
      <w:r>
        <w:rPr/>
        <w:t>28</w:t>
      </w:r>
      <w:r>
        <w:rPr>
          <w:spacing w:val="-6"/>
        </w:rPr>
        <w:t> </w:t>
      </w:r>
      <w:r>
        <w:rPr/>
        <w:t>de</w:t>
      </w:r>
      <w:r>
        <w:rPr>
          <w:spacing w:val="-7"/>
        </w:rPr>
        <w:t> </w:t>
      </w:r>
      <w:r>
        <w:rPr>
          <w:spacing w:val="-3"/>
        </w:rPr>
        <w:t>la</w:t>
      </w:r>
      <w:r>
        <w:rPr>
          <w:spacing w:val="-7"/>
        </w:rPr>
        <w:t> </w:t>
      </w:r>
      <w:r>
        <w:rPr/>
        <w:t>Loi</w:t>
      </w:r>
      <w:r>
        <w:rPr>
          <w:spacing w:val="-10"/>
        </w:rPr>
        <w:t> </w:t>
      </w:r>
      <w:r>
        <w:rPr/>
        <w:t>n°</w:t>
      </w:r>
      <w:r>
        <w:rPr>
          <w:spacing w:val="-10"/>
        </w:rPr>
        <w:t> </w:t>
      </w:r>
      <w:r>
        <w:rPr/>
        <w:t>18-05</w:t>
      </w:r>
      <w:r>
        <w:rPr>
          <w:spacing w:val="-11"/>
        </w:rPr>
        <w:t> </w:t>
      </w:r>
      <w:r>
        <w:rPr/>
        <w:t>relative</w:t>
      </w:r>
      <w:r>
        <w:rPr>
          <w:spacing w:val="-7"/>
        </w:rPr>
        <w:t> </w:t>
      </w:r>
      <w:r>
        <w:rPr/>
        <w:t>au</w:t>
      </w:r>
      <w:r>
        <w:rPr>
          <w:spacing w:val="-6"/>
        </w:rPr>
        <w:t> </w:t>
      </w:r>
      <w:r>
        <w:rPr/>
        <w:t>commerce</w:t>
      </w:r>
      <w:r>
        <w:rPr>
          <w:spacing w:val="-6"/>
        </w:rPr>
        <w:t> </w:t>
      </w:r>
      <w:r>
        <w:rPr/>
        <w:t>électronique,</w:t>
      </w:r>
      <w:r>
        <w:rPr>
          <w:spacing w:val="-4"/>
        </w:rPr>
        <w:t> </w:t>
      </w:r>
      <w:r>
        <w:rPr/>
        <w:t>«</w:t>
      </w:r>
      <w:r>
        <w:rPr>
          <w:spacing w:val="-11"/>
        </w:rPr>
        <w:t> </w:t>
      </w:r>
      <w:r>
        <w:rPr/>
        <w:t>La</w:t>
      </w:r>
      <w:r>
        <w:rPr>
          <w:spacing w:val="-3"/>
        </w:rPr>
        <w:t> </w:t>
      </w:r>
      <w:r>
        <w:rPr/>
        <w:t>connexion</w:t>
      </w:r>
      <w:r>
        <w:rPr>
          <w:spacing w:val="-11"/>
        </w:rPr>
        <w:t> </w:t>
      </w:r>
      <w:r>
        <w:rPr/>
        <w:t>du</w:t>
      </w:r>
      <w:r>
        <w:rPr>
          <w:spacing w:val="-6"/>
        </w:rPr>
        <w:t> </w:t>
      </w:r>
      <w:r>
        <w:rPr/>
        <w:t>site web</w:t>
      </w:r>
      <w:r>
        <w:rPr>
          <w:spacing w:val="-16"/>
        </w:rPr>
        <w:t> </w:t>
      </w:r>
      <w:r>
        <w:rPr/>
        <w:t>du</w:t>
      </w:r>
      <w:r>
        <w:rPr>
          <w:spacing w:val="-12"/>
        </w:rPr>
        <w:t> </w:t>
      </w:r>
      <w:r>
        <w:rPr/>
        <w:t>e-fournisseur</w:t>
      </w:r>
      <w:r>
        <w:rPr>
          <w:spacing w:val="-10"/>
        </w:rPr>
        <w:t> </w:t>
      </w:r>
      <w:r>
        <w:rPr/>
        <w:t>à</w:t>
      </w:r>
      <w:r>
        <w:rPr>
          <w:spacing w:val="-13"/>
        </w:rPr>
        <w:t> </w:t>
      </w:r>
      <w:r>
        <w:rPr/>
        <w:t>une</w:t>
      </w:r>
      <w:r>
        <w:rPr>
          <w:spacing w:val="-13"/>
        </w:rPr>
        <w:t> </w:t>
      </w:r>
      <w:r>
        <w:rPr/>
        <w:t>plate-forme</w:t>
      </w:r>
      <w:r>
        <w:rPr>
          <w:spacing w:val="-13"/>
        </w:rPr>
        <w:t> </w:t>
      </w:r>
      <w:r>
        <w:rPr/>
        <w:t>de</w:t>
      </w:r>
      <w:r>
        <w:rPr>
          <w:spacing w:val="-13"/>
        </w:rPr>
        <w:t> </w:t>
      </w:r>
      <w:r>
        <w:rPr/>
        <w:t>paiement</w:t>
      </w:r>
      <w:r>
        <w:rPr>
          <w:spacing w:val="-11"/>
        </w:rPr>
        <w:t> </w:t>
      </w:r>
      <w:r>
        <w:rPr/>
        <w:t>électronique</w:t>
      </w:r>
      <w:r>
        <w:rPr>
          <w:spacing w:val="-13"/>
        </w:rPr>
        <w:t> </w:t>
      </w:r>
      <w:r>
        <w:rPr/>
        <w:t>doit</w:t>
      </w:r>
      <w:r>
        <w:rPr>
          <w:spacing w:val="-3"/>
        </w:rPr>
        <w:t> </w:t>
      </w:r>
      <w:r>
        <w:rPr/>
        <w:t>être</w:t>
      </w:r>
      <w:r>
        <w:rPr>
          <w:spacing w:val="-17"/>
        </w:rPr>
        <w:t> </w:t>
      </w:r>
      <w:r>
        <w:rPr/>
        <w:t>sécurisée</w:t>
      </w:r>
      <w:r>
        <w:rPr>
          <w:spacing w:val="-13"/>
        </w:rPr>
        <w:t> </w:t>
      </w:r>
      <w:r>
        <w:rPr/>
        <w:t>par</w:t>
      </w:r>
      <w:r>
        <w:rPr>
          <w:spacing w:val="-10"/>
        </w:rPr>
        <w:t> </w:t>
      </w:r>
      <w:r>
        <w:rPr/>
        <w:t>un</w:t>
      </w:r>
      <w:r>
        <w:rPr>
          <w:spacing w:val="-16"/>
        </w:rPr>
        <w:t> </w:t>
      </w:r>
      <w:r>
        <w:rPr/>
        <w:t>système de certification électronique</w:t>
      </w:r>
      <w:r>
        <w:rPr>
          <w:spacing w:val="-2"/>
        </w:rPr>
        <w:t> </w:t>
      </w:r>
      <w:r>
        <w:rPr/>
        <w:t>»</w:t>
      </w:r>
    </w:p>
    <w:p>
      <w:pPr>
        <w:pStyle w:val="BodyText"/>
        <w:spacing w:line="360" w:lineRule="auto" w:before="152"/>
        <w:ind w:left="699" w:right="313" w:firstLine="360"/>
        <w:jc w:val="both"/>
      </w:pPr>
      <w:r>
        <w:rPr/>
        <w:t>Selon l’article 29 de </w:t>
      </w:r>
      <w:r>
        <w:rPr>
          <w:spacing w:val="-5"/>
        </w:rPr>
        <w:t>la </w:t>
      </w:r>
      <w:r>
        <w:rPr>
          <w:spacing w:val="3"/>
        </w:rPr>
        <w:t>Loi </w:t>
      </w:r>
      <w:r>
        <w:rPr/>
        <w:t>n° 18-05 relative au commerce électronique, « Les plates- formes de paiement électronique établies et exploitées conformément à l’article 27 ci- dessus, sont soumises au contrôle de </w:t>
      </w:r>
      <w:r>
        <w:rPr>
          <w:spacing w:val="-3"/>
        </w:rPr>
        <w:t>la </w:t>
      </w:r>
      <w:r>
        <w:rPr/>
        <w:t>Banque d’Algérie pour garantir qu’elles répondent</w:t>
      </w:r>
      <w:r>
        <w:rPr>
          <w:spacing w:val="59"/>
        </w:rPr>
        <w:t> </w:t>
      </w:r>
      <w:r>
        <w:rPr/>
        <w:t>aux exigences</w:t>
      </w:r>
    </w:p>
    <w:p>
      <w:pPr>
        <w:pStyle w:val="BodyText"/>
        <w:rPr>
          <w:sz w:val="20"/>
        </w:rPr>
      </w:pPr>
    </w:p>
    <w:p>
      <w:pPr>
        <w:pStyle w:val="BodyText"/>
        <w:rPr>
          <w:sz w:val="20"/>
        </w:rPr>
      </w:pPr>
    </w:p>
    <w:p>
      <w:pPr>
        <w:pStyle w:val="BodyText"/>
        <w:rPr>
          <w:sz w:val="20"/>
        </w:rPr>
      </w:pPr>
    </w:p>
    <w:p>
      <w:pPr>
        <w:pStyle w:val="BodyText"/>
        <w:rPr>
          <w:sz w:val="10"/>
        </w:rPr>
      </w:pPr>
      <w:r>
        <w:rPr/>
        <w:pict>
          <v:shape style="position:absolute;margin-left:84.984001pt;margin-top:8.119563pt;width:144.1pt;height:.1pt;mso-position-horizontal-relative:page;mso-position-vertical-relative:paragraph;z-index:-251640832;mso-wrap-distance-left:0;mso-wrap-distance-right:0" coordorigin="1700,162" coordsize="2882,0" path="m1700,162l4581,162e" filled="false" stroked="true" strokeweight=".72003pt" strokecolor="#000000">
            <v:path arrowok="t"/>
            <v:stroke dashstyle="solid"/>
            <w10:wrap type="topAndBottom"/>
          </v:shape>
        </w:pict>
      </w:r>
    </w:p>
    <w:p>
      <w:pPr>
        <w:spacing w:before="62"/>
        <w:ind w:left="699" w:right="304" w:firstLine="0"/>
        <w:jc w:val="left"/>
        <w:rPr>
          <w:i/>
          <w:sz w:val="20"/>
        </w:rPr>
      </w:pPr>
      <w:r>
        <w:rPr>
          <w:i/>
          <w:position w:val="7"/>
          <w:sz w:val="13"/>
        </w:rPr>
        <w:t>1</w:t>
      </w:r>
      <w:r>
        <w:rPr>
          <w:i/>
          <w:sz w:val="20"/>
        </w:rPr>
        <w:t>ASJP, Présentation de la revue, Portail ASJP, CERIST, Alger,</w:t>
      </w:r>
      <w:hyperlink r:id="rId33">
        <w:r>
          <w:rPr>
            <w:i/>
            <w:sz w:val="20"/>
          </w:rPr>
          <w:t>.</w:t>
        </w:r>
        <w:r>
          <w:rPr>
            <w:i/>
            <w:color w:val="0462C1"/>
            <w:sz w:val="20"/>
            <w:u w:val="single" w:color="0462C1"/>
          </w:rPr>
          <w:t>https://www.asjp.cerist.dz/en/PresentationRevue/417</w:t>
        </w:r>
        <w:r>
          <w:rPr>
            <w:i/>
            <w:sz w:val="20"/>
          </w:rPr>
          <w:t>,</w:t>
        </w:r>
      </w:hyperlink>
      <w:r>
        <w:rPr>
          <w:i/>
          <w:sz w:val="20"/>
        </w:rPr>
        <w:t> </w:t>
      </w:r>
      <w:r>
        <w:rPr>
          <w:i/>
          <w:sz w:val="20"/>
        </w:rPr>
        <w:t>[consulté le 20 mai 2025 à 21h]</w:t>
      </w:r>
    </w:p>
    <w:p>
      <w:pPr>
        <w:spacing w:after="0"/>
        <w:jc w:val="left"/>
        <w:rPr>
          <w:sz w:val="20"/>
        </w:rPr>
        <w:sectPr>
          <w:pgSz w:w="12240" w:h="15840"/>
          <w:pgMar w:header="723" w:footer="850" w:top="1080" w:bottom="1040" w:left="1000" w:right="820"/>
        </w:sectPr>
      </w:pPr>
    </w:p>
    <w:p>
      <w:pPr>
        <w:pStyle w:val="BodyText"/>
        <w:rPr>
          <w:i/>
          <w:sz w:val="22"/>
        </w:rPr>
      </w:pPr>
    </w:p>
    <w:p>
      <w:pPr>
        <w:pStyle w:val="BodyText"/>
        <w:spacing w:line="355" w:lineRule="auto" w:before="90"/>
        <w:ind w:left="699" w:right="304"/>
        <w:rPr>
          <w:sz w:val="16"/>
        </w:rPr>
      </w:pPr>
      <w:r>
        <w:rPr/>
        <w:t>d’interopérabilité, de confidentialité, d’intégrité, d’authentification, et de sécurité des échanges de données »</w:t>
      </w:r>
      <w:r>
        <w:rPr>
          <w:position w:val="9"/>
          <w:sz w:val="16"/>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r>
        <w:rPr/>
        <w:pict>
          <v:shape style="position:absolute;margin-left:84.984001pt;margin-top:16.061731pt;width:144.1pt;height:.1pt;mso-position-horizontal-relative:page;mso-position-vertical-relative:paragraph;z-index:-251639808;mso-wrap-distance-left:0;mso-wrap-distance-right:0" coordorigin="1700,321" coordsize="2882,0" path="m1700,321l4581,321e" filled="false" stroked="true" strokeweight=".72003pt" strokecolor="#000000">
            <v:path arrowok="t"/>
            <v:stroke dashstyle="solid"/>
            <w10:wrap type="topAndBottom"/>
          </v:shape>
        </w:pict>
      </w:r>
    </w:p>
    <w:p>
      <w:pPr>
        <w:spacing w:before="62"/>
        <w:ind w:left="699" w:right="0" w:firstLine="0"/>
        <w:jc w:val="left"/>
        <w:rPr>
          <w:i/>
          <w:sz w:val="20"/>
        </w:rPr>
      </w:pPr>
      <w:r>
        <w:rPr>
          <w:i/>
          <w:position w:val="7"/>
          <w:sz w:val="13"/>
        </w:rPr>
        <w:t>1 </w:t>
      </w:r>
      <w:r>
        <w:rPr>
          <w:i/>
          <w:sz w:val="20"/>
        </w:rPr>
        <w:t>Journal Officiel de la République Algérienne, N° 28, 16 mai 2018, p. 07-08.</w:t>
      </w:r>
    </w:p>
    <w:p>
      <w:pPr>
        <w:spacing w:after="0"/>
        <w:jc w:val="left"/>
        <w:rPr>
          <w:sz w:val="20"/>
        </w:rPr>
        <w:sectPr>
          <w:pgSz w:w="12240" w:h="15840"/>
          <w:pgMar w:header="723" w:footer="850" w:top="1080" w:bottom="1040" w:left="1000" w:right="820"/>
        </w:sectPr>
      </w:pPr>
    </w:p>
    <w:p>
      <w:pPr>
        <w:pStyle w:val="BodyText"/>
        <w:spacing w:before="5"/>
        <w:rPr>
          <w:i/>
          <w:sz w:val="29"/>
        </w:rPr>
      </w:pPr>
    </w:p>
    <w:p>
      <w:pPr>
        <w:pStyle w:val="Heading3"/>
        <w:ind w:left="2851"/>
        <w:jc w:val="both"/>
      </w:pPr>
      <w:bookmarkStart w:name="Section 02 : La mesure de la satisfactio" w:id="72"/>
      <w:bookmarkEnd w:id="72"/>
      <w:r>
        <w:rPr>
          <w:b w:val="0"/>
        </w:rPr>
      </w:r>
      <w:bookmarkStart w:name="_bookmark10" w:id="73"/>
      <w:bookmarkEnd w:id="73"/>
      <w:r>
        <w:rPr>
          <w:b w:val="0"/>
        </w:rPr>
      </w:r>
      <w:r>
        <w:rPr/>
        <w:t>Section 02 : La mesure de la satisfaction client</w:t>
      </w:r>
    </w:p>
    <w:p>
      <w:pPr>
        <w:pStyle w:val="BodyText"/>
        <w:spacing w:line="362" w:lineRule="auto" w:before="162"/>
        <w:ind w:left="699" w:right="315" w:firstLine="360"/>
        <w:jc w:val="both"/>
      </w:pPr>
      <w:r>
        <w:rPr/>
        <w:t>Dans un environnement concurrentiel, </w:t>
      </w:r>
      <w:r>
        <w:rPr>
          <w:spacing w:val="-3"/>
        </w:rPr>
        <w:t>la </w:t>
      </w:r>
      <w:r>
        <w:rPr/>
        <w:t>satisfaction du client représente un indicateur stratégique majeur pour </w:t>
      </w:r>
      <w:r>
        <w:rPr>
          <w:spacing w:val="-3"/>
        </w:rPr>
        <w:t>les </w:t>
      </w:r>
      <w:r>
        <w:rPr/>
        <w:t>entreprises. Cette section a pour objectif de présenter les fondements de</w:t>
      </w:r>
      <w:r>
        <w:rPr>
          <w:spacing w:val="-3"/>
        </w:rPr>
        <w:t> </w:t>
      </w:r>
      <w:r>
        <w:rPr>
          <w:spacing w:val="-5"/>
        </w:rPr>
        <w:t>la</w:t>
      </w:r>
      <w:r>
        <w:rPr>
          <w:spacing w:val="-7"/>
        </w:rPr>
        <w:t> </w:t>
      </w:r>
      <w:r>
        <w:rPr/>
        <w:t>satisfaction</w:t>
      </w:r>
      <w:r>
        <w:rPr>
          <w:spacing w:val="-11"/>
        </w:rPr>
        <w:t> </w:t>
      </w:r>
      <w:r>
        <w:rPr/>
        <w:t>client,</w:t>
      </w:r>
      <w:r>
        <w:rPr>
          <w:spacing w:val="-5"/>
        </w:rPr>
        <w:t> </w:t>
      </w:r>
      <w:r>
        <w:rPr/>
        <w:t>son</w:t>
      </w:r>
      <w:r>
        <w:rPr>
          <w:spacing w:val="-6"/>
        </w:rPr>
        <w:t> </w:t>
      </w:r>
      <w:r>
        <w:rPr/>
        <w:t>importance</w:t>
      </w:r>
      <w:r>
        <w:rPr>
          <w:spacing w:val="-7"/>
        </w:rPr>
        <w:t> </w:t>
      </w:r>
      <w:r>
        <w:rPr/>
        <w:t>pour</w:t>
      </w:r>
      <w:r>
        <w:rPr>
          <w:spacing w:val="-5"/>
        </w:rPr>
        <w:t> </w:t>
      </w:r>
      <w:r>
        <w:rPr/>
        <w:t>l’entreprise, les</w:t>
      </w:r>
      <w:r>
        <w:rPr>
          <w:spacing w:val="-8"/>
        </w:rPr>
        <w:t> </w:t>
      </w:r>
      <w:r>
        <w:rPr/>
        <w:t>principaux</w:t>
      </w:r>
      <w:r>
        <w:rPr>
          <w:spacing w:val="-6"/>
        </w:rPr>
        <w:t> </w:t>
      </w:r>
      <w:r>
        <w:rPr/>
        <w:t>facteurs</w:t>
      </w:r>
      <w:r>
        <w:rPr>
          <w:spacing w:val="-8"/>
        </w:rPr>
        <w:t> </w:t>
      </w:r>
      <w:r>
        <w:rPr/>
        <w:t>qui</w:t>
      </w:r>
      <w:r>
        <w:rPr>
          <w:spacing w:val="-10"/>
        </w:rPr>
        <w:t> </w:t>
      </w:r>
      <w:r>
        <w:rPr/>
        <w:t>l’influencent, ainsi que les différentes dimensions à prendre en compte pour l’évaluer. Enfin, nous aborderons les</w:t>
      </w:r>
      <w:r>
        <w:rPr>
          <w:spacing w:val="-15"/>
        </w:rPr>
        <w:t> </w:t>
      </w:r>
      <w:r>
        <w:rPr/>
        <w:t>outils</w:t>
      </w:r>
      <w:r>
        <w:rPr>
          <w:spacing w:val="-14"/>
        </w:rPr>
        <w:t> </w:t>
      </w:r>
      <w:r>
        <w:rPr/>
        <w:t>et</w:t>
      </w:r>
      <w:r>
        <w:rPr>
          <w:spacing w:val="-8"/>
        </w:rPr>
        <w:t> </w:t>
      </w:r>
      <w:r>
        <w:rPr/>
        <w:t>méthodes</w:t>
      </w:r>
      <w:r>
        <w:rPr>
          <w:spacing w:val="-14"/>
        </w:rPr>
        <w:t> </w:t>
      </w:r>
      <w:r>
        <w:rPr/>
        <w:t>utilisés</w:t>
      </w:r>
      <w:r>
        <w:rPr>
          <w:spacing w:val="-15"/>
        </w:rPr>
        <w:t> </w:t>
      </w:r>
      <w:r>
        <w:rPr/>
        <w:t>pour</w:t>
      </w:r>
      <w:r>
        <w:rPr>
          <w:spacing w:val="-10"/>
        </w:rPr>
        <w:t> </w:t>
      </w:r>
      <w:r>
        <w:rPr/>
        <w:t>mesurer</w:t>
      </w:r>
      <w:r>
        <w:rPr>
          <w:spacing w:val="-7"/>
        </w:rPr>
        <w:t> </w:t>
      </w:r>
      <w:r>
        <w:rPr/>
        <w:t>cette</w:t>
      </w:r>
      <w:r>
        <w:rPr>
          <w:spacing w:val="-12"/>
        </w:rPr>
        <w:t> </w:t>
      </w:r>
      <w:r>
        <w:rPr/>
        <w:t>satisfaction</w:t>
      </w:r>
      <w:r>
        <w:rPr>
          <w:spacing w:val="-16"/>
        </w:rPr>
        <w:t> </w:t>
      </w:r>
      <w:r>
        <w:rPr/>
        <w:t>de</w:t>
      </w:r>
      <w:r>
        <w:rPr>
          <w:spacing w:val="-9"/>
        </w:rPr>
        <w:t> </w:t>
      </w:r>
      <w:r>
        <w:rPr/>
        <w:t>manière</w:t>
      </w:r>
      <w:r>
        <w:rPr>
          <w:spacing w:val="-14"/>
        </w:rPr>
        <w:t> </w:t>
      </w:r>
      <w:r>
        <w:rPr/>
        <w:t>concrète</w:t>
      </w:r>
      <w:r>
        <w:rPr>
          <w:spacing w:val="-13"/>
        </w:rPr>
        <w:t> </w:t>
      </w:r>
      <w:r>
        <w:rPr/>
        <w:t>et</w:t>
      </w:r>
      <w:r>
        <w:rPr>
          <w:spacing w:val="-16"/>
        </w:rPr>
        <w:t> </w:t>
      </w:r>
      <w:r>
        <w:rPr/>
        <w:t>opérationnelle.</w:t>
      </w:r>
    </w:p>
    <w:p>
      <w:pPr>
        <w:pStyle w:val="Heading5"/>
        <w:numPr>
          <w:ilvl w:val="0"/>
          <w:numId w:val="8"/>
        </w:numPr>
        <w:tabs>
          <w:tab w:pos="1315" w:val="left" w:leader="none"/>
        </w:tabs>
        <w:spacing w:line="240" w:lineRule="auto" w:before="149" w:after="0"/>
        <w:ind w:left="1314" w:right="0" w:hanging="433"/>
        <w:jc w:val="both"/>
      </w:pPr>
      <w:bookmarkStart w:name="1. Définition de la satisfaction :" w:id="74"/>
      <w:bookmarkEnd w:id="74"/>
      <w:r>
        <w:rPr>
          <w:b w:val="0"/>
        </w:rPr>
      </w:r>
      <w:bookmarkStart w:name="1. Définition de la satisfaction :" w:id="75"/>
      <w:bookmarkEnd w:id="75"/>
      <w:r>
        <w:rPr/>
        <w:t>D</w:t>
      </w:r>
      <w:r>
        <w:rPr/>
        <w:t>éfinition de </w:t>
      </w:r>
      <w:r>
        <w:rPr>
          <w:spacing w:val="-3"/>
        </w:rPr>
        <w:t>la </w:t>
      </w:r>
      <w:r>
        <w:rPr/>
        <w:t>satisfaction</w:t>
      </w:r>
      <w:r>
        <w:rPr>
          <w:spacing w:val="13"/>
        </w:rPr>
        <w:t> </w:t>
      </w:r>
      <w:r>
        <w:rPr/>
        <w:t>:</w:t>
      </w:r>
    </w:p>
    <w:p>
      <w:pPr>
        <w:pStyle w:val="BodyText"/>
        <w:spacing w:before="4"/>
        <w:rPr>
          <w:b/>
          <w:sz w:val="22"/>
        </w:rPr>
      </w:pPr>
    </w:p>
    <w:p>
      <w:pPr>
        <w:pStyle w:val="BodyText"/>
        <w:spacing w:line="357" w:lineRule="auto"/>
        <w:ind w:left="699" w:right="312" w:firstLine="360"/>
        <w:jc w:val="both"/>
        <w:rPr>
          <w:sz w:val="16"/>
        </w:rPr>
      </w:pPr>
      <w:r>
        <w:rPr/>
        <w:t>Selon KOTLER : « la satisfaction est le jugement d’un client vis-à-vis d’une expérience de consommation ou d’utilisation résultant d’une comparaison entre ses attentes à l’égard du produit et ses performances perçus ».</w:t>
      </w:r>
      <w:r>
        <w:rPr>
          <w:position w:val="9"/>
          <w:sz w:val="16"/>
        </w:rPr>
        <w:t>1</w:t>
      </w:r>
    </w:p>
    <w:p>
      <w:pPr>
        <w:pStyle w:val="BodyText"/>
        <w:spacing w:line="357" w:lineRule="auto" w:before="153"/>
        <w:ind w:left="699" w:right="310" w:firstLine="360"/>
        <w:jc w:val="both"/>
        <w:rPr>
          <w:sz w:val="16"/>
        </w:rPr>
      </w:pPr>
      <w:r>
        <w:rPr/>
        <w:t>De son côté LINDON définit : « la satisfaction peut être comprise en marketing, comme le sentiment de plaisir ou déplaisir qui nait de la comparaison entre les attentes préalable et une expérience de consommation ».</w:t>
      </w:r>
      <w:r>
        <w:rPr>
          <w:position w:val="9"/>
          <w:sz w:val="16"/>
        </w:rPr>
        <w:t>2</w:t>
      </w:r>
    </w:p>
    <w:p>
      <w:pPr>
        <w:pStyle w:val="BodyText"/>
        <w:spacing w:line="357" w:lineRule="auto" w:before="153"/>
        <w:ind w:left="699" w:right="311" w:firstLine="360"/>
        <w:jc w:val="both"/>
        <w:rPr>
          <w:sz w:val="16"/>
        </w:rPr>
      </w:pPr>
      <w:r>
        <w:rPr/>
        <w:t>Enfin, pour YVES LEGOLVAN, « la satisfaction des besoins des clients est la finalité même de la démarche marketing, elle exprime le degré de contentement procuré par la réponse apportée à un désir. » </w:t>
      </w:r>
      <w:r>
        <w:rPr>
          <w:position w:val="9"/>
          <w:sz w:val="16"/>
        </w:rPr>
        <w:t>3</w:t>
      </w:r>
    </w:p>
    <w:p>
      <w:pPr>
        <w:pStyle w:val="Heading5"/>
        <w:numPr>
          <w:ilvl w:val="0"/>
          <w:numId w:val="8"/>
        </w:numPr>
        <w:tabs>
          <w:tab w:pos="1315" w:val="left" w:leader="none"/>
        </w:tabs>
        <w:spacing w:line="240" w:lineRule="auto" w:before="158" w:after="0"/>
        <w:ind w:left="1314" w:right="0" w:hanging="433"/>
        <w:jc w:val="both"/>
      </w:pPr>
      <w:bookmarkStart w:name="2. Importance de la satisfaction client " w:id="76"/>
      <w:bookmarkEnd w:id="76"/>
      <w:r>
        <w:rPr>
          <w:b w:val="0"/>
        </w:rPr>
      </w:r>
      <w:bookmarkStart w:name="2. Importance de la satisfaction client " w:id="77"/>
      <w:bookmarkEnd w:id="77"/>
      <w:r>
        <w:rPr/>
        <w:t>I</w:t>
      </w:r>
      <w:r>
        <w:rPr/>
        <w:t>mportance de </w:t>
      </w:r>
      <w:r>
        <w:rPr>
          <w:spacing w:val="-3"/>
        </w:rPr>
        <w:t>la </w:t>
      </w:r>
      <w:r>
        <w:rPr/>
        <w:t>satisfaction client pour l’entreprise</w:t>
      </w:r>
      <w:r>
        <w:rPr>
          <w:spacing w:val="-18"/>
        </w:rPr>
        <w:t> </w:t>
      </w:r>
      <w:r>
        <w:rPr/>
        <w:t>:</w:t>
      </w:r>
    </w:p>
    <w:p>
      <w:pPr>
        <w:pStyle w:val="BodyText"/>
        <w:spacing w:before="4"/>
        <w:rPr>
          <w:b/>
          <w:sz w:val="22"/>
        </w:rPr>
      </w:pPr>
    </w:p>
    <w:p>
      <w:pPr>
        <w:pStyle w:val="BodyText"/>
        <w:spacing w:line="355" w:lineRule="auto"/>
        <w:ind w:left="699" w:right="317" w:firstLine="360"/>
        <w:jc w:val="both"/>
        <w:rPr>
          <w:sz w:val="16"/>
        </w:rPr>
      </w:pPr>
      <w:r>
        <w:rPr/>
        <w:t>La satisfaction client est un aspect essentiel pour toute entreprise qui souhaite prospérer sur </w:t>
      </w:r>
      <w:r>
        <w:rPr>
          <w:spacing w:val="-5"/>
        </w:rPr>
        <w:t>le </w:t>
      </w:r>
      <w:r>
        <w:rPr/>
        <w:t>marché concurrentiel d’aujourd’hui en peut les résumer sur plusieurs points </w:t>
      </w:r>
      <w:r>
        <w:rPr>
          <w:spacing w:val="-3"/>
        </w:rPr>
        <w:t>:</w:t>
      </w:r>
      <w:r>
        <w:rPr>
          <w:spacing w:val="-3"/>
          <w:position w:val="9"/>
          <w:sz w:val="16"/>
        </w:rPr>
        <w:t>4</w:t>
      </w:r>
    </w:p>
    <w:p>
      <w:pPr>
        <w:pStyle w:val="ListParagraph"/>
        <w:numPr>
          <w:ilvl w:val="1"/>
          <w:numId w:val="8"/>
        </w:numPr>
        <w:tabs>
          <w:tab w:pos="1838" w:val="left" w:leader="none"/>
        </w:tabs>
        <w:spacing w:line="357" w:lineRule="auto" w:before="157" w:after="0"/>
        <w:ind w:left="1837" w:right="317" w:hanging="360"/>
        <w:jc w:val="both"/>
        <w:rPr>
          <w:rFonts w:ascii="Calibri" w:hAnsi="Calibri"/>
          <w:sz w:val="22"/>
        </w:rPr>
      </w:pPr>
      <w:r>
        <w:rPr>
          <w:b/>
          <w:sz w:val="24"/>
        </w:rPr>
        <w:t>La</w:t>
      </w:r>
      <w:r>
        <w:rPr>
          <w:b/>
          <w:spacing w:val="-7"/>
          <w:sz w:val="24"/>
        </w:rPr>
        <w:t> </w:t>
      </w:r>
      <w:r>
        <w:rPr>
          <w:b/>
          <w:sz w:val="24"/>
        </w:rPr>
        <w:t>fidélisation</w:t>
      </w:r>
      <w:r>
        <w:rPr>
          <w:b/>
          <w:spacing w:val="-6"/>
          <w:sz w:val="24"/>
        </w:rPr>
        <w:t> </w:t>
      </w:r>
      <w:r>
        <w:rPr>
          <w:b/>
          <w:sz w:val="24"/>
        </w:rPr>
        <w:t>de</w:t>
      </w:r>
      <w:r>
        <w:rPr>
          <w:b/>
          <w:spacing w:val="-8"/>
          <w:sz w:val="24"/>
        </w:rPr>
        <w:t> </w:t>
      </w:r>
      <w:r>
        <w:rPr>
          <w:b/>
          <w:sz w:val="24"/>
        </w:rPr>
        <w:t>votre</w:t>
      </w:r>
      <w:r>
        <w:rPr>
          <w:b/>
          <w:spacing w:val="-7"/>
          <w:sz w:val="24"/>
        </w:rPr>
        <w:t> </w:t>
      </w:r>
      <w:r>
        <w:rPr>
          <w:b/>
          <w:sz w:val="24"/>
        </w:rPr>
        <w:t>clientèle</w:t>
      </w:r>
      <w:r>
        <w:rPr>
          <w:b/>
          <w:spacing w:val="-8"/>
          <w:sz w:val="24"/>
        </w:rPr>
        <w:t> </w:t>
      </w:r>
      <w:r>
        <w:rPr>
          <w:b/>
          <w:sz w:val="24"/>
        </w:rPr>
        <w:t>:</w:t>
      </w:r>
      <w:r>
        <w:rPr>
          <w:sz w:val="24"/>
        </w:rPr>
        <w:t>Des</w:t>
      </w:r>
      <w:r>
        <w:rPr>
          <w:spacing w:val="-9"/>
          <w:sz w:val="24"/>
        </w:rPr>
        <w:t> </w:t>
      </w:r>
      <w:r>
        <w:rPr>
          <w:sz w:val="24"/>
        </w:rPr>
        <w:t>client</w:t>
      </w:r>
      <w:r>
        <w:rPr>
          <w:spacing w:val="-2"/>
          <w:sz w:val="24"/>
        </w:rPr>
        <w:t> </w:t>
      </w:r>
      <w:r>
        <w:rPr>
          <w:sz w:val="24"/>
        </w:rPr>
        <w:t>satisfait</w:t>
      </w:r>
      <w:r>
        <w:rPr>
          <w:spacing w:val="-2"/>
          <w:sz w:val="24"/>
        </w:rPr>
        <w:t> </w:t>
      </w:r>
      <w:r>
        <w:rPr>
          <w:sz w:val="24"/>
        </w:rPr>
        <w:t>ses</w:t>
      </w:r>
      <w:r>
        <w:rPr>
          <w:spacing w:val="-9"/>
          <w:sz w:val="24"/>
        </w:rPr>
        <w:t> </w:t>
      </w:r>
      <w:r>
        <w:rPr>
          <w:sz w:val="24"/>
        </w:rPr>
        <w:t>des</w:t>
      </w:r>
      <w:r>
        <w:rPr>
          <w:spacing w:val="-8"/>
          <w:sz w:val="24"/>
        </w:rPr>
        <w:t> </w:t>
      </w:r>
      <w:r>
        <w:rPr>
          <w:sz w:val="24"/>
        </w:rPr>
        <w:t>client</w:t>
      </w:r>
      <w:r>
        <w:rPr>
          <w:spacing w:val="2"/>
          <w:sz w:val="24"/>
        </w:rPr>
        <w:t> </w:t>
      </w:r>
      <w:r>
        <w:rPr>
          <w:sz w:val="24"/>
        </w:rPr>
        <w:t>fidèles,</w:t>
      </w:r>
      <w:r>
        <w:rPr>
          <w:spacing w:val="-5"/>
          <w:sz w:val="24"/>
        </w:rPr>
        <w:t> </w:t>
      </w:r>
      <w:r>
        <w:rPr>
          <w:sz w:val="24"/>
        </w:rPr>
        <w:t>En</w:t>
      </w:r>
      <w:r>
        <w:rPr>
          <w:spacing w:val="-5"/>
          <w:sz w:val="24"/>
        </w:rPr>
        <w:t> </w:t>
      </w:r>
      <w:r>
        <w:rPr>
          <w:sz w:val="24"/>
        </w:rPr>
        <w:t>offrant une expérience client personnalisée, et inoubliable, les entreprises peuvent non seulement fidéliser leurs clients existants, </w:t>
      </w:r>
      <w:r>
        <w:rPr>
          <w:spacing w:val="-3"/>
          <w:sz w:val="24"/>
        </w:rPr>
        <w:t>mais </w:t>
      </w:r>
      <w:r>
        <w:rPr>
          <w:sz w:val="24"/>
        </w:rPr>
        <w:t>aussi attirer de nouveaux clients grâce au bouche-à-oreille positif et en apportant plusieurs changement en se basant sur</w:t>
      </w:r>
      <w:r>
        <w:rPr>
          <w:spacing w:val="-5"/>
          <w:sz w:val="24"/>
        </w:rPr>
        <w:t> </w:t>
      </w:r>
      <w:r>
        <w:rPr>
          <w:spacing w:val="-3"/>
          <w:sz w:val="24"/>
        </w:rPr>
        <w:t>les</w:t>
      </w:r>
    </w:p>
    <w:p>
      <w:pPr>
        <w:pStyle w:val="BodyText"/>
        <w:spacing w:before="10"/>
        <w:rPr>
          <w:sz w:val="23"/>
        </w:rPr>
      </w:pPr>
      <w:r>
        <w:rPr/>
        <w:pict>
          <v:shape style="position:absolute;margin-left:84.984001pt;margin-top:16.112377pt;width:144.1pt;height:.1pt;mso-position-horizontal-relative:page;mso-position-vertical-relative:paragraph;z-index:-251638784;mso-wrap-distance-left:0;mso-wrap-distance-right:0" coordorigin="1700,322" coordsize="2882,0" path="m1700,322l4581,322e" filled="false" stroked="true" strokeweight=".72003pt" strokecolor="#000000">
            <v:path arrowok="t"/>
            <v:stroke dashstyle="solid"/>
            <w10:wrap type="topAndBottom"/>
          </v:shape>
        </w:pict>
      </w:r>
    </w:p>
    <w:p>
      <w:pPr>
        <w:spacing w:line="233" w:lineRule="exact" w:before="62"/>
        <w:ind w:left="699" w:right="0" w:firstLine="0"/>
        <w:jc w:val="left"/>
        <w:rPr>
          <w:i/>
          <w:sz w:val="20"/>
        </w:rPr>
      </w:pPr>
      <w:r>
        <w:rPr>
          <w:i/>
          <w:position w:val="7"/>
          <w:sz w:val="13"/>
        </w:rPr>
        <w:t>1</w:t>
      </w:r>
      <w:r>
        <w:rPr>
          <w:i/>
          <w:sz w:val="20"/>
        </w:rPr>
        <w:t>Kotler Philip, Dubois Bernard, Marketing Management, Publi-Union, Paris, 2000.</w:t>
      </w:r>
    </w:p>
    <w:p>
      <w:pPr>
        <w:spacing w:line="230" w:lineRule="exact" w:before="0"/>
        <w:ind w:left="699" w:right="0" w:firstLine="0"/>
        <w:jc w:val="left"/>
        <w:rPr>
          <w:i/>
          <w:sz w:val="20"/>
        </w:rPr>
      </w:pPr>
      <w:r>
        <w:rPr>
          <w:i/>
          <w:position w:val="7"/>
          <w:sz w:val="13"/>
        </w:rPr>
        <w:t>2 </w:t>
      </w:r>
      <w:r>
        <w:rPr>
          <w:i/>
          <w:sz w:val="20"/>
        </w:rPr>
        <w:t>Lendrevie Jacques, Lévy Julien, Mercator, Dunod, Paris, 2003.</w:t>
      </w:r>
    </w:p>
    <w:p>
      <w:pPr>
        <w:spacing w:line="240" w:lineRule="auto" w:before="0"/>
        <w:ind w:left="699" w:right="238" w:firstLine="0"/>
        <w:jc w:val="left"/>
        <w:rPr>
          <w:i/>
          <w:sz w:val="20"/>
          <w:szCs w:val="20"/>
        </w:rPr>
      </w:pPr>
      <w:r>
        <w:rPr>
          <w:i/>
          <w:position w:val="7"/>
          <w:sz w:val="13"/>
          <w:szCs w:val="13"/>
        </w:rPr>
        <w:t>3 </w:t>
      </w:r>
      <w:r>
        <w:rPr>
          <w:i/>
          <w:sz w:val="20"/>
          <w:szCs w:val="20"/>
        </w:rPr>
        <w:t>LeGoff Yvon, « Stratégie, segmentation, marketing-mix et politique de l’offre », in Marketing, 7ᵉ édition, Éditions </w:t>
      </w:r>
      <w:r>
        <w:rPr>
          <w:i/>
          <w:sz w:val="20"/>
          <w:szCs w:val="20"/>
        </w:rPr>
        <w:t>d’Organisation, Paris, 1995.</w:t>
      </w:r>
    </w:p>
    <w:p>
      <w:pPr>
        <w:spacing w:line="240" w:lineRule="auto" w:before="0"/>
        <w:ind w:left="699" w:right="1662" w:firstLine="0"/>
        <w:jc w:val="left"/>
        <w:rPr>
          <w:i/>
          <w:sz w:val="20"/>
        </w:rPr>
      </w:pPr>
      <w:r>
        <w:rPr>
          <w:i/>
          <w:position w:val="7"/>
          <w:sz w:val="13"/>
        </w:rPr>
        <w:t>4 </w:t>
      </w:r>
      <w:r>
        <w:rPr>
          <w:i/>
          <w:sz w:val="20"/>
        </w:rPr>
        <w:t>Smart Tribune, Satisfaction client : définition, enjeux et outils, Blog Smart Tribune, Smart Tribune, </w:t>
      </w:r>
      <w:hyperlink r:id="rId35">
        <w:r>
          <w:rPr>
            <w:i/>
            <w:color w:val="0462C1"/>
            <w:sz w:val="20"/>
            <w:u w:val="single" w:color="0462C1"/>
          </w:rPr>
          <w:t>https://blog.smart-tribune.com/fr/satisfaction-client</w:t>
        </w:r>
        <w:r>
          <w:rPr>
            <w:i/>
            <w:color w:val="0462C1"/>
            <w:sz w:val="20"/>
          </w:rPr>
          <w:t> </w:t>
        </w:r>
      </w:hyperlink>
      <w:r>
        <w:rPr>
          <w:i/>
          <w:sz w:val="20"/>
        </w:rPr>
        <w:t>,[ consulté le 28 mars 2025 à 13h07]</w:t>
      </w:r>
    </w:p>
    <w:p>
      <w:pPr>
        <w:spacing w:before="0"/>
        <w:ind w:left="699" w:right="1757" w:firstLine="0"/>
        <w:jc w:val="left"/>
        <w:rPr>
          <w:i/>
          <w:sz w:val="20"/>
        </w:rPr>
      </w:pPr>
      <w:r>
        <w:rPr>
          <w:i/>
          <w:sz w:val="20"/>
        </w:rPr>
        <w:t>Guest Suite, Satisfaction client : comment la mesurer efficacement ? Blog Guest Suite, Guest Suite, </w:t>
      </w:r>
      <w:hyperlink r:id="rId36">
        <w:r>
          <w:rPr>
            <w:i/>
            <w:color w:val="0462C1"/>
            <w:sz w:val="20"/>
            <w:u w:val="single" w:color="0462C1"/>
          </w:rPr>
          <w:t>https://www.guest-suite.com/blog/satisfaction-client</w:t>
        </w:r>
        <w:r>
          <w:rPr>
            <w:i/>
            <w:color w:val="0462C1"/>
            <w:sz w:val="20"/>
          </w:rPr>
          <w:t> </w:t>
        </w:r>
      </w:hyperlink>
      <w:r>
        <w:rPr>
          <w:i/>
          <w:sz w:val="20"/>
        </w:rPr>
        <w:t>, [consulté le 28 mars à 13h12]</w:t>
      </w:r>
    </w:p>
    <w:p>
      <w:pPr>
        <w:spacing w:after="0"/>
        <w:jc w:val="left"/>
        <w:rPr>
          <w:sz w:val="20"/>
        </w:rPr>
        <w:sectPr>
          <w:pgSz w:w="12240" w:h="15840"/>
          <w:pgMar w:header="723" w:footer="850" w:top="1080" w:bottom="1040" w:left="1000" w:right="820"/>
        </w:sectPr>
      </w:pPr>
    </w:p>
    <w:p>
      <w:pPr>
        <w:pStyle w:val="BodyText"/>
        <w:rPr>
          <w:i/>
          <w:sz w:val="22"/>
        </w:rPr>
      </w:pPr>
    </w:p>
    <w:p>
      <w:pPr>
        <w:pStyle w:val="BodyText"/>
        <w:spacing w:line="362" w:lineRule="auto" w:before="90"/>
        <w:ind w:left="1837" w:right="326"/>
        <w:jc w:val="both"/>
      </w:pPr>
      <w:r>
        <w:rPr/>
        <w:t>commentaire</w:t>
      </w:r>
      <w:r>
        <w:rPr>
          <w:spacing w:val="-4"/>
        </w:rPr>
        <w:t> </w:t>
      </w:r>
      <w:r>
        <w:rPr/>
        <w:t>négatif</w:t>
      </w:r>
      <w:r>
        <w:rPr>
          <w:spacing w:val="-10"/>
        </w:rPr>
        <w:t> </w:t>
      </w:r>
      <w:r>
        <w:rPr/>
        <w:t>vous</w:t>
      </w:r>
      <w:r>
        <w:rPr>
          <w:spacing w:val="-9"/>
        </w:rPr>
        <w:t> </w:t>
      </w:r>
      <w:r>
        <w:rPr/>
        <w:t>pouvez</w:t>
      </w:r>
      <w:r>
        <w:rPr>
          <w:spacing w:val="-9"/>
        </w:rPr>
        <w:t> </w:t>
      </w:r>
      <w:r>
        <w:rPr/>
        <w:t>alors</w:t>
      </w:r>
      <w:r>
        <w:rPr>
          <w:spacing w:val="-9"/>
        </w:rPr>
        <w:t> </w:t>
      </w:r>
      <w:r>
        <w:rPr/>
        <w:t>améliorer</w:t>
      </w:r>
      <w:r>
        <w:rPr>
          <w:spacing w:val="-2"/>
        </w:rPr>
        <w:t> </w:t>
      </w:r>
      <w:r>
        <w:rPr/>
        <w:t>les</w:t>
      </w:r>
      <w:r>
        <w:rPr>
          <w:spacing w:val="-9"/>
        </w:rPr>
        <w:t> </w:t>
      </w:r>
      <w:r>
        <w:rPr/>
        <w:t>avis</w:t>
      </w:r>
      <w:r>
        <w:rPr>
          <w:spacing w:val="-9"/>
        </w:rPr>
        <w:t> </w:t>
      </w:r>
      <w:r>
        <w:rPr/>
        <w:t>sur</w:t>
      </w:r>
      <w:r>
        <w:rPr>
          <w:spacing w:val="-2"/>
        </w:rPr>
        <w:t> </w:t>
      </w:r>
      <w:r>
        <w:rPr/>
        <w:t>votre</w:t>
      </w:r>
      <w:r>
        <w:rPr>
          <w:spacing w:val="-8"/>
        </w:rPr>
        <w:t> </w:t>
      </w:r>
      <w:r>
        <w:rPr/>
        <w:t>entreprise</w:t>
      </w:r>
      <w:r>
        <w:rPr>
          <w:spacing w:val="-4"/>
        </w:rPr>
        <w:t> </w:t>
      </w:r>
      <w:r>
        <w:rPr/>
        <w:t>et</w:t>
      </w:r>
      <w:r>
        <w:rPr>
          <w:spacing w:val="-2"/>
        </w:rPr>
        <w:t> </w:t>
      </w:r>
      <w:r>
        <w:rPr/>
        <w:t>attirer ainsi davantage de clients , </w:t>
      </w:r>
      <w:r>
        <w:rPr>
          <w:spacing w:val="-4"/>
        </w:rPr>
        <w:t>Cela </w:t>
      </w:r>
      <w:r>
        <w:rPr/>
        <w:t>représente un véritable facteur </w:t>
      </w:r>
      <w:r>
        <w:rPr>
          <w:spacing w:val="-4"/>
        </w:rPr>
        <w:t>clé </w:t>
      </w:r>
      <w:r>
        <w:rPr/>
        <w:t>de succès</w:t>
      </w:r>
      <w:r>
        <w:rPr>
          <w:spacing w:val="11"/>
        </w:rPr>
        <w:t> </w:t>
      </w:r>
      <w:r>
        <w:rPr/>
        <w:t>.</w:t>
      </w:r>
    </w:p>
    <w:p>
      <w:pPr>
        <w:pStyle w:val="ListParagraph"/>
        <w:numPr>
          <w:ilvl w:val="1"/>
          <w:numId w:val="8"/>
        </w:numPr>
        <w:tabs>
          <w:tab w:pos="1838" w:val="left" w:leader="none"/>
        </w:tabs>
        <w:spacing w:line="360" w:lineRule="auto" w:before="0" w:after="0"/>
        <w:ind w:left="1837" w:right="317" w:hanging="360"/>
        <w:jc w:val="both"/>
        <w:rPr>
          <w:sz w:val="24"/>
        </w:rPr>
      </w:pPr>
      <w:r>
        <w:rPr>
          <w:b/>
          <w:sz w:val="24"/>
        </w:rPr>
        <w:t>Un avantage concurrentiel : </w:t>
      </w:r>
      <w:r>
        <w:rPr>
          <w:sz w:val="24"/>
        </w:rPr>
        <w:t>La satisfaction client est également un avantage concurrentiel, car elle permet de se différencier des concurrents et de gagner </w:t>
      </w:r>
      <w:r>
        <w:rPr>
          <w:spacing w:val="-3"/>
          <w:sz w:val="24"/>
        </w:rPr>
        <w:t>la </w:t>
      </w:r>
      <w:r>
        <w:rPr>
          <w:sz w:val="24"/>
        </w:rPr>
        <w:t>confiance des</w:t>
      </w:r>
      <w:r>
        <w:rPr>
          <w:spacing w:val="1"/>
          <w:sz w:val="24"/>
        </w:rPr>
        <w:t> </w:t>
      </w:r>
      <w:r>
        <w:rPr>
          <w:sz w:val="24"/>
        </w:rPr>
        <w:t>prospects.</w:t>
      </w:r>
    </w:p>
    <w:p>
      <w:pPr>
        <w:pStyle w:val="ListParagraph"/>
        <w:numPr>
          <w:ilvl w:val="1"/>
          <w:numId w:val="8"/>
        </w:numPr>
        <w:tabs>
          <w:tab w:pos="1838" w:val="left" w:leader="none"/>
        </w:tabs>
        <w:spacing w:line="360" w:lineRule="auto" w:before="0" w:after="0"/>
        <w:ind w:left="1837" w:right="319" w:hanging="360"/>
        <w:jc w:val="both"/>
        <w:rPr>
          <w:sz w:val="24"/>
        </w:rPr>
      </w:pPr>
      <w:r>
        <w:rPr>
          <w:b/>
          <w:sz w:val="24"/>
        </w:rPr>
        <w:t>Un outil de mesure : </w:t>
      </w:r>
      <w:r>
        <w:rPr>
          <w:spacing w:val="-3"/>
          <w:sz w:val="24"/>
        </w:rPr>
        <w:t>la </w:t>
      </w:r>
      <w:r>
        <w:rPr>
          <w:sz w:val="24"/>
        </w:rPr>
        <w:t>satisfaction client offre des informations précieuses sur les aspects de votre entreprise d’une part pour améliorer </w:t>
      </w:r>
      <w:r>
        <w:rPr>
          <w:spacing w:val="-4"/>
          <w:sz w:val="24"/>
        </w:rPr>
        <w:t>les </w:t>
      </w:r>
      <w:r>
        <w:rPr>
          <w:sz w:val="24"/>
        </w:rPr>
        <w:t>produits, </w:t>
      </w:r>
      <w:r>
        <w:rPr>
          <w:spacing w:val="-4"/>
          <w:sz w:val="24"/>
        </w:rPr>
        <w:t>les </w:t>
      </w:r>
      <w:r>
        <w:rPr>
          <w:sz w:val="24"/>
        </w:rPr>
        <w:t>services et l’expérience client dans son ensemble et d’une part pour prévenir </w:t>
      </w:r>
      <w:r>
        <w:rPr>
          <w:spacing w:val="-5"/>
          <w:sz w:val="24"/>
        </w:rPr>
        <w:t>la </w:t>
      </w:r>
      <w:r>
        <w:rPr>
          <w:sz w:val="24"/>
        </w:rPr>
        <w:t>perte de clients, augmenter </w:t>
      </w:r>
      <w:r>
        <w:rPr>
          <w:spacing w:val="-5"/>
          <w:sz w:val="24"/>
        </w:rPr>
        <w:t>la </w:t>
      </w:r>
      <w:r>
        <w:rPr>
          <w:sz w:val="24"/>
        </w:rPr>
        <w:t>fidélité des clients existants, attirer de nouveaux clients </w:t>
      </w:r>
      <w:r>
        <w:rPr>
          <w:spacing w:val="-3"/>
          <w:sz w:val="24"/>
        </w:rPr>
        <w:t>et </w:t>
      </w:r>
      <w:r>
        <w:rPr>
          <w:sz w:val="24"/>
        </w:rPr>
        <w:t>améliorer </w:t>
      </w:r>
      <w:r>
        <w:rPr>
          <w:spacing w:val="-3"/>
          <w:sz w:val="24"/>
        </w:rPr>
        <w:t>la </w:t>
      </w:r>
      <w:r>
        <w:rPr>
          <w:sz w:val="24"/>
        </w:rPr>
        <w:t>réputation de </w:t>
      </w:r>
      <w:r>
        <w:rPr>
          <w:spacing w:val="-5"/>
          <w:sz w:val="24"/>
        </w:rPr>
        <w:t>la</w:t>
      </w:r>
      <w:r>
        <w:rPr>
          <w:spacing w:val="8"/>
          <w:sz w:val="24"/>
        </w:rPr>
        <w:t> </w:t>
      </w:r>
      <w:r>
        <w:rPr>
          <w:sz w:val="24"/>
        </w:rPr>
        <w:t>marque.</w:t>
      </w:r>
    </w:p>
    <w:p>
      <w:pPr>
        <w:pStyle w:val="BodyText"/>
        <w:spacing w:line="360" w:lineRule="auto"/>
        <w:ind w:left="1837" w:right="318" w:hanging="360"/>
        <w:jc w:val="both"/>
      </w:pPr>
      <w:r>
        <w:rPr>
          <w:b/>
        </w:rPr>
        <w:t>2.1 Une notoriété accrue : </w:t>
      </w:r>
      <w:r>
        <w:rPr/>
        <w:t>Des consommateur vont avoir tendance à publier à travers le web (avis, réseaux sociaux …). Ils contribuent à votre notoriété à travers les avis en ligne, représente le premier critère de choix d’une entreprise, elle permet aussi de renforcer sa réputation dans le marché, elle permet aussi d’économiser les frais de communication comme les publicités car elle mise sur les avis de votre clientèle, vous avez moins besoin de publicité.</w:t>
      </w:r>
    </w:p>
    <w:p>
      <w:pPr>
        <w:pStyle w:val="Heading5"/>
        <w:numPr>
          <w:ilvl w:val="0"/>
          <w:numId w:val="8"/>
        </w:numPr>
        <w:tabs>
          <w:tab w:pos="1315" w:val="left" w:leader="none"/>
        </w:tabs>
        <w:spacing w:line="240" w:lineRule="auto" w:before="203" w:after="0"/>
        <w:ind w:left="1314" w:right="0" w:hanging="433"/>
        <w:jc w:val="both"/>
      </w:pPr>
      <w:bookmarkStart w:name="3. Les facteurs de la satisfaction clien" w:id="78"/>
      <w:bookmarkEnd w:id="78"/>
      <w:r>
        <w:rPr>
          <w:b w:val="0"/>
        </w:rPr>
      </w:r>
      <w:bookmarkStart w:name="3. Les facteurs de la satisfaction clien" w:id="79"/>
      <w:bookmarkEnd w:id="79"/>
      <w:r>
        <w:rPr/>
        <w:t>L</w:t>
      </w:r>
      <w:r>
        <w:rPr/>
        <w:t>es facteurs de </w:t>
      </w:r>
      <w:r>
        <w:rPr>
          <w:spacing w:val="-3"/>
        </w:rPr>
        <w:t>la </w:t>
      </w:r>
      <w:r>
        <w:rPr/>
        <w:t>satisfaction client</w:t>
      </w:r>
      <w:r>
        <w:rPr>
          <w:spacing w:val="12"/>
        </w:rPr>
        <w:t> </w:t>
      </w:r>
      <w:r>
        <w:rPr/>
        <w:t>:</w:t>
      </w:r>
    </w:p>
    <w:p>
      <w:pPr>
        <w:pStyle w:val="BodyText"/>
        <w:spacing w:before="137"/>
        <w:ind w:left="1060"/>
        <w:jc w:val="both"/>
      </w:pPr>
      <w:r>
        <w:rPr/>
        <w:t>Plusieurs facteurs influencent la satisfaction du client, voici les principaux points :</w:t>
      </w:r>
    </w:p>
    <w:p>
      <w:pPr>
        <w:pStyle w:val="BodyText"/>
        <w:spacing w:before="8"/>
        <w:rPr>
          <w:sz w:val="25"/>
        </w:rPr>
      </w:pPr>
    </w:p>
    <w:p>
      <w:pPr>
        <w:pStyle w:val="ListParagraph"/>
        <w:numPr>
          <w:ilvl w:val="0"/>
          <w:numId w:val="9"/>
        </w:numPr>
        <w:tabs>
          <w:tab w:pos="1421" w:val="left" w:leader="none"/>
        </w:tabs>
        <w:spacing w:line="355" w:lineRule="auto" w:before="0" w:after="0"/>
        <w:ind w:left="1420" w:right="316" w:hanging="360"/>
        <w:jc w:val="both"/>
        <w:rPr>
          <w:sz w:val="16"/>
        </w:rPr>
      </w:pPr>
      <w:r>
        <w:rPr>
          <w:b/>
          <w:sz w:val="24"/>
        </w:rPr>
        <w:t>La promotion : </w:t>
      </w:r>
      <w:r>
        <w:rPr>
          <w:sz w:val="24"/>
        </w:rPr>
        <w:t>La promotion est l’un des facteurs </w:t>
      </w:r>
      <w:r>
        <w:rPr>
          <w:spacing w:val="-3"/>
          <w:sz w:val="24"/>
        </w:rPr>
        <w:t>les </w:t>
      </w:r>
      <w:r>
        <w:rPr>
          <w:sz w:val="24"/>
        </w:rPr>
        <w:t>plus importants qui a un effet sur </w:t>
      </w:r>
      <w:r>
        <w:rPr>
          <w:spacing w:val="-3"/>
          <w:sz w:val="24"/>
        </w:rPr>
        <w:t>la </w:t>
      </w:r>
      <w:r>
        <w:rPr>
          <w:sz w:val="24"/>
        </w:rPr>
        <w:t>satisfaction client. Selon Kotler La promotion est « un ensemble de techniques destinées à stimuler</w:t>
      </w:r>
      <w:r>
        <w:rPr>
          <w:spacing w:val="-4"/>
          <w:sz w:val="24"/>
        </w:rPr>
        <w:t> </w:t>
      </w:r>
      <w:r>
        <w:rPr>
          <w:spacing w:val="-3"/>
          <w:sz w:val="24"/>
        </w:rPr>
        <w:t>les</w:t>
      </w:r>
      <w:r>
        <w:rPr>
          <w:spacing w:val="-12"/>
          <w:sz w:val="24"/>
        </w:rPr>
        <w:t> </w:t>
      </w:r>
      <w:r>
        <w:rPr>
          <w:sz w:val="24"/>
        </w:rPr>
        <w:t>ventes,</w:t>
      </w:r>
      <w:r>
        <w:rPr>
          <w:spacing w:val="-8"/>
          <w:sz w:val="24"/>
        </w:rPr>
        <w:t> </w:t>
      </w:r>
      <w:r>
        <w:rPr>
          <w:sz w:val="24"/>
        </w:rPr>
        <w:t>souvent</w:t>
      </w:r>
      <w:r>
        <w:rPr>
          <w:spacing w:val="-5"/>
          <w:sz w:val="24"/>
        </w:rPr>
        <w:t> </w:t>
      </w:r>
      <w:r>
        <w:rPr>
          <w:sz w:val="24"/>
        </w:rPr>
        <w:t>à</w:t>
      </w:r>
      <w:r>
        <w:rPr>
          <w:spacing w:val="-11"/>
          <w:sz w:val="24"/>
        </w:rPr>
        <w:t> </w:t>
      </w:r>
      <w:r>
        <w:rPr>
          <w:spacing w:val="-3"/>
          <w:sz w:val="24"/>
        </w:rPr>
        <w:t>court</w:t>
      </w:r>
      <w:r>
        <w:rPr>
          <w:spacing w:val="-9"/>
          <w:sz w:val="24"/>
        </w:rPr>
        <w:t> </w:t>
      </w:r>
      <w:r>
        <w:rPr>
          <w:sz w:val="24"/>
        </w:rPr>
        <w:t>terme,</w:t>
      </w:r>
      <w:r>
        <w:rPr>
          <w:spacing w:val="-8"/>
          <w:sz w:val="24"/>
        </w:rPr>
        <w:t> </w:t>
      </w:r>
      <w:r>
        <w:rPr>
          <w:sz w:val="24"/>
        </w:rPr>
        <w:t>en</w:t>
      </w:r>
      <w:r>
        <w:rPr>
          <w:spacing w:val="-14"/>
          <w:sz w:val="24"/>
        </w:rPr>
        <w:t> </w:t>
      </w:r>
      <w:r>
        <w:rPr>
          <w:sz w:val="24"/>
        </w:rPr>
        <w:t>augmentant </w:t>
      </w:r>
      <w:r>
        <w:rPr>
          <w:spacing w:val="-5"/>
          <w:sz w:val="24"/>
        </w:rPr>
        <w:t>le</w:t>
      </w:r>
      <w:r>
        <w:rPr>
          <w:spacing w:val="-11"/>
          <w:sz w:val="24"/>
        </w:rPr>
        <w:t> </w:t>
      </w:r>
      <w:r>
        <w:rPr>
          <w:sz w:val="24"/>
        </w:rPr>
        <w:t>rythme</w:t>
      </w:r>
      <w:r>
        <w:rPr>
          <w:spacing w:val="-11"/>
          <w:sz w:val="24"/>
        </w:rPr>
        <w:t> </w:t>
      </w:r>
      <w:r>
        <w:rPr>
          <w:sz w:val="24"/>
        </w:rPr>
        <w:t>ou</w:t>
      </w:r>
      <w:r>
        <w:rPr>
          <w:spacing w:val="-10"/>
          <w:sz w:val="24"/>
        </w:rPr>
        <w:t> </w:t>
      </w:r>
      <w:r>
        <w:rPr>
          <w:spacing w:val="-5"/>
          <w:sz w:val="24"/>
        </w:rPr>
        <w:t>le</w:t>
      </w:r>
      <w:r>
        <w:rPr>
          <w:spacing w:val="-11"/>
          <w:sz w:val="24"/>
        </w:rPr>
        <w:t> </w:t>
      </w:r>
      <w:r>
        <w:rPr>
          <w:sz w:val="24"/>
        </w:rPr>
        <w:t>volume</w:t>
      </w:r>
      <w:r>
        <w:rPr>
          <w:spacing w:val="-11"/>
          <w:sz w:val="24"/>
        </w:rPr>
        <w:t> </w:t>
      </w:r>
      <w:r>
        <w:rPr>
          <w:sz w:val="24"/>
        </w:rPr>
        <w:t>des</w:t>
      </w:r>
      <w:r>
        <w:rPr>
          <w:spacing w:val="-9"/>
          <w:sz w:val="24"/>
        </w:rPr>
        <w:t> </w:t>
      </w:r>
      <w:r>
        <w:rPr>
          <w:sz w:val="24"/>
        </w:rPr>
        <w:t>achats des consommateurs ou des distributeurs »</w:t>
      </w:r>
      <w:r>
        <w:rPr>
          <w:spacing w:val="-2"/>
          <w:sz w:val="24"/>
        </w:rPr>
        <w:t> </w:t>
      </w:r>
      <w:r>
        <w:rPr>
          <w:position w:val="9"/>
          <w:sz w:val="16"/>
        </w:rPr>
        <w:t>1</w:t>
      </w:r>
    </w:p>
    <w:p>
      <w:pPr>
        <w:pStyle w:val="ListParagraph"/>
        <w:numPr>
          <w:ilvl w:val="0"/>
          <w:numId w:val="9"/>
        </w:numPr>
        <w:tabs>
          <w:tab w:pos="1421" w:val="left" w:leader="none"/>
        </w:tabs>
        <w:spacing w:line="357" w:lineRule="auto" w:before="8" w:after="0"/>
        <w:ind w:left="1420" w:right="313" w:hanging="360"/>
        <w:jc w:val="both"/>
        <w:rPr>
          <w:sz w:val="16"/>
        </w:rPr>
      </w:pPr>
      <w:r>
        <w:rPr>
          <w:b/>
          <w:sz w:val="24"/>
        </w:rPr>
        <w:t>La qualité des produits et services : </w:t>
      </w:r>
      <w:r>
        <w:rPr>
          <w:sz w:val="24"/>
        </w:rPr>
        <w:t>La qualité des services est un élément très sensible qui porte des conséquences directes sur </w:t>
      </w:r>
      <w:r>
        <w:rPr>
          <w:spacing w:val="-5"/>
          <w:sz w:val="24"/>
        </w:rPr>
        <w:t>la </w:t>
      </w:r>
      <w:r>
        <w:rPr>
          <w:sz w:val="24"/>
        </w:rPr>
        <w:t>satisfaction client, </w:t>
      </w:r>
      <w:r>
        <w:rPr>
          <w:spacing w:val="-3"/>
          <w:sz w:val="24"/>
        </w:rPr>
        <w:t>elle </w:t>
      </w:r>
      <w:r>
        <w:rPr>
          <w:sz w:val="24"/>
        </w:rPr>
        <w:t>peut être définie comme des « conditions dynamiques associées à des produits, à des services, à des ressources humaines,</w:t>
      </w:r>
      <w:r>
        <w:rPr>
          <w:spacing w:val="-3"/>
          <w:sz w:val="24"/>
        </w:rPr>
        <w:t> </w:t>
      </w:r>
      <w:r>
        <w:rPr>
          <w:sz w:val="24"/>
        </w:rPr>
        <w:t>des</w:t>
      </w:r>
      <w:r>
        <w:rPr>
          <w:spacing w:val="-6"/>
          <w:sz w:val="24"/>
        </w:rPr>
        <w:t> </w:t>
      </w:r>
      <w:r>
        <w:rPr>
          <w:sz w:val="24"/>
        </w:rPr>
        <w:t>processus</w:t>
      </w:r>
      <w:r>
        <w:rPr>
          <w:spacing w:val="-7"/>
          <w:sz w:val="24"/>
        </w:rPr>
        <w:t> </w:t>
      </w:r>
      <w:r>
        <w:rPr>
          <w:sz w:val="24"/>
        </w:rPr>
        <w:t>et</w:t>
      </w:r>
      <w:r>
        <w:rPr>
          <w:spacing w:val="1"/>
          <w:sz w:val="24"/>
        </w:rPr>
        <w:t> </w:t>
      </w:r>
      <w:r>
        <w:rPr>
          <w:sz w:val="24"/>
        </w:rPr>
        <w:t>à</w:t>
      </w:r>
      <w:r>
        <w:rPr>
          <w:spacing w:val="-6"/>
          <w:sz w:val="24"/>
        </w:rPr>
        <w:t> </w:t>
      </w:r>
      <w:r>
        <w:rPr>
          <w:sz w:val="24"/>
        </w:rPr>
        <w:t>l’environnement qui</w:t>
      </w:r>
      <w:r>
        <w:rPr>
          <w:spacing w:val="-13"/>
          <w:sz w:val="24"/>
        </w:rPr>
        <w:t> </w:t>
      </w:r>
      <w:r>
        <w:rPr>
          <w:sz w:val="24"/>
        </w:rPr>
        <w:t>répond</w:t>
      </w:r>
      <w:r>
        <w:rPr>
          <w:spacing w:val="2"/>
          <w:sz w:val="24"/>
        </w:rPr>
        <w:t> </w:t>
      </w:r>
      <w:r>
        <w:rPr>
          <w:sz w:val="24"/>
        </w:rPr>
        <w:t>aux</w:t>
      </w:r>
      <w:r>
        <w:rPr>
          <w:spacing w:val="-10"/>
          <w:sz w:val="24"/>
        </w:rPr>
        <w:t> </w:t>
      </w:r>
      <w:r>
        <w:rPr>
          <w:sz w:val="24"/>
        </w:rPr>
        <w:t>attentes</w:t>
      </w:r>
      <w:r>
        <w:rPr>
          <w:spacing w:val="-11"/>
          <w:sz w:val="24"/>
        </w:rPr>
        <w:t> </w:t>
      </w:r>
      <w:r>
        <w:rPr>
          <w:sz w:val="24"/>
        </w:rPr>
        <w:t>ou</w:t>
      </w:r>
      <w:r>
        <w:rPr>
          <w:spacing w:val="-5"/>
          <w:sz w:val="24"/>
        </w:rPr>
        <w:t> </w:t>
      </w:r>
      <w:r>
        <w:rPr>
          <w:sz w:val="24"/>
        </w:rPr>
        <w:t>qui</w:t>
      </w:r>
      <w:r>
        <w:rPr>
          <w:spacing w:val="-8"/>
          <w:sz w:val="24"/>
        </w:rPr>
        <w:t> </w:t>
      </w:r>
      <w:r>
        <w:rPr>
          <w:sz w:val="24"/>
        </w:rPr>
        <w:t>les</w:t>
      </w:r>
      <w:r>
        <w:rPr>
          <w:spacing w:val="-6"/>
          <w:sz w:val="24"/>
        </w:rPr>
        <w:t> </w:t>
      </w:r>
      <w:r>
        <w:rPr>
          <w:sz w:val="24"/>
        </w:rPr>
        <w:t>dépasse</w:t>
      </w:r>
      <w:r>
        <w:rPr>
          <w:spacing w:val="-1"/>
          <w:sz w:val="24"/>
        </w:rPr>
        <w:t> </w:t>
      </w:r>
      <w:r>
        <w:rPr>
          <w:sz w:val="24"/>
        </w:rPr>
        <w:t>». Enfin,</w:t>
      </w:r>
      <w:r>
        <w:rPr>
          <w:spacing w:val="-3"/>
          <w:sz w:val="24"/>
        </w:rPr>
        <w:t> il</w:t>
      </w:r>
      <w:r>
        <w:rPr>
          <w:spacing w:val="-18"/>
          <w:sz w:val="24"/>
        </w:rPr>
        <w:t> </w:t>
      </w:r>
      <w:r>
        <w:rPr>
          <w:sz w:val="24"/>
        </w:rPr>
        <w:t>a</w:t>
      </w:r>
      <w:r>
        <w:rPr>
          <w:spacing w:val="-11"/>
          <w:sz w:val="24"/>
        </w:rPr>
        <w:t> </w:t>
      </w:r>
      <w:r>
        <w:rPr>
          <w:sz w:val="24"/>
        </w:rPr>
        <w:t>été</w:t>
      </w:r>
      <w:r>
        <w:rPr>
          <w:spacing w:val="-10"/>
          <w:sz w:val="24"/>
        </w:rPr>
        <w:t> </w:t>
      </w:r>
      <w:r>
        <w:rPr>
          <w:sz w:val="24"/>
        </w:rPr>
        <w:t>démontré</w:t>
      </w:r>
      <w:r>
        <w:rPr>
          <w:spacing w:val="-8"/>
          <w:sz w:val="24"/>
        </w:rPr>
        <w:t> </w:t>
      </w:r>
      <w:r>
        <w:rPr>
          <w:sz w:val="24"/>
        </w:rPr>
        <w:t>que</w:t>
      </w:r>
      <w:r>
        <w:rPr>
          <w:spacing w:val="-10"/>
          <w:sz w:val="24"/>
        </w:rPr>
        <w:t> </w:t>
      </w:r>
      <w:r>
        <w:rPr>
          <w:sz w:val="24"/>
        </w:rPr>
        <w:t>quand</w:t>
      </w:r>
      <w:r>
        <w:rPr>
          <w:spacing w:val="-10"/>
          <w:sz w:val="24"/>
        </w:rPr>
        <w:t> </w:t>
      </w:r>
      <w:r>
        <w:rPr>
          <w:spacing w:val="-5"/>
          <w:sz w:val="24"/>
        </w:rPr>
        <w:t>la</w:t>
      </w:r>
      <w:r>
        <w:rPr>
          <w:spacing w:val="-10"/>
          <w:sz w:val="24"/>
        </w:rPr>
        <w:t> </w:t>
      </w:r>
      <w:r>
        <w:rPr>
          <w:sz w:val="24"/>
        </w:rPr>
        <w:t>qualité</w:t>
      </w:r>
      <w:r>
        <w:rPr>
          <w:spacing w:val="-11"/>
          <w:sz w:val="24"/>
        </w:rPr>
        <w:t> </w:t>
      </w:r>
      <w:r>
        <w:rPr>
          <w:sz w:val="24"/>
        </w:rPr>
        <w:t>et</w:t>
      </w:r>
      <w:r>
        <w:rPr>
          <w:spacing w:val="-4"/>
          <w:sz w:val="24"/>
        </w:rPr>
        <w:t> les</w:t>
      </w:r>
      <w:r>
        <w:rPr>
          <w:spacing w:val="-12"/>
          <w:sz w:val="24"/>
        </w:rPr>
        <w:t> </w:t>
      </w:r>
      <w:r>
        <w:rPr>
          <w:sz w:val="24"/>
        </w:rPr>
        <w:t>attentes</w:t>
      </w:r>
      <w:r>
        <w:rPr>
          <w:spacing w:val="-8"/>
          <w:sz w:val="24"/>
        </w:rPr>
        <w:t> </w:t>
      </w:r>
      <w:r>
        <w:rPr>
          <w:sz w:val="24"/>
        </w:rPr>
        <w:t>augmentent,</w:t>
      </w:r>
      <w:r>
        <w:rPr>
          <w:spacing w:val="-8"/>
          <w:sz w:val="24"/>
        </w:rPr>
        <w:t> </w:t>
      </w:r>
      <w:r>
        <w:rPr>
          <w:spacing w:val="-5"/>
          <w:sz w:val="24"/>
        </w:rPr>
        <w:t>la</w:t>
      </w:r>
      <w:r>
        <w:rPr>
          <w:spacing w:val="-10"/>
          <w:sz w:val="24"/>
        </w:rPr>
        <w:t> </w:t>
      </w:r>
      <w:r>
        <w:rPr>
          <w:sz w:val="24"/>
        </w:rPr>
        <w:t>satisfaction</w:t>
      </w:r>
      <w:r>
        <w:rPr>
          <w:spacing w:val="-13"/>
          <w:sz w:val="24"/>
        </w:rPr>
        <w:t> </w:t>
      </w:r>
      <w:r>
        <w:rPr>
          <w:sz w:val="24"/>
        </w:rPr>
        <w:t>client </w:t>
      </w:r>
      <w:r>
        <w:rPr>
          <w:spacing w:val="-3"/>
          <w:sz w:val="24"/>
        </w:rPr>
        <w:t>va </w:t>
      </w:r>
      <w:r>
        <w:rPr>
          <w:sz w:val="24"/>
        </w:rPr>
        <w:t>être affecté de façon positive à </w:t>
      </w:r>
      <w:r>
        <w:rPr>
          <w:spacing w:val="-3"/>
          <w:sz w:val="24"/>
        </w:rPr>
        <w:t>long</w:t>
      </w:r>
      <w:r>
        <w:rPr>
          <w:spacing w:val="15"/>
          <w:sz w:val="24"/>
        </w:rPr>
        <w:t> </w:t>
      </w:r>
      <w:r>
        <w:rPr>
          <w:sz w:val="24"/>
        </w:rPr>
        <w:t>terme.</w:t>
      </w:r>
      <w:r>
        <w:rPr>
          <w:position w:val="9"/>
          <w:sz w:val="16"/>
        </w:rPr>
        <w:t>2</w:t>
      </w:r>
    </w:p>
    <w:p>
      <w:pPr>
        <w:pStyle w:val="BodyText"/>
        <w:rPr>
          <w:sz w:val="13"/>
        </w:rPr>
      </w:pPr>
      <w:r>
        <w:rPr/>
        <w:pict>
          <v:shape style="position:absolute;margin-left:84.984001pt;margin-top:9.859936pt;width:144.1pt;height:.1pt;mso-position-horizontal-relative:page;mso-position-vertical-relative:paragraph;z-index:-251637760;mso-wrap-distance-left:0;mso-wrap-distance-right:0" coordorigin="1700,197" coordsize="2882,0" path="m1700,197l4581,197e" filled="false" stroked="true" strokeweight=".72003pt" strokecolor="#000000">
            <v:path arrowok="t"/>
            <v:stroke dashstyle="solid"/>
            <w10:wrap type="topAndBottom"/>
          </v:shape>
        </w:pict>
      </w:r>
    </w:p>
    <w:p>
      <w:pPr>
        <w:spacing w:line="233" w:lineRule="exact" w:before="57"/>
        <w:ind w:left="699" w:right="0" w:firstLine="0"/>
        <w:jc w:val="left"/>
        <w:rPr>
          <w:i/>
          <w:sz w:val="20"/>
          <w:szCs w:val="20"/>
        </w:rPr>
      </w:pPr>
      <w:r>
        <w:rPr>
          <w:i/>
          <w:position w:val="7"/>
          <w:sz w:val="13"/>
          <w:szCs w:val="13"/>
        </w:rPr>
        <w:t>1</w:t>
      </w:r>
      <w:r>
        <w:rPr>
          <w:i/>
          <w:sz w:val="20"/>
          <w:szCs w:val="20"/>
        </w:rPr>
        <w:t>Kotler Philip, Keller Kevin Lane, Marketing Management, 15ᵉ édition, Pearson Education, Paris,</w:t>
      </w:r>
      <w:r>
        <w:rPr>
          <w:i/>
          <w:spacing w:val="-21"/>
          <w:sz w:val="20"/>
          <w:szCs w:val="20"/>
        </w:rPr>
        <w:t> </w:t>
      </w:r>
      <w:r>
        <w:rPr>
          <w:i/>
          <w:sz w:val="20"/>
          <w:szCs w:val="20"/>
        </w:rPr>
        <w:t>2016.</w:t>
      </w:r>
    </w:p>
    <w:p>
      <w:pPr>
        <w:spacing w:line="240" w:lineRule="auto" w:before="0"/>
        <w:ind w:left="699" w:right="238" w:firstLine="0"/>
        <w:jc w:val="left"/>
        <w:rPr>
          <w:i/>
          <w:sz w:val="20"/>
        </w:rPr>
      </w:pPr>
      <w:r>
        <w:rPr>
          <w:i/>
          <w:position w:val="7"/>
          <w:sz w:val="13"/>
        </w:rPr>
        <w:t>2</w:t>
      </w:r>
      <w:r>
        <w:rPr>
          <w:i/>
          <w:sz w:val="20"/>
        </w:rPr>
        <w:t>Goetsch</w:t>
      </w:r>
      <w:r>
        <w:rPr>
          <w:i/>
          <w:spacing w:val="-14"/>
          <w:sz w:val="20"/>
        </w:rPr>
        <w:t> </w:t>
      </w:r>
      <w:r>
        <w:rPr>
          <w:i/>
          <w:sz w:val="20"/>
        </w:rPr>
        <w:t>David</w:t>
      </w:r>
      <w:r>
        <w:rPr>
          <w:i/>
          <w:spacing w:val="-9"/>
          <w:sz w:val="20"/>
        </w:rPr>
        <w:t> </w:t>
      </w:r>
      <w:r>
        <w:rPr>
          <w:i/>
          <w:sz w:val="20"/>
        </w:rPr>
        <w:t>L.,</w:t>
      </w:r>
      <w:r>
        <w:rPr>
          <w:i/>
          <w:spacing w:val="-6"/>
          <w:sz w:val="20"/>
        </w:rPr>
        <w:t> </w:t>
      </w:r>
      <w:r>
        <w:rPr>
          <w:i/>
          <w:sz w:val="20"/>
        </w:rPr>
        <w:t>Davis</w:t>
      </w:r>
      <w:r>
        <w:rPr>
          <w:i/>
          <w:spacing w:val="-11"/>
          <w:sz w:val="20"/>
        </w:rPr>
        <w:t> </w:t>
      </w:r>
      <w:r>
        <w:rPr>
          <w:i/>
          <w:sz w:val="20"/>
        </w:rPr>
        <w:t>Stanley</w:t>
      </w:r>
      <w:r>
        <w:rPr>
          <w:i/>
          <w:spacing w:val="-8"/>
          <w:sz w:val="20"/>
        </w:rPr>
        <w:t> </w:t>
      </w:r>
      <w:r>
        <w:rPr>
          <w:i/>
          <w:spacing w:val="-3"/>
          <w:sz w:val="20"/>
        </w:rPr>
        <w:t>B.,</w:t>
      </w:r>
      <w:r>
        <w:rPr>
          <w:i/>
          <w:spacing w:val="-7"/>
          <w:sz w:val="20"/>
        </w:rPr>
        <w:t> </w:t>
      </w:r>
      <w:r>
        <w:rPr>
          <w:i/>
          <w:sz w:val="20"/>
        </w:rPr>
        <w:t>Quality</w:t>
      </w:r>
      <w:r>
        <w:rPr>
          <w:i/>
          <w:spacing w:val="-7"/>
          <w:sz w:val="20"/>
        </w:rPr>
        <w:t> </w:t>
      </w:r>
      <w:r>
        <w:rPr>
          <w:i/>
          <w:sz w:val="20"/>
        </w:rPr>
        <w:t>Management:</w:t>
      </w:r>
      <w:r>
        <w:rPr>
          <w:i/>
          <w:spacing w:val="-3"/>
          <w:sz w:val="20"/>
        </w:rPr>
        <w:t> </w:t>
      </w:r>
      <w:r>
        <w:rPr>
          <w:i/>
          <w:sz w:val="20"/>
        </w:rPr>
        <w:t>Introduction</w:t>
      </w:r>
      <w:r>
        <w:rPr>
          <w:i/>
          <w:spacing w:val="-14"/>
          <w:sz w:val="20"/>
        </w:rPr>
        <w:t> </w:t>
      </w:r>
      <w:r>
        <w:rPr>
          <w:i/>
          <w:sz w:val="20"/>
        </w:rPr>
        <w:t>to</w:t>
      </w:r>
      <w:r>
        <w:rPr>
          <w:i/>
          <w:spacing w:val="-8"/>
          <w:sz w:val="20"/>
        </w:rPr>
        <w:t> </w:t>
      </w:r>
      <w:r>
        <w:rPr>
          <w:i/>
          <w:sz w:val="20"/>
        </w:rPr>
        <w:t>Total</w:t>
      </w:r>
      <w:r>
        <w:rPr>
          <w:i/>
          <w:spacing w:val="-8"/>
          <w:sz w:val="20"/>
        </w:rPr>
        <w:t> </w:t>
      </w:r>
      <w:r>
        <w:rPr>
          <w:i/>
          <w:sz w:val="20"/>
        </w:rPr>
        <w:t>Quality</w:t>
      </w:r>
      <w:r>
        <w:rPr>
          <w:i/>
          <w:spacing w:val="-13"/>
          <w:sz w:val="20"/>
        </w:rPr>
        <w:t> </w:t>
      </w:r>
      <w:r>
        <w:rPr>
          <w:i/>
          <w:sz w:val="20"/>
        </w:rPr>
        <w:t>Management</w:t>
      </w:r>
      <w:r>
        <w:rPr>
          <w:i/>
          <w:spacing w:val="-12"/>
          <w:sz w:val="20"/>
        </w:rPr>
        <w:t> </w:t>
      </w:r>
      <w:r>
        <w:rPr>
          <w:i/>
          <w:sz w:val="20"/>
        </w:rPr>
        <w:t>for</w:t>
      </w:r>
      <w:r>
        <w:rPr>
          <w:i/>
          <w:spacing w:val="-11"/>
          <w:sz w:val="20"/>
        </w:rPr>
        <w:t> </w:t>
      </w:r>
      <w:r>
        <w:rPr>
          <w:i/>
          <w:sz w:val="20"/>
        </w:rPr>
        <w:t>Production, </w:t>
      </w:r>
      <w:r>
        <w:rPr>
          <w:i/>
          <w:sz w:val="20"/>
        </w:rPr>
        <w:t>Processing, and Services, Prentice Hall, New Jersey,</w:t>
      </w:r>
      <w:r>
        <w:rPr>
          <w:i/>
          <w:spacing w:val="-5"/>
          <w:sz w:val="20"/>
        </w:rPr>
        <w:t> </w:t>
      </w:r>
      <w:r>
        <w:rPr>
          <w:i/>
          <w:sz w:val="20"/>
        </w:rPr>
        <w:t>1994.</w:t>
      </w:r>
    </w:p>
    <w:p>
      <w:pPr>
        <w:spacing w:after="0" w:line="240" w:lineRule="auto"/>
        <w:jc w:val="left"/>
        <w:rPr>
          <w:sz w:val="20"/>
        </w:rPr>
        <w:sectPr>
          <w:pgSz w:w="12240" w:h="15840"/>
          <w:pgMar w:header="723" w:footer="850" w:top="1080" w:bottom="1040" w:left="1000" w:right="820"/>
        </w:sectPr>
      </w:pPr>
    </w:p>
    <w:p>
      <w:pPr>
        <w:pStyle w:val="BodyText"/>
        <w:spacing w:before="9"/>
        <w:rPr>
          <w:i/>
          <w:sz w:val="21"/>
        </w:rPr>
      </w:pPr>
    </w:p>
    <w:p>
      <w:pPr>
        <w:pStyle w:val="ListParagraph"/>
        <w:numPr>
          <w:ilvl w:val="0"/>
          <w:numId w:val="9"/>
        </w:numPr>
        <w:tabs>
          <w:tab w:pos="1421" w:val="left" w:leader="none"/>
        </w:tabs>
        <w:spacing w:line="357" w:lineRule="auto" w:before="92" w:after="0"/>
        <w:ind w:left="1420" w:right="312" w:hanging="360"/>
        <w:jc w:val="both"/>
        <w:rPr>
          <w:sz w:val="16"/>
        </w:rPr>
      </w:pPr>
      <w:r>
        <w:rPr>
          <w:b/>
          <w:sz w:val="24"/>
        </w:rPr>
        <w:t>Le prix : </w:t>
      </w:r>
      <w:r>
        <w:rPr>
          <w:sz w:val="24"/>
        </w:rPr>
        <w:t>Le prix est un autre facteur qui influence </w:t>
      </w:r>
      <w:r>
        <w:rPr>
          <w:spacing w:val="-5"/>
          <w:sz w:val="24"/>
        </w:rPr>
        <w:t>la </w:t>
      </w:r>
      <w:r>
        <w:rPr>
          <w:sz w:val="24"/>
        </w:rPr>
        <w:t>satisfaction client. Un prix est </w:t>
      </w:r>
      <w:r>
        <w:rPr>
          <w:spacing w:val="-3"/>
          <w:sz w:val="24"/>
        </w:rPr>
        <w:t>le </w:t>
      </w:r>
      <w:r>
        <w:rPr>
          <w:sz w:val="24"/>
        </w:rPr>
        <w:t>montant qu’un acheteur donne à un vendeur en échange d’un bien ou d’un service. </w:t>
      </w:r>
      <w:r>
        <w:rPr>
          <w:spacing w:val="3"/>
          <w:sz w:val="24"/>
        </w:rPr>
        <w:t>Il </w:t>
      </w:r>
      <w:r>
        <w:rPr>
          <w:sz w:val="24"/>
        </w:rPr>
        <w:t>peut encore être défini comme </w:t>
      </w:r>
      <w:r>
        <w:rPr>
          <w:spacing w:val="-3"/>
          <w:sz w:val="24"/>
        </w:rPr>
        <w:t>la </w:t>
      </w:r>
      <w:r>
        <w:rPr>
          <w:sz w:val="24"/>
        </w:rPr>
        <w:t>somme d’argent facturée pour un produit ou un service de </w:t>
      </w:r>
      <w:r>
        <w:rPr>
          <w:spacing w:val="-5"/>
          <w:sz w:val="24"/>
        </w:rPr>
        <w:t>la </w:t>
      </w:r>
      <w:r>
        <w:rPr>
          <w:sz w:val="24"/>
        </w:rPr>
        <w:t>valeur totale échangée par </w:t>
      </w:r>
      <w:r>
        <w:rPr>
          <w:spacing w:val="-3"/>
          <w:sz w:val="24"/>
        </w:rPr>
        <w:t>les </w:t>
      </w:r>
      <w:r>
        <w:rPr>
          <w:sz w:val="24"/>
        </w:rPr>
        <w:t>consommateurs en raison des avantages que procure l’utilisation du tel produit ou service.</w:t>
      </w:r>
      <w:r>
        <w:rPr>
          <w:spacing w:val="-1"/>
          <w:sz w:val="24"/>
        </w:rPr>
        <w:t> </w:t>
      </w:r>
      <w:r>
        <w:rPr>
          <w:position w:val="9"/>
          <w:sz w:val="16"/>
        </w:rPr>
        <w:t>1</w:t>
      </w:r>
    </w:p>
    <w:p>
      <w:pPr>
        <w:pStyle w:val="ListParagraph"/>
        <w:numPr>
          <w:ilvl w:val="0"/>
          <w:numId w:val="9"/>
        </w:numPr>
        <w:tabs>
          <w:tab w:pos="1421" w:val="left" w:leader="none"/>
        </w:tabs>
        <w:spacing w:line="357" w:lineRule="auto" w:before="3" w:after="0"/>
        <w:ind w:left="1420" w:right="316" w:hanging="360"/>
        <w:jc w:val="both"/>
        <w:rPr>
          <w:sz w:val="16"/>
        </w:rPr>
      </w:pPr>
      <w:r>
        <w:rPr>
          <w:b/>
          <w:sz w:val="24"/>
        </w:rPr>
        <w:t>L’innovation : </w:t>
      </w:r>
      <w:r>
        <w:rPr>
          <w:sz w:val="24"/>
        </w:rPr>
        <w:t>L’OCDE </w:t>
      </w:r>
      <w:r>
        <w:rPr>
          <w:spacing w:val="-3"/>
          <w:sz w:val="24"/>
        </w:rPr>
        <w:t>définit </w:t>
      </w:r>
      <w:r>
        <w:rPr>
          <w:sz w:val="24"/>
        </w:rPr>
        <w:t>l’innovation comme “la mise en œuvre d’un produit (bien ou service) ou d’un procédé nouveau ou sensiblement amélioré, d’une nouvelle méthode de commercialisation ou d’une nouvelle méthode organisationnelle dans les pratiques de l’entreprise, l’organisation du lieu de travail ou </w:t>
      </w:r>
      <w:r>
        <w:rPr>
          <w:spacing w:val="-3"/>
          <w:sz w:val="24"/>
        </w:rPr>
        <w:t>les </w:t>
      </w:r>
      <w:r>
        <w:rPr>
          <w:sz w:val="24"/>
        </w:rPr>
        <w:t>relations extérieures” (OCDE, 2005). Commercialisation ou d’une nouvelle méthode organisationnelle dans </w:t>
      </w:r>
      <w:r>
        <w:rPr>
          <w:spacing w:val="-3"/>
          <w:sz w:val="24"/>
        </w:rPr>
        <w:t>les </w:t>
      </w:r>
      <w:r>
        <w:rPr>
          <w:sz w:val="24"/>
        </w:rPr>
        <w:t>pratiques de l’entreprise, l’organisation du </w:t>
      </w:r>
      <w:r>
        <w:rPr>
          <w:spacing w:val="-3"/>
          <w:sz w:val="24"/>
        </w:rPr>
        <w:t>lieu </w:t>
      </w:r>
      <w:r>
        <w:rPr>
          <w:sz w:val="24"/>
        </w:rPr>
        <w:t>de travail ou </w:t>
      </w:r>
      <w:r>
        <w:rPr>
          <w:spacing w:val="-3"/>
          <w:sz w:val="24"/>
        </w:rPr>
        <w:t>les </w:t>
      </w:r>
      <w:r>
        <w:rPr>
          <w:sz w:val="24"/>
        </w:rPr>
        <w:t>relations extérieures” (OCDE,</w:t>
      </w:r>
      <w:r>
        <w:rPr>
          <w:spacing w:val="-4"/>
          <w:sz w:val="24"/>
        </w:rPr>
        <w:t> </w:t>
      </w:r>
      <w:r>
        <w:rPr>
          <w:sz w:val="24"/>
        </w:rPr>
        <w:t>2005).</w:t>
      </w:r>
      <w:r>
        <w:rPr>
          <w:position w:val="9"/>
          <w:sz w:val="16"/>
        </w:rPr>
        <w:t>2</w:t>
      </w:r>
    </w:p>
    <w:p>
      <w:pPr>
        <w:pStyle w:val="ListParagraph"/>
        <w:numPr>
          <w:ilvl w:val="0"/>
          <w:numId w:val="9"/>
        </w:numPr>
        <w:tabs>
          <w:tab w:pos="1421" w:val="left" w:leader="none"/>
        </w:tabs>
        <w:spacing w:line="345" w:lineRule="auto" w:before="0" w:after="0"/>
        <w:ind w:left="1420" w:right="321" w:hanging="360"/>
        <w:jc w:val="both"/>
        <w:rPr>
          <w:sz w:val="16"/>
        </w:rPr>
      </w:pPr>
      <w:r>
        <w:rPr>
          <w:b/>
          <w:sz w:val="24"/>
        </w:rPr>
        <w:t>La valeur perçue : </w:t>
      </w:r>
      <w:r>
        <w:rPr>
          <w:sz w:val="24"/>
        </w:rPr>
        <w:t>« La valeur perçue par </w:t>
      </w:r>
      <w:r>
        <w:rPr>
          <w:spacing w:val="-5"/>
          <w:sz w:val="24"/>
        </w:rPr>
        <w:t>le </w:t>
      </w:r>
      <w:r>
        <w:rPr>
          <w:sz w:val="24"/>
        </w:rPr>
        <w:t>client est </w:t>
      </w:r>
      <w:r>
        <w:rPr>
          <w:spacing w:val="-5"/>
          <w:sz w:val="24"/>
        </w:rPr>
        <w:t>la </w:t>
      </w:r>
      <w:r>
        <w:rPr>
          <w:sz w:val="24"/>
        </w:rPr>
        <w:t>différence entre son évaluation globale des bénéfices et des coûts associés à une offre, et </w:t>
      </w:r>
      <w:r>
        <w:rPr>
          <w:spacing w:val="-3"/>
          <w:sz w:val="24"/>
        </w:rPr>
        <w:t>les </w:t>
      </w:r>
      <w:r>
        <w:rPr>
          <w:sz w:val="24"/>
        </w:rPr>
        <w:t>alternatives perçues</w:t>
      </w:r>
      <w:r>
        <w:rPr>
          <w:spacing w:val="-2"/>
          <w:sz w:val="24"/>
        </w:rPr>
        <w:t> </w:t>
      </w:r>
      <w:r>
        <w:rPr>
          <w:spacing w:val="6"/>
          <w:sz w:val="24"/>
        </w:rPr>
        <w:t>»</w:t>
      </w:r>
      <w:r>
        <w:rPr>
          <w:spacing w:val="6"/>
          <w:position w:val="9"/>
          <w:sz w:val="16"/>
        </w:rPr>
        <w:t>3</w:t>
      </w:r>
    </w:p>
    <w:p>
      <w:pPr>
        <w:pStyle w:val="ListParagraph"/>
        <w:numPr>
          <w:ilvl w:val="0"/>
          <w:numId w:val="9"/>
        </w:numPr>
        <w:tabs>
          <w:tab w:pos="1421" w:val="left" w:leader="none"/>
        </w:tabs>
        <w:spacing w:line="350" w:lineRule="auto" w:before="16" w:after="0"/>
        <w:ind w:left="1420" w:right="315" w:hanging="360"/>
        <w:jc w:val="both"/>
        <w:rPr>
          <w:sz w:val="16"/>
        </w:rPr>
      </w:pPr>
      <w:r>
        <w:rPr>
          <w:sz w:val="24"/>
        </w:rPr>
        <w:t>Pour</w:t>
      </w:r>
      <w:r>
        <w:rPr>
          <w:spacing w:val="-10"/>
          <w:sz w:val="24"/>
        </w:rPr>
        <w:t> </w:t>
      </w:r>
      <w:r>
        <w:rPr>
          <w:sz w:val="24"/>
        </w:rPr>
        <w:t>toute</w:t>
      </w:r>
      <w:r>
        <w:rPr>
          <w:spacing w:val="-12"/>
          <w:sz w:val="24"/>
        </w:rPr>
        <w:t> </w:t>
      </w:r>
      <w:r>
        <w:rPr>
          <w:sz w:val="24"/>
        </w:rPr>
        <w:t>entreprise,</w:t>
      </w:r>
      <w:r>
        <w:rPr>
          <w:spacing w:val="1"/>
          <w:sz w:val="24"/>
        </w:rPr>
        <w:t> </w:t>
      </w:r>
      <w:r>
        <w:rPr>
          <w:spacing w:val="-5"/>
          <w:sz w:val="24"/>
        </w:rPr>
        <w:t>la</w:t>
      </w:r>
      <w:r>
        <w:rPr>
          <w:spacing w:val="-7"/>
          <w:sz w:val="24"/>
        </w:rPr>
        <w:t> </w:t>
      </w:r>
      <w:r>
        <w:rPr>
          <w:sz w:val="24"/>
        </w:rPr>
        <w:t>promotion,</w:t>
      </w:r>
      <w:r>
        <w:rPr>
          <w:spacing w:val="-5"/>
          <w:sz w:val="24"/>
        </w:rPr>
        <w:t> </w:t>
      </w:r>
      <w:r>
        <w:rPr>
          <w:spacing w:val="-3"/>
          <w:sz w:val="24"/>
        </w:rPr>
        <w:t>la</w:t>
      </w:r>
      <w:r>
        <w:rPr>
          <w:spacing w:val="-7"/>
          <w:sz w:val="24"/>
        </w:rPr>
        <w:t> </w:t>
      </w:r>
      <w:r>
        <w:rPr>
          <w:sz w:val="24"/>
        </w:rPr>
        <w:t>perception</w:t>
      </w:r>
      <w:r>
        <w:rPr>
          <w:spacing w:val="-11"/>
          <w:sz w:val="24"/>
        </w:rPr>
        <w:t> </w:t>
      </w:r>
      <w:r>
        <w:rPr>
          <w:sz w:val="24"/>
        </w:rPr>
        <w:t>du prix,</w:t>
      </w:r>
      <w:r>
        <w:rPr>
          <w:spacing w:val="1"/>
          <w:sz w:val="24"/>
        </w:rPr>
        <w:t> </w:t>
      </w:r>
      <w:r>
        <w:rPr>
          <w:spacing w:val="-5"/>
          <w:sz w:val="24"/>
        </w:rPr>
        <w:t>la</w:t>
      </w:r>
      <w:r>
        <w:rPr>
          <w:spacing w:val="-7"/>
          <w:sz w:val="24"/>
        </w:rPr>
        <w:t> </w:t>
      </w:r>
      <w:r>
        <w:rPr>
          <w:sz w:val="24"/>
        </w:rPr>
        <w:t>qualité</w:t>
      </w:r>
      <w:r>
        <w:rPr>
          <w:spacing w:val="-7"/>
          <w:sz w:val="24"/>
        </w:rPr>
        <w:t> </w:t>
      </w:r>
      <w:r>
        <w:rPr>
          <w:sz w:val="24"/>
        </w:rPr>
        <w:t>des</w:t>
      </w:r>
      <w:r>
        <w:rPr>
          <w:spacing w:val="-8"/>
          <w:sz w:val="24"/>
        </w:rPr>
        <w:t> </w:t>
      </w:r>
      <w:r>
        <w:rPr>
          <w:sz w:val="24"/>
        </w:rPr>
        <w:t>produits</w:t>
      </w:r>
      <w:r>
        <w:rPr>
          <w:spacing w:val="-8"/>
          <w:sz w:val="24"/>
        </w:rPr>
        <w:t> </w:t>
      </w:r>
      <w:r>
        <w:rPr>
          <w:sz w:val="24"/>
        </w:rPr>
        <w:t>et</w:t>
      </w:r>
      <w:r>
        <w:rPr>
          <w:spacing w:val="-4"/>
          <w:sz w:val="24"/>
        </w:rPr>
        <w:t> </w:t>
      </w:r>
      <w:r>
        <w:rPr>
          <w:sz w:val="24"/>
        </w:rPr>
        <w:t>services ainsi que l’innovation ont un </w:t>
      </w:r>
      <w:r>
        <w:rPr>
          <w:spacing w:val="-2"/>
          <w:sz w:val="24"/>
        </w:rPr>
        <w:t>impact </w:t>
      </w:r>
      <w:r>
        <w:rPr>
          <w:sz w:val="24"/>
        </w:rPr>
        <w:t>significatif sur </w:t>
      </w:r>
      <w:r>
        <w:rPr>
          <w:spacing w:val="-5"/>
          <w:sz w:val="24"/>
        </w:rPr>
        <w:t>la </w:t>
      </w:r>
      <w:r>
        <w:rPr>
          <w:sz w:val="24"/>
        </w:rPr>
        <w:t>satisfaction</w:t>
      </w:r>
      <w:r>
        <w:rPr>
          <w:spacing w:val="6"/>
          <w:sz w:val="24"/>
        </w:rPr>
        <w:t> </w:t>
      </w:r>
      <w:r>
        <w:rPr>
          <w:sz w:val="24"/>
        </w:rPr>
        <w:t>client.</w:t>
      </w:r>
      <w:r>
        <w:rPr>
          <w:position w:val="9"/>
          <w:sz w:val="16"/>
        </w:rPr>
        <w:t>4</w:t>
      </w:r>
    </w:p>
    <w:p>
      <w:pPr>
        <w:pStyle w:val="Heading5"/>
        <w:numPr>
          <w:ilvl w:val="0"/>
          <w:numId w:val="8"/>
        </w:numPr>
        <w:tabs>
          <w:tab w:pos="1314" w:val="left" w:leader="none"/>
          <w:tab w:pos="1315" w:val="left" w:leader="none"/>
        </w:tabs>
        <w:spacing w:line="240" w:lineRule="auto" w:before="216" w:after="0"/>
        <w:ind w:left="1314" w:right="0" w:hanging="433"/>
        <w:jc w:val="left"/>
      </w:pPr>
      <w:bookmarkStart w:name="4. Les dimensions de la satisfaction cli" w:id="80"/>
      <w:bookmarkEnd w:id="80"/>
      <w:r>
        <w:rPr>
          <w:b w:val="0"/>
        </w:rPr>
      </w:r>
      <w:bookmarkStart w:name="4. Les dimensions de la satisfaction cli" w:id="81"/>
      <w:bookmarkEnd w:id="81"/>
      <w:r>
        <w:rPr/>
        <w:t>L</w:t>
      </w:r>
      <w:r>
        <w:rPr/>
        <w:t>es dimensions de </w:t>
      </w:r>
      <w:r>
        <w:rPr>
          <w:spacing w:val="-3"/>
        </w:rPr>
        <w:t>la </w:t>
      </w:r>
      <w:r>
        <w:rPr/>
        <w:t>satisfaction client</w:t>
      </w:r>
      <w:r>
        <w:rPr>
          <w:spacing w:val="11"/>
        </w:rPr>
        <w:t> </w:t>
      </w:r>
      <w:r>
        <w:rPr/>
        <w:t>:</w:t>
      </w:r>
    </w:p>
    <w:p>
      <w:pPr>
        <w:pStyle w:val="BodyText"/>
        <w:spacing w:before="3"/>
        <w:rPr>
          <w:b/>
          <w:sz w:val="22"/>
        </w:rPr>
      </w:pPr>
    </w:p>
    <w:p>
      <w:pPr>
        <w:pStyle w:val="BodyText"/>
        <w:spacing w:line="350" w:lineRule="auto" w:before="1"/>
        <w:ind w:left="699" w:right="238" w:firstLine="360"/>
        <w:rPr>
          <w:sz w:val="16"/>
        </w:rPr>
      </w:pPr>
      <w:r>
        <w:rPr/>
        <w:t>La satisfaction client repose sur plusieurs dimensions qui permettent de mieux comprendre les attentes et les perceptions des consommateurs qui sont :</w:t>
      </w:r>
      <w:r>
        <w:rPr>
          <w:position w:val="9"/>
          <w:sz w:val="16"/>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2"/>
        </w:rPr>
      </w:pPr>
      <w:r>
        <w:rPr/>
        <w:pict>
          <v:shape style="position:absolute;margin-left:84.984001pt;margin-top:9.380376pt;width:144.1pt;height:.1pt;mso-position-horizontal-relative:page;mso-position-vertical-relative:paragraph;z-index:-251636736;mso-wrap-distance-left:0;mso-wrap-distance-right:0" coordorigin="1700,188" coordsize="2882,0" path="m1700,188l4581,188e" filled="false" stroked="true" strokeweight=".71997pt" strokecolor="#000000">
            <v:path arrowok="t"/>
            <v:stroke dashstyle="solid"/>
            <w10:wrap type="topAndBottom"/>
          </v:shape>
        </w:pict>
      </w:r>
    </w:p>
    <w:p>
      <w:pPr>
        <w:spacing w:before="62"/>
        <w:ind w:left="699" w:right="238" w:firstLine="0"/>
        <w:jc w:val="left"/>
        <w:rPr>
          <w:i/>
          <w:sz w:val="20"/>
        </w:rPr>
      </w:pPr>
      <w:r>
        <w:rPr>
          <w:i/>
          <w:position w:val="7"/>
          <w:sz w:val="13"/>
        </w:rPr>
        <w:t>1</w:t>
      </w:r>
      <w:r>
        <w:rPr>
          <w:i/>
          <w:sz w:val="20"/>
        </w:rPr>
        <w:t>Hapsari Retno, Suhud Ujang, Mukhtar M., « The influence of service quality and price on customer satisfaction and </w:t>
      </w:r>
      <w:r>
        <w:rPr>
          <w:i/>
          <w:sz w:val="20"/>
        </w:rPr>
        <w:t>loyalty in airline industry », Journal of Business and Management Review, vol. 2, n°7, 2021, pp. 435–445.</w:t>
      </w:r>
    </w:p>
    <w:p>
      <w:pPr>
        <w:spacing w:before="34"/>
        <w:ind w:left="699" w:right="238" w:firstLine="0"/>
        <w:jc w:val="left"/>
        <w:rPr>
          <w:i/>
          <w:sz w:val="20"/>
          <w:szCs w:val="20"/>
        </w:rPr>
      </w:pPr>
      <w:r>
        <w:rPr>
          <w:i/>
          <w:position w:val="7"/>
          <w:sz w:val="13"/>
          <w:szCs w:val="13"/>
        </w:rPr>
        <w:t>2</w:t>
      </w:r>
      <w:r>
        <w:rPr>
          <w:i/>
          <w:sz w:val="20"/>
          <w:szCs w:val="20"/>
        </w:rPr>
        <w:t>OCDE, Manuel d’Oslo : Principes directeurs pour le recueil et l’interprétation des données sur l’innovation, 3ᵉ </w:t>
      </w:r>
      <w:r>
        <w:rPr>
          <w:i/>
          <w:sz w:val="20"/>
          <w:szCs w:val="20"/>
        </w:rPr>
        <w:t>édition, Collection OCDE Science, Technologie et Industrie, Éditions OCDE, Paris, 2005.</w:t>
      </w:r>
    </w:p>
    <w:p>
      <w:pPr>
        <w:spacing w:before="35"/>
        <w:ind w:left="699" w:right="0" w:firstLine="0"/>
        <w:jc w:val="left"/>
        <w:rPr>
          <w:i/>
          <w:sz w:val="20"/>
          <w:szCs w:val="20"/>
        </w:rPr>
      </w:pPr>
      <w:r>
        <w:rPr>
          <w:i/>
          <w:position w:val="7"/>
          <w:sz w:val="13"/>
          <w:szCs w:val="13"/>
        </w:rPr>
        <w:t>3</w:t>
      </w:r>
      <w:r>
        <w:rPr>
          <w:i/>
          <w:sz w:val="20"/>
          <w:szCs w:val="20"/>
        </w:rPr>
        <w:t>Kotler Philip, Keller Kevin Lane, Marketing Management, 15ᵉ édition, Pearson Education, Paris, 2016.</w:t>
      </w:r>
    </w:p>
    <w:p>
      <w:pPr>
        <w:spacing w:before="34"/>
        <w:ind w:left="699" w:right="299" w:firstLine="0"/>
        <w:jc w:val="left"/>
        <w:rPr>
          <w:i/>
          <w:sz w:val="20"/>
        </w:rPr>
      </w:pPr>
      <w:r>
        <w:rPr>
          <w:i/>
          <w:position w:val="7"/>
          <w:sz w:val="13"/>
        </w:rPr>
        <w:t>4 </w:t>
      </w:r>
      <w:r>
        <w:rPr>
          <w:i/>
          <w:sz w:val="20"/>
        </w:rPr>
        <w:t>Hapsari Retno, Suhud Ujang, Mukhtar M., « The influence of service quality and price on customer satisfaction and </w:t>
      </w:r>
      <w:r>
        <w:rPr>
          <w:i/>
          <w:sz w:val="20"/>
        </w:rPr>
        <w:t>loyalty in airline industry », Journal of Business and Management Review, vol. 2, n°7, 2021, pp. 435–445.</w:t>
      </w:r>
    </w:p>
    <w:p>
      <w:pPr>
        <w:spacing w:line="280" w:lineRule="auto" w:before="40"/>
        <w:ind w:left="752" w:right="1671" w:hanging="53"/>
        <w:jc w:val="left"/>
        <w:rPr>
          <w:i/>
          <w:sz w:val="20"/>
        </w:rPr>
      </w:pPr>
      <w:r>
        <w:rPr>
          <w:i/>
          <w:position w:val="7"/>
          <w:sz w:val="13"/>
        </w:rPr>
        <w:t>5</w:t>
      </w:r>
      <w:r>
        <w:rPr>
          <w:i/>
          <w:sz w:val="20"/>
        </w:rPr>
        <w:t>Smart Tribune, Satisfaction client : définition, enjeux et outils, Blog Smart Tribune, Smart Tribune, </w:t>
      </w:r>
      <w:hyperlink r:id="rId35">
        <w:r>
          <w:rPr>
            <w:i/>
            <w:color w:val="0462C1"/>
            <w:sz w:val="20"/>
            <w:u w:val="single" w:color="0462C1"/>
          </w:rPr>
          <w:t>https://blog.smart-tribune.com/fr/satisfaction-client</w:t>
        </w:r>
        <w:r>
          <w:rPr>
            <w:i/>
            <w:color w:val="0462C1"/>
            <w:sz w:val="20"/>
          </w:rPr>
          <w:t> </w:t>
        </w:r>
      </w:hyperlink>
      <w:r>
        <w:rPr>
          <w:i/>
          <w:sz w:val="20"/>
        </w:rPr>
        <w:t>, [consulté le 5 mai 2025 à 16h]</w:t>
      </w:r>
    </w:p>
    <w:p>
      <w:pPr>
        <w:spacing w:line="280" w:lineRule="auto" w:before="0"/>
        <w:ind w:left="752" w:right="579" w:hanging="53"/>
        <w:jc w:val="left"/>
        <w:rPr>
          <w:i/>
          <w:sz w:val="20"/>
        </w:rPr>
      </w:pPr>
      <w:r>
        <w:rPr>
          <w:i/>
          <w:sz w:val="20"/>
        </w:rPr>
        <w:t>Qualtrics, Satisfaction client : comment la mesurer ?, Blog Qualtrics, Qualtrics, </w:t>
      </w:r>
      <w:hyperlink r:id="rId37">
        <w:r>
          <w:rPr>
            <w:i/>
            <w:color w:val="0462C1"/>
            <w:sz w:val="20"/>
            <w:u w:val="single" w:color="0462C1"/>
          </w:rPr>
          <w:t>https://www.qualtrics.com/fr/gestion-de-l-experience/client/satisfaction-client</w:t>
        </w:r>
        <w:r>
          <w:rPr>
            <w:i/>
            <w:color w:val="0462C1"/>
            <w:sz w:val="20"/>
          </w:rPr>
          <w:t> </w:t>
        </w:r>
      </w:hyperlink>
      <w:r>
        <w:rPr>
          <w:i/>
          <w:sz w:val="20"/>
        </w:rPr>
        <w:t>, [consulté le 5 mai 2025 à 16h03]</w:t>
      </w:r>
    </w:p>
    <w:p>
      <w:pPr>
        <w:spacing w:after="0" w:line="280" w:lineRule="auto"/>
        <w:jc w:val="left"/>
        <w:rPr>
          <w:sz w:val="20"/>
        </w:rPr>
        <w:sectPr>
          <w:pgSz w:w="12240" w:h="15840"/>
          <w:pgMar w:header="723" w:footer="850" w:top="1080" w:bottom="1040" w:left="1000" w:right="820"/>
        </w:sectPr>
      </w:pPr>
    </w:p>
    <w:p>
      <w:pPr>
        <w:pStyle w:val="BodyText"/>
        <w:spacing w:before="1"/>
        <w:rPr>
          <w:i/>
          <w:sz w:val="23"/>
        </w:rPr>
      </w:pPr>
    </w:p>
    <w:p>
      <w:pPr>
        <w:pStyle w:val="ListParagraph"/>
        <w:numPr>
          <w:ilvl w:val="1"/>
          <w:numId w:val="8"/>
        </w:numPr>
        <w:tabs>
          <w:tab w:pos="1838" w:val="left" w:leader="none"/>
        </w:tabs>
        <w:spacing w:line="240" w:lineRule="auto" w:before="88" w:after="0"/>
        <w:ind w:left="1837" w:right="0" w:hanging="361"/>
        <w:jc w:val="left"/>
        <w:rPr>
          <w:b/>
          <w:sz w:val="27"/>
        </w:rPr>
      </w:pPr>
      <w:bookmarkStart w:name="3.1" w:id="82"/>
      <w:bookmarkEnd w:id="82"/>
      <w:r>
        <w:rPr/>
      </w:r>
      <w:bookmarkStart w:name="4.1 La dimension cognitive :" w:id="83"/>
      <w:bookmarkEnd w:id="83"/>
      <w:r>
        <w:rPr/>
      </w:r>
      <w:bookmarkStart w:name="1.2" w:id="84"/>
      <w:bookmarkEnd w:id="84"/>
      <w:r>
        <w:rPr/>
      </w:r>
      <w:bookmarkStart w:name="2.2" w:id="85"/>
      <w:bookmarkEnd w:id="85"/>
      <w:r>
        <w:rPr/>
      </w:r>
      <w:bookmarkStart w:name="3.2" w:id="86"/>
      <w:bookmarkEnd w:id="86"/>
      <w:r>
        <w:rPr/>
      </w:r>
      <w:bookmarkStart w:name="3.2" w:id="87"/>
      <w:bookmarkEnd w:id="87"/>
      <w:r>
        <w:rPr>
          <w:b/>
          <w:sz w:val="27"/>
        </w:rPr>
        <w:t>L</w:t>
      </w:r>
      <w:r>
        <w:rPr>
          <w:b/>
          <w:sz w:val="27"/>
        </w:rPr>
        <w:t>a dimension cognitive</w:t>
      </w:r>
      <w:r>
        <w:rPr>
          <w:b/>
          <w:spacing w:val="-4"/>
          <w:sz w:val="27"/>
        </w:rPr>
        <w:t> </w:t>
      </w:r>
      <w:r>
        <w:rPr>
          <w:b/>
          <w:sz w:val="27"/>
        </w:rPr>
        <w:t>:</w:t>
      </w:r>
    </w:p>
    <w:p>
      <w:pPr>
        <w:pStyle w:val="BodyText"/>
        <w:spacing w:line="362" w:lineRule="auto" w:before="269"/>
        <w:ind w:left="699" w:right="315" w:firstLine="360"/>
        <w:jc w:val="both"/>
      </w:pPr>
      <w:r>
        <w:rPr/>
        <w:t>La dimension cognitive compte sur </w:t>
      </w:r>
      <w:r>
        <w:rPr>
          <w:spacing w:val="-5"/>
        </w:rPr>
        <w:t>le </w:t>
      </w:r>
      <w:r>
        <w:rPr/>
        <w:t>jugement de </w:t>
      </w:r>
      <w:r>
        <w:rPr>
          <w:spacing w:val="-3"/>
        </w:rPr>
        <w:t>l’offre </w:t>
      </w:r>
      <w:r>
        <w:rPr/>
        <w:t>par </w:t>
      </w:r>
      <w:r>
        <w:rPr>
          <w:spacing w:val="-3"/>
        </w:rPr>
        <w:t>le </w:t>
      </w:r>
      <w:r>
        <w:rPr/>
        <w:t>consommateur ses de </w:t>
      </w:r>
      <w:r>
        <w:rPr>
          <w:spacing w:val="-3"/>
        </w:rPr>
        <w:t>juger la </w:t>
      </w:r>
      <w:r>
        <w:rPr/>
        <w:t>performance</w:t>
      </w:r>
      <w:r>
        <w:rPr>
          <w:spacing w:val="-16"/>
        </w:rPr>
        <w:t> </w:t>
      </w:r>
      <w:r>
        <w:rPr/>
        <w:t>d’un</w:t>
      </w:r>
      <w:r>
        <w:rPr>
          <w:spacing w:val="-20"/>
        </w:rPr>
        <w:t> </w:t>
      </w:r>
      <w:r>
        <w:rPr/>
        <w:t>produit</w:t>
      </w:r>
      <w:r>
        <w:rPr>
          <w:spacing w:val="-15"/>
        </w:rPr>
        <w:t> </w:t>
      </w:r>
      <w:r>
        <w:rPr/>
        <w:t>ou</w:t>
      </w:r>
      <w:r>
        <w:rPr>
          <w:spacing w:val="-19"/>
        </w:rPr>
        <w:t> </w:t>
      </w:r>
      <w:r>
        <w:rPr/>
        <w:t>d’un</w:t>
      </w:r>
      <w:r>
        <w:rPr>
          <w:spacing w:val="-20"/>
        </w:rPr>
        <w:t> </w:t>
      </w:r>
      <w:r>
        <w:rPr/>
        <w:t>service</w:t>
      </w:r>
      <w:r>
        <w:rPr>
          <w:spacing w:val="-15"/>
        </w:rPr>
        <w:t> </w:t>
      </w:r>
      <w:r>
        <w:rPr/>
        <w:t>par</w:t>
      </w:r>
      <w:r>
        <w:rPr>
          <w:spacing w:val="-14"/>
        </w:rPr>
        <w:t> </w:t>
      </w:r>
      <w:r>
        <w:rPr/>
        <w:t>rapport</w:t>
      </w:r>
      <w:r>
        <w:rPr>
          <w:spacing w:val="-15"/>
        </w:rPr>
        <w:t> </w:t>
      </w:r>
      <w:r>
        <w:rPr/>
        <w:t>au</w:t>
      </w:r>
      <w:r>
        <w:rPr>
          <w:spacing w:val="-14"/>
        </w:rPr>
        <w:t> </w:t>
      </w:r>
      <w:r>
        <w:rPr/>
        <w:t>client,</w:t>
      </w:r>
      <w:r>
        <w:rPr>
          <w:spacing w:val="-17"/>
        </w:rPr>
        <w:t> </w:t>
      </w:r>
      <w:r>
        <w:rPr>
          <w:spacing w:val="-3"/>
        </w:rPr>
        <w:t>Elle</w:t>
      </w:r>
      <w:r>
        <w:rPr>
          <w:spacing w:val="-15"/>
        </w:rPr>
        <w:t> </w:t>
      </w:r>
      <w:r>
        <w:rPr/>
        <w:t>peut</w:t>
      </w:r>
      <w:r>
        <w:rPr>
          <w:spacing w:val="-10"/>
        </w:rPr>
        <w:t> </w:t>
      </w:r>
      <w:r>
        <w:rPr/>
        <w:t>s’étudier</w:t>
      </w:r>
      <w:r>
        <w:rPr>
          <w:spacing w:val="-14"/>
        </w:rPr>
        <w:t> </w:t>
      </w:r>
      <w:r>
        <w:rPr/>
        <w:t>de</w:t>
      </w:r>
      <w:r>
        <w:rPr>
          <w:spacing w:val="-16"/>
        </w:rPr>
        <w:t> </w:t>
      </w:r>
      <w:r>
        <w:rPr/>
        <w:t>deux</w:t>
      </w:r>
      <w:r>
        <w:rPr>
          <w:spacing w:val="-13"/>
        </w:rPr>
        <w:t> </w:t>
      </w:r>
      <w:r>
        <w:rPr/>
        <w:t>manières qui sont</w:t>
      </w:r>
      <w:r>
        <w:rPr>
          <w:spacing w:val="1"/>
        </w:rPr>
        <w:t> </w:t>
      </w:r>
      <w:r>
        <w:rPr/>
        <w:t>:</w:t>
      </w:r>
    </w:p>
    <w:p>
      <w:pPr>
        <w:pStyle w:val="BodyText"/>
        <w:spacing w:line="367" w:lineRule="auto" w:before="152"/>
        <w:ind w:left="699" w:right="309" w:firstLine="360"/>
        <w:jc w:val="both"/>
      </w:pPr>
      <w:r>
        <w:rPr/>
        <w:t>En s’éternisant sur chacun critère qui peut influencer l’avis des client (produit </w:t>
      </w:r>
      <w:r>
        <w:rPr>
          <w:spacing w:val="-3"/>
        </w:rPr>
        <w:t>est utile </w:t>
      </w:r>
      <w:r>
        <w:rPr/>
        <w:t>ou non, adapté ou non à </w:t>
      </w:r>
      <w:r>
        <w:rPr>
          <w:spacing w:val="-3"/>
        </w:rPr>
        <w:t>la </w:t>
      </w:r>
      <w:r>
        <w:rPr/>
        <w:t>situation …)</w:t>
      </w:r>
    </w:p>
    <w:p>
      <w:pPr>
        <w:pStyle w:val="BodyText"/>
        <w:spacing w:line="362" w:lineRule="auto" w:before="145"/>
        <w:ind w:left="699" w:right="310" w:firstLine="360"/>
        <w:jc w:val="both"/>
      </w:pPr>
      <w:r>
        <w:rPr/>
        <w:t>En mesurant la satisfaction globale (dépasse ou non les attentes du client) Pour qu’une entreprise puisse analyser le degré de satisfaction lié à chacun des attributs de ses produits ou services, elle remet aux consommateurs un questionnaire de satisfaction afin de collecter des données sur un aspect particulier de son offre :</w:t>
      </w:r>
    </w:p>
    <w:p>
      <w:pPr>
        <w:pStyle w:val="ListParagraph"/>
        <w:numPr>
          <w:ilvl w:val="0"/>
          <w:numId w:val="10"/>
        </w:numPr>
        <w:tabs>
          <w:tab w:pos="1780" w:val="left" w:leader="none"/>
          <w:tab w:pos="1781" w:val="left" w:leader="none"/>
        </w:tabs>
        <w:spacing w:line="240" w:lineRule="auto" w:before="153" w:after="0"/>
        <w:ind w:left="1780" w:right="0" w:hanging="361"/>
        <w:jc w:val="left"/>
        <w:rPr>
          <w:sz w:val="24"/>
        </w:rPr>
      </w:pPr>
      <w:r>
        <w:rPr>
          <w:sz w:val="24"/>
        </w:rPr>
        <w:t>Le produit fonctionne-t-il efficacement</w:t>
      </w:r>
      <w:r>
        <w:rPr>
          <w:spacing w:val="11"/>
          <w:sz w:val="24"/>
        </w:rPr>
        <w:t> </w:t>
      </w:r>
      <w:r>
        <w:rPr>
          <w:sz w:val="24"/>
        </w:rPr>
        <w:t>?</w:t>
      </w:r>
    </w:p>
    <w:p>
      <w:pPr>
        <w:pStyle w:val="ListParagraph"/>
        <w:numPr>
          <w:ilvl w:val="0"/>
          <w:numId w:val="10"/>
        </w:numPr>
        <w:tabs>
          <w:tab w:pos="1780" w:val="left" w:leader="none"/>
          <w:tab w:pos="1781" w:val="left" w:leader="none"/>
        </w:tabs>
        <w:spacing w:line="240" w:lineRule="auto" w:before="137" w:after="0"/>
        <w:ind w:left="1780" w:right="0" w:hanging="361"/>
        <w:jc w:val="left"/>
        <w:rPr>
          <w:sz w:val="24"/>
        </w:rPr>
      </w:pPr>
      <w:r>
        <w:rPr>
          <w:sz w:val="24"/>
        </w:rPr>
        <w:t>Est-il facile à utiliser ou non</w:t>
      </w:r>
      <w:r>
        <w:rPr>
          <w:spacing w:val="3"/>
          <w:sz w:val="24"/>
        </w:rPr>
        <w:t> </w:t>
      </w:r>
      <w:r>
        <w:rPr>
          <w:sz w:val="24"/>
        </w:rPr>
        <w:t>?</w:t>
      </w:r>
    </w:p>
    <w:p>
      <w:pPr>
        <w:pStyle w:val="ListParagraph"/>
        <w:numPr>
          <w:ilvl w:val="0"/>
          <w:numId w:val="10"/>
        </w:numPr>
        <w:tabs>
          <w:tab w:pos="1780" w:val="left" w:leader="none"/>
          <w:tab w:pos="1781" w:val="left" w:leader="none"/>
        </w:tabs>
        <w:spacing w:line="240" w:lineRule="auto" w:before="137" w:after="0"/>
        <w:ind w:left="1780" w:right="0" w:hanging="361"/>
        <w:jc w:val="left"/>
        <w:rPr>
          <w:sz w:val="24"/>
        </w:rPr>
      </w:pPr>
      <w:r>
        <w:rPr>
          <w:sz w:val="24"/>
        </w:rPr>
        <w:t>Les temps d’attente sont-ils adéquats ?</w:t>
      </w:r>
    </w:p>
    <w:p>
      <w:pPr>
        <w:pStyle w:val="ListParagraph"/>
        <w:numPr>
          <w:ilvl w:val="0"/>
          <w:numId w:val="10"/>
        </w:numPr>
        <w:tabs>
          <w:tab w:pos="1780" w:val="left" w:leader="none"/>
          <w:tab w:pos="1781" w:val="left" w:leader="none"/>
        </w:tabs>
        <w:spacing w:line="240" w:lineRule="auto" w:before="137" w:after="0"/>
        <w:ind w:left="1780" w:right="0" w:hanging="361"/>
        <w:jc w:val="left"/>
        <w:rPr>
          <w:sz w:val="24"/>
        </w:rPr>
      </w:pPr>
      <w:r>
        <w:rPr>
          <w:sz w:val="24"/>
        </w:rPr>
        <w:t>Le tarif est-il justifié</w:t>
      </w:r>
      <w:r>
        <w:rPr>
          <w:spacing w:val="-2"/>
          <w:sz w:val="24"/>
        </w:rPr>
        <w:t> </w:t>
      </w:r>
      <w:r>
        <w:rPr>
          <w:sz w:val="24"/>
        </w:rPr>
        <w:t>?</w:t>
      </w:r>
    </w:p>
    <w:p>
      <w:pPr>
        <w:pStyle w:val="BodyText"/>
        <w:spacing w:before="5"/>
        <w:rPr>
          <w:sz w:val="29"/>
        </w:rPr>
      </w:pPr>
    </w:p>
    <w:p>
      <w:pPr>
        <w:pStyle w:val="BodyText"/>
        <w:spacing w:line="362" w:lineRule="auto"/>
        <w:ind w:left="699" w:right="311" w:firstLine="360"/>
        <w:jc w:val="both"/>
      </w:pPr>
      <w:r>
        <w:rPr/>
        <w:t>C’est en interrogeant ses clients sur chaque paramètre qu’une marque va pouvoir déterminer les atouts de son offre tout en repérant les faiblesses qu’il est crucial d'améliorer pour offrir une meilleure expérience aux clients. Le facteur à l’origine d'une insatisfaction pourra alors être facilement discerné.</w:t>
      </w:r>
    </w:p>
    <w:p>
      <w:pPr>
        <w:pStyle w:val="BodyText"/>
        <w:spacing w:before="1"/>
      </w:pPr>
    </w:p>
    <w:p>
      <w:pPr>
        <w:pStyle w:val="Heading5"/>
        <w:numPr>
          <w:ilvl w:val="1"/>
          <w:numId w:val="8"/>
        </w:numPr>
        <w:tabs>
          <w:tab w:pos="1421" w:val="left" w:leader="none"/>
        </w:tabs>
        <w:spacing w:line="240" w:lineRule="auto" w:before="0" w:after="0"/>
        <w:ind w:left="1420" w:right="0" w:hanging="361"/>
        <w:jc w:val="left"/>
      </w:pPr>
      <w:bookmarkStart w:name="4.2 La dimension émotionnelle" w:id="88"/>
      <w:bookmarkEnd w:id="88"/>
      <w:r>
        <w:rPr>
          <w:b w:val="0"/>
        </w:rPr>
      </w:r>
      <w:bookmarkStart w:name="4.2 La dimension émotionnelle" w:id="89"/>
      <w:bookmarkEnd w:id="89"/>
      <w:r>
        <w:rPr/>
        <w:t>L</w:t>
      </w:r>
      <w:r>
        <w:rPr/>
        <w:t>a dimension</w:t>
      </w:r>
      <w:r>
        <w:rPr>
          <w:spacing w:val="4"/>
        </w:rPr>
        <w:t> </w:t>
      </w:r>
      <w:r>
        <w:rPr/>
        <w:t>émotionnelle</w:t>
      </w:r>
    </w:p>
    <w:p>
      <w:pPr>
        <w:pStyle w:val="BodyText"/>
        <w:spacing w:before="7"/>
        <w:rPr>
          <w:b/>
          <w:sz w:val="23"/>
        </w:rPr>
      </w:pPr>
    </w:p>
    <w:p>
      <w:pPr>
        <w:pStyle w:val="BodyText"/>
        <w:spacing w:line="362" w:lineRule="auto"/>
        <w:ind w:left="699" w:right="311" w:firstLine="360"/>
        <w:jc w:val="both"/>
      </w:pPr>
      <w:r>
        <w:rPr/>
        <w:t>La dimension émotionnelle prend en compte les ressentis et les émotions éprouvées par l’acheteur avant, pendant et après son acquisition. La satisfaction émotionnelle est déterminée par la capacité du produit ou du service à satisfaire les attentes d’individu. Cependant, c’est surtout la relation entre le client et la marque qui crée le lien émotionnel.</w:t>
      </w:r>
    </w:p>
    <w:p>
      <w:pPr>
        <w:pStyle w:val="BodyText"/>
        <w:spacing w:line="360" w:lineRule="auto" w:before="153"/>
        <w:ind w:left="699" w:right="310" w:firstLine="360"/>
        <w:jc w:val="both"/>
      </w:pPr>
      <w:r>
        <w:rPr/>
        <w:t>L’interaction entre </w:t>
      </w:r>
      <w:r>
        <w:rPr>
          <w:spacing w:val="-3"/>
        </w:rPr>
        <w:t>le </w:t>
      </w:r>
      <w:r>
        <w:rPr/>
        <w:t>vendeur et l’acheteur </w:t>
      </w:r>
      <w:r>
        <w:rPr>
          <w:spacing w:val="-3"/>
        </w:rPr>
        <w:t>est cruciale </w:t>
      </w:r>
      <w:r>
        <w:rPr/>
        <w:t>lors de l’achat. Les consommateurs cherchent à être bien orientés, écoutés </w:t>
      </w:r>
      <w:r>
        <w:rPr>
          <w:spacing w:val="-3"/>
        </w:rPr>
        <w:t>et </w:t>
      </w:r>
      <w:r>
        <w:rPr/>
        <w:t>compris. C’est pourquoi établir une stratégie marketing centrée sur </w:t>
      </w:r>
      <w:r>
        <w:rPr>
          <w:spacing w:val="-5"/>
        </w:rPr>
        <w:t>le </w:t>
      </w:r>
      <w:r>
        <w:rPr/>
        <w:t>client est </w:t>
      </w:r>
      <w:r>
        <w:rPr>
          <w:spacing w:val="-3"/>
        </w:rPr>
        <w:t>essentiel, </w:t>
      </w:r>
      <w:r>
        <w:rPr/>
        <w:t>plutôt que de se focaliser uniquement sur </w:t>
      </w:r>
      <w:r>
        <w:rPr>
          <w:spacing w:val="-3"/>
        </w:rPr>
        <w:t>le </w:t>
      </w:r>
      <w:r>
        <w:rPr/>
        <w:t>produit. La création de</w:t>
      </w:r>
      <w:r>
        <w:rPr>
          <w:spacing w:val="-9"/>
        </w:rPr>
        <w:t> </w:t>
      </w:r>
      <w:r>
        <w:rPr/>
        <w:t>produits</w:t>
      </w:r>
      <w:r>
        <w:rPr>
          <w:spacing w:val="-9"/>
        </w:rPr>
        <w:t> </w:t>
      </w:r>
      <w:r>
        <w:rPr/>
        <w:t>doit</w:t>
      </w:r>
      <w:r>
        <w:rPr>
          <w:spacing w:val="-2"/>
        </w:rPr>
        <w:t> </w:t>
      </w:r>
      <w:r>
        <w:rPr/>
        <w:t>s’ajuster</w:t>
      </w:r>
      <w:r>
        <w:rPr>
          <w:spacing w:val="-6"/>
        </w:rPr>
        <w:t> </w:t>
      </w:r>
      <w:r>
        <w:rPr/>
        <w:t>aux</w:t>
      </w:r>
      <w:r>
        <w:rPr>
          <w:spacing w:val="-8"/>
        </w:rPr>
        <w:t> </w:t>
      </w:r>
      <w:r>
        <w:rPr/>
        <w:t>besoins,</w:t>
      </w:r>
      <w:r>
        <w:rPr>
          <w:spacing w:val="-5"/>
        </w:rPr>
        <w:t> </w:t>
      </w:r>
      <w:r>
        <w:rPr/>
        <w:t>aux</w:t>
      </w:r>
      <w:r>
        <w:rPr>
          <w:spacing w:val="-12"/>
        </w:rPr>
        <w:t> </w:t>
      </w:r>
      <w:r>
        <w:rPr/>
        <w:t>désirs,</w:t>
      </w:r>
      <w:r>
        <w:rPr>
          <w:spacing w:val="-6"/>
        </w:rPr>
        <w:t> </w:t>
      </w:r>
      <w:r>
        <w:rPr/>
        <w:t>ainsi</w:t>
      </w:r>
      <w:r>
        <w:rPr>
          <w:spacing w:val="-11"/>
        </w:rPr>
        <w:t> </w:t>
      </w:r>
      <w:r>
        <w:rPr/>
        <w:t>qu’aux</w:t>
      </w:r>
      <w:r>
        <w:rPr>
          <w:spacing w:val="-11"/>
        </w:rPr>
        <w:t> </w:t>
      </w:r>
      <w:r>
        <w:rPr/>
        <w:t>avis</w:t>
      </w:r>
      <w:r>
        <w:rPr>
          <w:spacing w:val="-10"/>
        </w:rPr>
        <w:t> </w:t>
      </w:r>
      <w:r>
        <w:rPr/>
        <w:t>et</w:t>
      </w:r>
      <w:r>
        <w:rPr>
          <w:spacing w:val="-2"/>
        </w:rPr>
        <w:t> </w:t>
      </w:r>
      <w:r>
        <w:rPr/>
        <w:t>feedback</w:t>
      </w:r>
      <w:r>
        <w:rPr>
          <w:spacing w:val="-7"/>
        </w:rPr>
        <w:t> </w:t>
      </w:r>
      <w:r>
        <w:rPr/>
        <w:t>des</w:t>
      </w:r>
      <w:r>
        <w:rPr>
          <w:spacing w:val="-10"/>
        </w:rPr>
        <w:t> </w:t>
      </w:r>
      <w:r>
        <w:rPr/>
        <w:t>utilisateurs,</w:t>
      </w:r>
      <w:r>
        <w:rPr>
          <w:spacing w:val="-5"/>
        </w:rPr>
        <w:t> </w:t>
      </w:r>
      <w:r>
        <w:rPr/>
        <w:t>pas l’inverse.</w:t>
      </w:r>
    </w:p>
    <w:p>
      <w:pPr>
        <w:spacing w:after="0" w:line="360" w:lineRule="auto"/>
        <w:jc w:val="both"/>
        <w:sectPr>
          <w:pgSz w:w="12240" w:h="15840"/>
          <w:pgMar w:header="723" w:footer="850" w:top="1080" w:bottom="1040" w:left="1000" w:right="820"/>
        </w:sectPr>
      </w:pPr>
    </w:p>
    <w:p>
      <w:pPr>
        <w:pStyle w:val="BodyText"/>
        <w:rPr>
          <w:sz w:val="22"/>
        </w:rPr>
      </w:pPr>
    </w:p>
    <w:p>
      <w:pPr>
        <w:pStyle w:val="BodyText"/>
        <w:spacing w:line="367" w:lineRule="auto" w:before="90"/>
        <w:ind w:left="699" w:right="238" w:firstLine="485"/>
      </w:pPr>
      <w:r>
        <w:rPr/>
        <w:t>Pour</w:t>
      </w:r>
      <w:r>
        <w:rPr>
          <w:spacing w:val="-10"/>
        </w:rPr>
        <w:t> </w:t>
      </w:r>
      <w:r>
        <w:rPr/>
        <w:t>développer</w:t>
      </w:r>
      <w:r>
        <w:rPr>
          <w:spacing w:val="-9"/>
        </w:rPr>
        <w:t> </w:t>
      </w:r>
      <w:r>
        <w:rPr/>
        <w:t>des</w:t>
      </w:r>
      <w:r>
        <w:rPr>
          <w:spacing w:val="-13"/>
        </w:rPr>
        <w:t> </w:t>
      </w:r>
      <w:r>
        <w:rPr/>
        <w:t>émotions</w:t>
      </w:r>
      <w:r>
        <w:rPr>
          <w:spacing w:val="-13"/>
        </w:rPr>
        <w:t> </w:t>
      </w:r>
      <w:r>
        <w:rPr/>
        <w:t>positives</w:t>
      </w:r>
      <w:r>
        <w:rPr>
          <w:spacing w:val="-13"/>
        </w:rPr>
        <w:t> </w:t>
      </w:r>
      <w:r>
        <w:rPr/>
        <w:t>chez</w:t>
      </w:r>
      <w:r>
        <w:rPr>
          <w:spacing w:val="-7"/>
        </w:rPr>
        <w:t> </w:t>
      </w:r>
      <w:r>
        <w:rPr/>
        <w:t>les</w:t>
      </w:r>
      <w:r>
        <w:rPr>
          <w:spacing w:val="-13"/>
        </w:rPr>
        <w:t> </w:t>
      </w:r>
      <w:r>
        <w:rPr/>
        <w:t>clients</w:t>
      </w:r>
      <w:r>
        <w:rPr>
          <w:spacing w:val="-13"/>
        </w:rPr>
        <w:t> </w:t>
      </w:r>
      <w:r>
        <w:rPr/>
        <w:t>vis-à-vis</w:t>
      </w:r>
      <w:r>
        <w:rPr>
          <w:spacing w:val="-13"/>
        </w:rPr>
        <w:t> </w:t>
      </w:r>
      <w:r>
        <w:rPr/>
        <w:t>d’une</w:t>
      </w:r>
      <w:r>
        <w:rPr>
          <w:spacing w:val="-7"/>
        </w:rPr>
        <w:t> </w:t>
      </w:r>
      <w:r>
        <w:rPr/>
        <w:t>marque,</w:t>
      </w:r>
      <w:r>
        <w:rPr>
          <w:spacing w:val="-9"/>
        </w:rPr>
        <w:t> </w:t>
      </w:r>
      <w:r>
        <w:rPr/>
        <w:t>cette</w:t>
      </w:r>
      <w:r>
        <w:rPr>
          <w:spacing w:val="-12"/>
        </w:rPr>
        <w:t> </w:t>
      </w:r>
      <w:r>
        <w:rPr/>
        <w:t>dernière doit surveiller plusieurs aspects de </w:t>
      </w:r>
      <w:r>
        <w:rPr>
          <w:spacing w:val="-5"/>
        </w:rPr>
        <w:t>la </w:t>
      </w:r>
      <w:r>
        <w:rPr/>
        <w:t>relation client</w:t>
      </w:r>
      <w:r>
        <w:rPr>
          <w:spacing w:val="13"/>
        </w:rPr>
        <w:t> </w:t>
      </w:r>
      <w:r>
        <w:rPr/>
        <w:t>:</w:t>
      </w:r>
    </w:p>
    <w:p>
      <w:pPr>
        <w:pStyle w:val="ListParagraph"/>
        <w:numPr>
          <w:ilvl w:val="0"/>
          <w:numId w:val="11"/>
        </w:numPr>
        <w:tabs>
          <w:tab w:pos="1780" w:val="left" w:leader="none"/>
          <w:tab w:pos="1781" w:val="left" w:leader="none"/>
        </w:tabs>
        <w:spacing w:line="360" w:lineRule="auto" w:before="145" w:after="0"/>
        <w:ind w:left="1780" w:right="317" w:hanging="360"/>
        <w:jc w:val="left"/>
        <w:rPr>
          <w:sz w:val="24"/>
        </w:rPr>
      </w:pPr>
      <w:r>
        <w:rPr>
          <w:sz w:val="24"/>
        </w:rPr>
        <w:t>Son service clientèle : Est-il efficace et de qualité ? Est-il capable de fournir des informations aux personnes qui en ont besoin</w:t>
      </w:r>
      <w:r>
        <w:rPr>
          <w:spacing w:val="-6"/>
          <w:sz w:val="24"/>
        </w:rPr>
        <w:t> </w:t>
      </w:r>
      <w:r>
        <w:rPr>
          <w:sz w:val="24"/>
        </w:rPr>
        <w:t>?</w:t>
      </w:r>
    </w:p>
    <w:p>
      <w:pPr>
        <w:pStyle w:val="ListParagraph"/>
        <w:numPr>
          <w:ilvl w:val="0"/>
          <w:numId w:val="11"/>
        </w:numPr>
        <w:tabs>
          <w:tab w:pos="1780" w:val="left" w:leader="none"/>
          <w:tab w:pos="1781" w:val="left" w:leader="none"/>
        </w:tabs>
        <w:spacing w:line="360" w:lineRule="auto" w:before="2" w:after="0"/>
        <w:ind w:left="1780" w:right="316" w:hanging="360"/>
        <w:jc w:val="left"/>
        <w:rPr>
          <w:sz w:val="24"/>
        </w:rPr>
      </w:pPr>
      <w:r>
        <w:rPr>
          <w:sz w:val="24"/>
        </w:rPr>
        <w:t>Sa</w:t>
      </w:r>
      <w:r>
        <w:rPr>
          <w:spacing w:val="-13"/>
          <w:sz w:val="24"/>
        </w:rPr>
        <w:t> </w:t>
      </w:r>
      <w:r>
        <w:rPr>
          <w:sz w:val="24"/>
        </w:rPr>
        <w:t>force</w:t>
      </w:r>
      <w:r>
        <w:rPr>
          <w:spacing w:val="-13"/>
          <w:sz w:val="24"/>
        </w:rPr>
        <w:t> </w:t>
      </w:r>
      <w:r>
        <w:rPr>
          <w:sz w:val="24"/>
        </w:rPr>
        <w:t>de</w:t>
      </w:r>
      <w:r>
        <w:rPr>
          <w:spacing w:val="-13"/>
          <w:sz w:val="24"/>
        </w:rPr>
        <w:t> </w:t>
      </w:r>
      <w:r>
        <w:rPr>
          <w:sz w:val="24"/>
        </w:rPr>
        <w:t>vente</w:t>
      </w:r>
      <w:r>
        <w:rPr>
          <w:spacing w:val="-13"/>
          <w:sz w:val="24"/>
        </w:rPr>
        <w:t> </w:t>
      </w:r>
      <w:r>
        <w:rPr>
          <w:sz w:val="24"/>
        </w:rPr>
        <w:t>:</w:t>
      </w:r>
      <w:r>
        <w:rPr>
          <w:spacing w:val="-15"/>
          <w:sz w:val="24"/>
        </w:rPr>
        <w:t> </w:t>
      </w:r>
      <w:r>
        <w:rPr>
          <w:sz w:val="24"/>
        </w:rPr>
        <w:t>Offre-t-elle</w:t>
      </w:r>
      <w:r>
        <w:rPr>
          <w:spacing w:val="-13"/>
          <w:sz w:val="24"/>
        </w:rPr>
        <w:t> </w:t>
      </w:r>
      <w:r>
        <w:rPr>
          <w:sz w:val="24"/>
        </w:rPr>
        <w:t>de</w:t>
      </w:r>
      <w:r>
        <w:rPr>
          <w:spacing w:val="-13"/>
          <w:sz w:val="24"/>
        </w:rPr>
        <w:t> </w:t>
      </w:r>
      <w:r>
        <w:rPr>
          <w:sz w:val="24"/>
        </w:rPr>
        <w:t>bons</w:t>
      </w:r>
      <w:r>
        <w:rPr>
          <w:spacing w:val="-13"/>
          <w:sz w:val="24"/>
        </w:rPr>
        <w:t> </w:t>
      </w:r>
      <w:r>
        <w:rPr>
          <w:sz w:val="24"/>
        </w:rPr>
        <w:t>conseils</w:t>
      </w:r>
      <w:r>
        <w:rPr>
          <w:spacing w:val="-9"/>
          <w:sz w:val="24"/>
        </w:rPr>
        <w:t> </w:t>
      </w:r>
      <w:r>
        <w:rPr>
          <w:sz w:val="24"/>
        </w:rPr>
        <w:t>?</w:t>
      </w:r>
      <w:r>
        <w:rPr>
          <w:spacing w:val="-16"/>
          <w:sz w:val="24"/>
        </w:rPr>
        <w:t> </w:t>
      </w:r>
      <w:r>
        <w:rPr>
          <w:sz w:val="24"/>
        </w:rPr>
        <w:t>Est-elle</w:t>
      </w:r>
      <w:r>
        <w:rPr>
          <w:spacing w:val="-13"/>
          <w:sz w:val="24"/>
        </w:rPr>
        <w:t> </w:t>
      </w:r>
      <w:r>
        <w:rPr>
          <w:sz w:val="24"/>
        </w:rPr>
        <w:t>compétente</w:t>
      </w:r>
      <w:r>
        <w:rPr>
          <w:spacing w:val="-13"/>
          <w:sz w:val="24"/>
        </w:rPr>
        <w:t> </w:t>
      </w:r>
      <w:r>
        <w:rPr>
          <w:sz w:val="24"/>
        </w:rPr>
        <w:t>dans</w:t>
      </w:r>
      <w:r>
        <w:rPr>
          <w:spacing w:val="-14"/>
          <w:sz w:val="24"/>
        </w:rPr>
        <w:t> </w:t>
      </w:r>
      <w:r>
        <w:rPr>
          <w:sz w:val="24"/>
        </w:rPr>
        <w:t>son</w:t>
      </w:r>
      <w:r>
        <w:rPr>
          <w:spacing w:val="-13"/>
          <w:sz w:val="24"/>
        </w:rPr>
        <w:t> </w:t>
      </w:r>
      <w:r>
        <w:rPr>
          <w:sz w:val="24"/>
        </w:rPr>
        <w:t>domaine d’expertise</w:t>
      </w:r>
      <w:r>
        <w:rPr>
          <w:spacing w:val="5"/>
          <w:sz w:val="24"/>
        </w:rPr>
        <w:t> </w:t>
      </w:r>
      <w:r>
        <w:rPr>
          <w:sz w:val="24"/>
        </w:rPr>
        <w:t>?</w:t>
      </w:r>
    </w:p>
    <w:p>
      <w:pPr>
        <w:pStyle w:val="ListParagraph"/>
        <w:numPr>
          <w:ilvl w:val="0"/>
          <w:numId w:val="11"/>
        </w:numPr>
        <w:tabs>
          <w:tab w:pos="1780" w:val="left" w:leader="none"/>
          <w:tab w:pos="1781" w:val="left" w:leader="none"/>
        </w:tabs>
        <w:spacing w:line="360" w:lineRule="auto" w:before="0" w:after="0"/>
        <w:ind w:left="1780" w:right="316" w:hanging="360"/>
        <w:jc w:val="left"/>
        <w:rPr>
          <w:sz w:val="24"/>
        </w:rPr>
      </w:pPr>
      <w:r>
        <w:rPr>
          <w:sz w:val="24"/>
        </w:rPr>
        <w:t>Son service après-vente : Résout-il les litiges rapidement ? Les solutions proposées sont-elles bien accueillies</w:t>
      </w:r>
      <w:r>
        <w:rPr>
          <w:spacing w:val="-4"/>
          <w:sz w:val="24"/>
        </w:rPr>
        <w:t> </w:t>
      </w:r>
      <w:r>
        <w:rPr>
          <w:sz w:val="24"/>
        </w:rPr>
        <w:t>?</w:t>
      </w:r>
    </w:p>
    <w:p>
      <w:pPr>
        <w:pStyle w:val="BodyText"/>
        <w:spacing w:line="362" w:lineRule="auto" w:before="198"/>
        <w:ind w:left="699" w:right="309" w:firstLine="360"/>
        <w:jc w:val="both"/>
      </w:pPr>
      <w:r>
        <w:rPr/>
        <w:t>La relation client revêt également une grande importance dans l’expérience d’achat des consommateurs. Une étude menée par PwC, un cabinet d’audit américain, démontre qu’environ 80% des clients estiment que la rapidité, la qualité, l’assistance compétente ainsi que la cordialité d’un service client sont les facteurs les plus significatifs pour vivre une expérience client positive. Toutefois, une expérience favorable est synonyme de satisfaction.</w:t>
      </w:r>
    </w:p>
    <w:p>
      <w:pPr>
        <w:pStyle w:val="BodyText"/>
        <w:spacing w:before="2"/>
      </w:pPr>
    </w:p>
    <w:p>
      <w:pPr>
        <w:pStyle w:val="Heading5"/>
        <w:numPr>
          <w:ilvl w:val="1"/>
          <w:numId w:val="8"/>
        </w:numPr>
        <w:tabs>
          <w:tab w:pos="1421" w:val="left" w:leader="none"/>
        </w:tabs>
        <w:spacing w:line="240" w:lineRule="auto" w:before="1" w:after="0"/>
        <w:ind w:left="1420" w:right="0" w:hanging="361"/>
        <w:jc w:val="left"/>
      </w:pPr>
      <w:bookmarkStart w:name="4.3 La dimension comportementale" w:id="90"/>
      <w:bookmarkEnd w:id="90"/>
      <w:r>
        <w:rPr>
          <w:b w:val="0"/>
        </w:rPr>
      </w:r>
      <w:bookmarkStart w:name="4.3 La dimension comportementale" w:id="91"/>
      <w:bookmarkEnd w:id="91"/>
      <w:r>
        <w:rPr/>
        <w:t>L</w:t>
      </w:r>
      <w:r>
        <w:rPr/>
        <w:t>a dimension</w:t>
      </w:r>
      <w:r>
        <w:rPr>
          <w:spacing w:val="4"/>
        </w:rPr>
        <w:t> </w:t>
      </w:r>
      <w:r>
        <w:rPr/>
        <w:t>comportementale</w:t>
      </w:r>
    </w:p>
    <w:p>
      <w:pPr>
        <w:pStyle w:val="BodyText"/>
        <w:spacing w:before="6"/>
        <w:rPr>
          <w:b/>
          <w:sz w:val="23"/>
        </w:rPr>
      </w:pPr>
    </w:p>
    <w:p>
      <w:pPr>
        <w:pStyle w:val="BodyText"/>
        <w:spacing w:line="360" w:lineRule="auto"/>
        <w:ind w:left="699" w:right="310" w:firstLine="360"/>
        <w:jc w:val="both"/>
      </w:pPr>
      <w:r>
        <w:rPr/>
        <w:t>Cette dimension aborde </w:t>
      </w:r>
      <w:r>
        <w:rPr>
          <w:spacing w:val="-5"/>
        </w:rPr>
        <w:t>le </w:t>
      </w:r>
      <w:r>
        <w:rPr/>
        <w:t>comportement d’achat des consommateurs. Un acheteur content, ayant</w:t>
      </w:r>
      <w:r>
        <w:rPr>
          <w:spacing w:val="-1"/>
        </w:rPr>
        <w:t> </w:t>
      </w:r>
      <w:r>
        <w:rPr/>
        <w:t>vécu</w:t>
      </w:r>
      <w:r>
        <w:rPr>
          <w:spacing w:val="-5"/>
        </w:rPr>
        <w:t> </w:t>
      </w:r>
      <w:r>
        <w:rPr/>
        <w:t>une</w:t>
      </w:r>
      <w:r>
        <w:rPr>
          <w:spacing w:val="-7"/>
        </w:rPr>
        <w:t> </w:t>
      </w:r>
      <w:r>
        <w:rPr/>
        <w:t>expérience</w:t>
      </w:r>
      <w:r>
        <w:rPr>
          <w:spacing w:val="-3"/>
        </w:rPr>
        <w:t> </w:t>
      </w:r>
      <w:r>
        <w:rPr/>
        <w:t>d’achat</w:t>
      </w:r>
      <w:r>
        <w:rPr>
          <w:spacing w:val="-1"/>
        </w:rPr>
        <w:t> </w:t>
      </w:r>
      <w:r>
        <w:rPr/>
        <w:t>positive,</w:t>
      </w:r>
      <w:r>
        <w:rPr>
          <w:spacing w:val="-3"/>
        </w:rPr>
        <w:t> </w:t>
      </w:r>
      <w:r>
        <w:rPr/>
        <w:t>aura</w:t>
      </w:r>
      <w:r>
        <w:rPr>
          <w:spacing w:val="-11"/>
        </w:rPr>
        <w:t> </w:t>
      </w:r>
      <w:r>
        <w:rPr/>
        <w:t>tendance</w:t>
      </w:r>
      <w:r>
        <w:rPr>
          <w:spacing w:val="-6"/>
        </w:rPr>
        <w:t> </w:t>
      </w:r>
      <w:r>
        <w:rPr/>
        <w:t>à</w:t>
      </w:r>
      <w:r>
        <w:rPr>
          <w:spacing w:val="-6"/>
        </w:rPr>
        <w:t> </w:t>
      </w:r>
      <w:r>
        <w:rPr/>
        <w:t>renouveler</w:t>
      </w:r>
      <w:r>
        <w:rPr>
          <w:spacing w:val="-4"/>
        </w:rPr>
        <w:t> </w:t>
      </w:r>
      <w:r>
        <w:rPr/>
        <w:t>son</w:t>
      </w:r>
      <w:r>
        <w:rPr>
          <w:spacing w:val="-4"/>
        </w:rPr>
        <w:t> </w:t>
      </w:r>
      <w:r>
        <w:rPr/>
        <w:t>acquisition.</w:t>
      </w:r>
      <w:r>
        <w:rPr>
          <w:spacing w:val="-3"/>
        </w:rPr>
        <w:t> </w:t>
      </w:r>
      <w:r>
        <w:rPr/>
        <w:t>Toutefois, un</w:t>
      </w:r>
      <w:r>
        <w:rPr>
          <w:spacing w:val="-15"/>
        </w:rPr>
        <w:t> </w:t>
      </w:r>
      <w:r>
        <w:rPr/>
        <w:t>bon</w:t>
      </w:r>
      <w:r>
        <w:rPr>
          <w:spacing w:val="-19"/>
        </w:rPr>
        <w:t> </w:t>
      </w:r>
      <w:r>
        <w:rPr/>
        <w:t>retour</w:t>
      </w:r>
      <w:r>
        <w:rPr>
          <w:spacing w:val="-19"/>
        </w:rPr>
        <w:t> </w:t>
      </w:r>
      <w:r>
        <w:rPr/>
        <w:t>de</w:t>
      </w:r>
      <w:r>
        <w:rPr>
          <w:spacing w:val="-15"/>
        </w:rPr>
        <w:t> </w:t>
      </w:r>
      <w:r>
        <w:rPr>
          <w:spacing w:val="-5"/>
        </w:rPr>
        <w:t>la</w:t>
      </w:r>
      <w:r>
        <w:rPr>
          <w:spacing w:val="-16"/>
        </w:rPr>
        <w:t> </w:t>
      </w:r>
      <w:r>
        <w:rPr/>
        <w:t>part</w:t>
      </w:r>
      <w:r>
        <w:rPr>
          <w:spacing w:val="-10"/>
        </w:rPr>
        <w:t> </w:t>
      </w:r>
      <w:r>
        <w:rPr/>
        <w:t>des</w:t>
      </w:r>
      <w:r>
        <w:rPr>
          <w:spacing w:val="-17"/>
        </w:rPr>
        <w:t> </w:t>
      </w:r>
      <w:r>
        <w:rPr/>
        <w:t>clients</w:t>
      </w:r>
      <w:r>
        <w:rPr>
          <w:spacing w:val="-18"/>
        </w:rPr>
        <w:t> </w:t>
      </w:r>
      <w:r>
        <w:rPr>
          <w:spacing w:val="-3"/>
        </w:rPr>
        <w:t>ne</w:t>
      </w:r>
      <w:r>
        <w:rPr>
          <w:spacing w:val="-15"/>
        </w:rPr>
        <w:t> </w:t>
      </w:r>
      <w:r>
        <w:rPr/>
        <w:t>garantit</w:t>
      </w:r>
      <w:r>
        <w:rPr>
          <w:spacing w:val="-10"/>
        </w:rPr>
        <w:t> </w:t>
      </w:r>
      <w:r>
        <w:rPr/>
        <w:t>pas</w:t>
      </w:r>
      <w:r>
        <w:rPr>
          <w:spacing w:val="-12"/>
        </w:rPr>
        <w:t> </w:t>
      </w:r>
      <w:r>
        <w:rPr/>
        <w:t>nécessairement</w:t>
      </w:r>
      <w:r>
        <w:rPr>
          <w:spacing w:val="-10"/>
        </w:rPr>
        <w:t> </w:t>
      </w:r>
      <w:r>
        <w:rPr/>
        <w:t>un</w:t>
      </w:r>
      <w:r>
        <w:rPr>
          <w:spacing w:val="-19"/>
        </w:rPr>
        <w:t> </w:t>
      </w:r>
      <w:r>
        <w:rPr/>
        <w:t>changement</w:t>
      </w:r>
      <w:r>
        <w:rPr>
          <w:spacing w:val="-10"/>
        </w:rPr>
        <w:t> </w:t>
      </w:r>
      <w:r>
        <w:rPr/>
        <w:t>de</w:t>
      </w:r>
      <w:r>
        <w:rPr>
          <w:spacing w:val="-16"/>
        </w:rPr>
        <w:t> </w:t>
      </w:r>
      <w:r>
        <w:rPr/>
        <w:t>comportement. </w:t>
      </w:r>
      <w:r>
        <w:rPr>
          <w:spacing w:val="3"/>
        </w:rPr>
        <w:t>Il </w:t>
      </w:r>
      <w:r>
        <w:rPr/>
        <w:t>est donc essentiel d’analyser </w:t>
      </w:r>
      <w:r>
        <w:rPr>
          <w:spacing w:val="-3"/>
        </w:rPr>
        <w:t>les </w:t>
      </w:r>
      <w:r>
        <w:rPr/>
        <w:t>diverses composantes du comportement d’achat</w:t>
      </w:r>
      <w:r>
        <w:rPr>
          <w:spacing w:val="6"/>
        </w:rPr>
        <w:t> </w:t>
      </w:r>
      <w:r>
        <w:rPr/>
        <w:t>:</w:t>
      </w:r>
    </w:p>
    <w:p>
      <w:pPr>
        <w:pStyle w:val="ListParagraph"/>
        <w:numPr>
          <w:ilvl w:val="0"/>
          <w:numId w:val="12"/>
        </w:numPr>
        <w:tabs>
          <w:tab w:pos="1421" w:val="left" w:leader="none"/>
        </w:tabs>
        <w:spacing w:line="360" w:lineRule="auto" w:before="159" w:after="0"/>
        <w:ind w:left="1420" w:right="309" w:hanging="360"/>
        <w:jc w:val="both"/>
        <w:rPr>
          <w:sz w:val="24"/>
        </w:rPr>
      </w:pPr>
      <w:r>
        <w:rPr>
          <w:b/>
          <w:sz w:val="24"/>
        </w:rPr>
        <w:t>L’intention</w:t>
      </w:r>
      <w:r>
        <w:rPr>
          <w:b/>
          <w:spacing w:val="-14"/>
          <w:sz w:val="24"/>
        </w:rPr>
        <w:t> </w:t>
      </w:r>
      <w:r>
        <w:rPr>
          <w:b/>
          <w:sz w:val="24"/>
        </w:rPr>
        <w:t>de</w:t>
      </w:r>
      <w:r>
        <w:rPr>
          <w:b/>
          <w:spacing w:val="-15"/>
          <w:sz w:val="24"/>
        </w:rPr>
        <w:t> </w:t>
      </w:r>
      <w:r>
        <w:rPr>
          <w:b/>
          <w:sz w:val="24"/>
        </w:rPr>
        <w:t>rachat</w:t>
      </w:r>
      <w:r>
        <w:rPr>
          <w:b/>
          <w:spacing w:val="-8"/>
          <w:sz w:val="24"/>
        </w:rPr>
        <w:t> </w:t>
      </w:r>
      <w:r>
        <w:rPr>
          <w:b/>
          <w:sz w:val="24"/>
        </w:rPr>
        <w:t>:</w:t>
      </w:r>
      <w:r>
        <w:rPr>
          <w:b/>
          <w:spacing w:val="-13"/>
          <w:sz w:val="24"/>
        </w:rPr>
        <w:t> </w:t>
      </w:r>
      <w:r>
        <w:rPr>
          <w:sz w:val="24"/>
        </w:rPr>
        <w:t>mesurer</w:t>
      </w:r>
      <w:r>
        <w:rPr>
          <w:spacing w:val="-4"/>
          <w:sz w:val="24"/>
        </w:rPr>
        <w:t> </w:t>
      </w:r>
      <w:r>
        <w:rPr>
          <w:spacing w:val="-5"/>
          <w:sz w:val="24"/>
        </w:rPr>
        <w:t>le</w:t>
      </w:r>
      <w:r>
        <w:rPr>
          <w:spacing w:val="-12"/>
          <w:sz w:val="24"/>
        </w:rPr>
        <w:t> </w:t>
      </w:r>
      <w:r>
        <w:rPr>
          <w:sz w:val="24"/>
        </w:rPr>
        <w:t>pourcentage</w:t>
      </w:r>
      <w:r>
        <w:rPr>
          <w:spacing w:val="-11"/>
          <w:sz w:val="24"/>
        </w:rPr>
        <w:t> </w:t>
      </w:r>
      <w:r>
        <w:rPr>
          <w:sz w:val="24"/>
        </w:rPr>
        <w:t>de</w:t>
      </w:r>
      <w:r>
        <w:rPr>
          <w:spacing w:val="-21"/>
          <w:sz w:val="24"/>
        </w:rPr>
        <w:t> </w:t>
      </w:r>
      <w:r>
        <w:rPr>
          <w:sz w:val="24"/>
        </w:rPr>
        <w:t>clients</w:t>
      </w:r>
      <w:r>
        <w:rPr>
          <w:spacing w:val="-12"/>
          <w:sz w:val="24"/>
        </w:rPr>
        <w:t> </w:t>
      </w:r>
      <w:r>
        <w:rPr>
          <w:sz w:val="24"/>
        </w:rPr>
        <w:t>susceptibles</w:t>
      </w:r>
      <w:r>
        <w:rPr>
          <w:spacing w:val="-13"/>
          <w:sz w:val="24"/>
        </w:rPr>
        <w:t> </w:t>
      </w:r>
      <w:r>
        <w:rPr>
          <w:sz w:val="24"/>
        </w:rPr>
        <w:t>de</w:t>
      </w:r>
      <w:r>
        <w:rPr>
          <w:spacing w:val="-11"/>
          <w:sz w:val="24"/>
        </w:rPr>
        <w:t> </w:t>
      </w:r>
      <w:r>
        <w:rPr>
          <w:sz w:val="24"/>
        </w:rPr>
        <w:t>répéter</w:t>
      </w:r>
      <w:r>
        <w:rPr>
          <w:spacing w:val="-14"/>
          <w:sz w:val="24"/>
        </w:rPr>
        <w:t> </w:t>
      </w:r>
      <w:r>
        <w:rPr>
          <w:spacing w:val="-3"/>
          <w:sz w:val="24"/>
        </w:rPr>
        <w:t>leur</w:t>
      </w:r>
      <w:r>
        <w:rPr>
          <w:spacing w:val="-4"/>
          <w:sz w:val="24"/>
        </w:rPr>
        <w:t> </w:t>
      </w:r>
      <w:r>
        <w:rPr>
          <w:sz w:val="24"/>
        </w:rPr>
        <w:t>achat permet à une entreprise de recueillir des données sur son taux de fidélisation. Néanmoins, affirmer qu’on a l’intention de racheter un produit </w:t>
      </w:r>
      <w:r>
        <w:rPr>
          <w:spacing w:val="-3"/>
          <w:sz w:val="24"/>
        </w:rPr>
        <w:t>ne </w:t>
      </w:r>
      <w:r>
        <w:rPr>
          <w:sz w:val="24"/>
        </w:rPr>
        <w:t>se traduit pas automatiquement par un</w:t>
      </w:r>
      <w:r>
        <w:rPr>
          <w:spacing w:val="-11"/>
          <w:sz w:val="24"/>
        </w:rPr>
        <w:t> </w:t>
      </w:r>
      <w:r>
        <w:rPr>
          <w:sz w:val="24"/>
        </w:rPr>
        <w:t>acte</w:t>
      </w:r>
      <w:r>
        <w:rPr>
          <w:spacing w:val="-7"/>
          <w:sz w:val="24"/>
        </w:rPr>
        <w:t> </w:t>
      </w:r>
      <w:r>
        <w:rPr>
          <w:sz w:val="24"/>
        </w:rPr>
        <w:t>d’achat.</w:t>
      </w:r>
      <w:r>
        <w:rPr>
          <w:spacing w:val="-8"/>
          <w:sz w:val="24"/>
        </w:rPr>
        <w:t> </w:t>
      </w:r>
      <w:r>
        <w:rPr>
          <w:sz w:val="24"/>
        </w:rPr>
        <w:t>Cette</w:t>
      </w:r>
      <w:r>
        <w:rPr>
          <w:spacing w:val="-12"/>
          <w:sz w:val="24"/>
        </w:rPr>
        <w:t> </w:t>
      </w:r>
      <w:r>
        <w:rPr>
          <w:sz w:val="24"/>
        </w:rPr>
        <w:t>évaluation</w:t>
      </w:r>
      <w:r>
        <w:rPr>
          <w:spacing w:val="-11"/>
          <w:sz w:val="24"/>
        </w:rPr>
        <w:t> </w:t>
      </w:r>
      <w:r>
        <w:rPr>
          <w:sz w:val="24"/>
        </w:rPr>
        <w:t>doit</w:t>
      </w:r>
      <w:r>
        <w:rPr>
          <w:spacing w:val="-1"/>
          <w:sz w:val="24"/>
        </w:rPr>
        <w:t> </w:t>
      </w:r>
      <w:r>
        <w:rPr>
          <w:sz w:val="24"/>
        </w:rPr>
        <w:t>donc</w:t>
      </w:r>
      <w:r>
        <w:rPr>
          <w:spacing w:val="-7"/>
          <w:sz w:val="24"/>
        </w:rPr>
        <w:t> </w:t>
      </w:r>
      <w:r>
        <w:rPr>
          <w:sz w:val="24"/>
        </w:rPr>
        <w:t>être</w:t>
      </w:r>
      <w:r>
        <w:rPr>
          <w:spacing w:val="-7"/>
          <w:sz w:val="24"/>
        </w:rPr>
        <w:t> </w:t>
      </w:r>
      <w:r>
        <w:rPr>
          <w:sz w:val="24"/>
        </w:rPr>
        <w:t>considérée</w:t>
      </w:r>
      <w:r>
        <w:rPr>
          <w:spacing w:val="-3"/>
          <w:sz w:val="24"/>
        </w:rPr>
        <w:t> </w:t>
      </w:r>
      <w:r>
        <w:rPr>
          <w:sz w:val="24"/>
        </w:rPr>
        <w:t>avec</w:t>
      </w:r>
      <w:r>
        <w:rPr>
          <w:spacing w:val="-7"/>
          <w:sz w:val="24"/>
        </w:rPr>
        <w:t> </w:t>
      </w:r>
      <w:r>
        <w:rPr>
          <w:sz w:val="24"/>
        </w:rPr>
        <w:t>prudence</w:t>
      </w:r>
      <w:r>
        <w:rPr>
          <w:spacing w:val="-7"/>
          <w:sz w:val="24"/>
        </w:rPr>
        <w:t> </w:t>
      </w:r>
      <w:r>
        <w:rPr>
          <w:sz w:val="24"/>
        </w:rPr>
        <w:t>par</w:t>
      </w:r>
      <w:r>
        <w:rPr>
          <w:spacing w:val="-4"/>
          <w:sz w:val="24"/>
        </w:rPr>
        <w:t> les</w:t>
      </w:r>
      <w:r>
        <w:rPr>
          <w:spacing w:val="-8"/>
          <w:sz w:val="24"/>
        </w:rPr>
        <w:t> </w:t>
      </w:r>
      <w:r>
        <w:rPr>
          <w:sz w:val="24"/>
        </w:rPr>
        <w:t>experts</w:t>
      </w:r>
      <w:r>
        <w:rPr>
          <w:spacing w:val="-8"/>
          <w:sz w:val="24"/>
        </w:rPr>
        <w:t> </w:t>
      </w:r>
      <w:r>
        <w:rPr>
          <w:sz w:val="24"/>
        </w:rPr>
        <w:t>en marketing.</w:t>
      </w:r>
    </w:p>
    <w:p>
      <w:pPr>
        <w:pStyle w:val="ListParagraph"/>
        <w:numPr>
          <w:ilvl w:val="0"/>
          <w:numId w:val="12"/>
        </w:numPr>
        <w:tabs>
          <w:tab w:pos="1421" w:val="left" w:leader="none"/>
        </w:tabs>
        <w:spacing w:line="362" w:lineRule="auto" w:before="0" w:after="0"/>
        <w:ind w:left="1420" w:right="312" w:hanging="360"/>
        <w:jc w:val="both"/>
        <w:rPr>
          <w:sz w:val="24"/>
        </w:rPr>
      </w:pPr>
      <w:r>
        <w:rPr>
          <w:b/>
          <w:sz w:val="24"/>
        </w:rPr>
        <w:t>La fréquence d’achat : </w:t>
      </w:r>
      <w:r>
        <w:rPr>
          <w:sz w:val="24"/>
        </w:rPr>
        <w:t>en interrogeant ses clients sur </w:t>
      </w:r>
      <w:r>
        <w:rPr>
          <w:spacing w:val="-5"/>
          <w:sz w:val="24"/>
        </w:rPr>
        <w:t>la </w:t>
      </w:r>
      <w:r>
        <w:rPr>
          <w:sz w:val="24"/>
        </w:rPr>
        <w:t>régularité de leurs acquisitions, une marque évalue </w:t>
      </w:r>
      <w:r>
        <w:rPr>
          <w:spacing w:val="-5"/>
          <w:sz w:val="24"/>
        </w:rPr>
        <w:t>le </w:t>
      </w:r>
      <w:r>
        <w:rPr>
          <w:sz w:val="24"/>
        </w:rPr>
        <w:t>niveau de fidélité de sa clientèle. Cela lui permet de déterminer à quelle fréquence elle doit interagir et solliciter ses clients</w:t>
      </w:r>
      <w:r>
        <w:rPr>
          <w:spacing w:val="22"/>
          <w:sz w:val="24"/>
        </w:rPr>
        <w:t> </w:t>
      </w:r>
      <w:r>
        <w:rPr>
          <w:sz w:val="24"/>
        </w:rPr>
        <w:t>fidèles.</w:t>
      </w:r>
    </w:p>
    <w:p>
      <w:pPr>
        <w:pStyle w:val="BodyText"/>
        <w:spacing w:before="195"/>
        <w:ind w:left="1060"/>
        <w:jc w:val="both"/>
      </w:pPr>
      <w:r>
        <w:rPr/>
        <w:t>Cependant, cette fréquence doit être mise en perspective avec la nature des produits concernés.</w:t>
      </w:r>
    </w:p>
    <w:p>
      <w:pPr>
        <w:spacing w:after="0"/>
        <w:jc w:val="both"/>
        <w:sectPr>
          <w:pgSz w:w="12240" w:h="15840"/>
          <w:pgMar w:header="723" w:footer="850" w:top="1080" w:bottom="1040" w:left="1000" w:right="820"/>
        </w:sectPr>
      </w:pPr>
    </w:p>
    <w:p>
      <w:pPr>
        <w:pStyle w:val="BodyText"/>
        <w:spacing w:before="9"/>
        <w:rPr>
          <w:sz w:val="21"/>
        </w:rPr>
      </w:pPr>
    </w:p>
    <w:p>
      <w:pPr>
        <w:pStyle w:val="ListParagraph"/>
        <w:numPr>
          <w:ilvl w:val="0"/>
          <w:numId w:val="12"/>
        </w:numPr>
        <w:tabs>
          <w:tab w:pos="1421" w:val="left" w:leader="none"/>
        </w:tabs>
        <w:spacing w:line="360" w:lineRule="auto" w:before="92" w:after="0"/>
        <w:ind w:left="1420" w:right="308" w:hanging="360"/>
        <w:jc w:val="both"/>
        <w:rPr>
          <w:sz w:val="24"/>
        </w:rPr>
      </w:pPr>
      <w:bookmarkStart w:name="4.1" w:id="92"/>
      <w:bookmarkEnd w:id="92"/>
      <w:r>
        <w:rPr/>
      </w:r>
      <w:bookmarkStart w:name="4.1" w:id="93"/>
      <w:bookmarkEnd w:id="93"/>
      <w:r>
        <w:rPr>
          <w:b/>
          <w:sz w:val="24"/>
        </w:rPr>
        <w:t>L</w:t>
      </w:r>
      <w:r>
        <w:rPr>
          <w:b/>
          <w:sz w:val="24"/>
        </w:rPr>
        <w:t>e</w:t>
      </w:r>
      <w:r>
        <w:rPr>
          <w:b/>
          <w:spacing w:val="-8"/>
          <w:sz w:val="24"/>
        </w:rPr>
        <w:t> </w:t>
      </w:r>
      <w:r>
        <w:rPr>
          <w:b/>
          <w:sz w:val="24"/>
        </w:rPr>
        <w:t>canal</w:t>
      </w:r>
      <w:r>
        <w:rPr>
          <w:b/>
          <w:spacing w:val="-10"/>
          <w:sz w:val="24"/>
        </w:rPr>
        <w:t> </w:t>
      </w:r>
      <w:r>
        <w:rPr>
          <w:b/>
          <w:sz w:val="24"/>
        </w:rPr>
        <w:t>utilisé</w:t>
      </w:r>
      <w:r>
        <w:rPr>
          <w:b/>
          <w:spacing w:val="-8"/>
          <w:sz w:val="24"/>
        </w:rPr>
        <w:t> </w:t>
      </w:r>
      <w:r>
        <w:rPr>
          <w:b/>
          <w:sz w:val="24"/>
        </w:rPr>
        <w:t>:</w:t>
      </w:r>
      <w:r>
        <w:rPr>
          <w:b/>
          <w:spacing w:val="-4"/>
          <w:sz w:val="24"/>
        </w:rPr>
        <w:t> </w:t>
      </w:r>
      <w:r>
        <w:rPr>
          <w:sz w:val="24"/>
        </w:rPr>
        <w:t>une</w:t>
      </w:r>
      <w:r>
        <w:rPr>
          <w:spacing w:val="-7"/>
          <w:sz w:val="24"/>
        </w:rPr>
        <w:t> </w:t>
      </w:r>
      <w:r>
        <w:rPr>
          <w:sz w:val="24"/>
        </w:rPr>
        <w:t>entreprise</w:t>
      </w:r>
      <w:r>
        <w:rPr>
          <w:spacing w:val="-8"/>
          <w:sz w:val="24"/>
        </w:rPr>
        <w:t> </w:t>
      </w:r>
      <w:r>
        <w:rPr>
          <w:sz w:val="24"/>
        </w:rPr>
        <w:t>doit</w:t>
      </w:r>
      <w:r>
        <w:rPr>
          <w:spacing w:val="1"/>
          <w:sz w:val="24"/>
        </w:rPr>
        <w:t> </w:t>
      </w:r>
      <w:r>
        <w:rPr>
          <w:sz w:val="24"/>
        </w:rPr>
        <w:t>s’intéresser</w:t>
      </w:r>
      <w:r>
        <w:rPr>
          <w:spacing w:val="-5"/>
          <w:sz w:val="24"/>
        </w:rPr>
        <w:t> </w:t>
      </w:r>
      <w:r>
        <w:rPr>
          <w:sz w:val="24"/>
        </w:rPr>
        <w:t>aux</w:t>
      </w:r>
      <w:r>
        <w:rPr>
          <w:spacing w:val="-6"/>
          <w:sz w:val="24"/>
        </w:rPr>
        <w:t> </w:t>
      </w:r>
      <w:r>
        <w:rPr>
          <w:sz w:val="24"/>
        </w:rPr>
        <w:t>moyens</w:t>
      </w:r>
      <w:r>
        <w:rPr>
          <w:spacing w:val="-9"/>
          <w:sz w:val="24"/>
        </w:rPr>
        <w:t> </w:t>
      </w:r>
      <w:r>
        <w:rPr>
          <w:sz w:val="24"/>
        </w:rPr>
        <w:t>que</w:t>
      </w:r>
      <w:r>
        <w:rPr>
          <w:spacing w:val="-3"/>
          <w:sz w:val="24"/>
        </w:rPr>
        <w:t> </w:t>
      </w:r>
      <w:r>
        <w:rPr>
          <w:sz w:val="24"/>
        </w:rPr>
        <w:t>les</w:t>
      </w:r>
      <w:r>
        <w:rPr>
          <w:spacing w:val="-8"/>
          <w:sz w:val="24"/>
        </w:rPr>
        <w:t> </w:t>
      </w:r>
      <w:r>
        <w:rPr>
          <w:sz w:val="24"/>
        </w:rPr>
        <w:t>clients</w:t>
      </w:r>
      <w:r>
        <w:rPr>
          <w:spacing w:val="-9"/>
          <w:sz w:val="24"/>
        </w:rPr>
        <w:t> </w:t>
      </w:r>
      <w:r>
        <w:rPr>
          <w:sz w:val="24"/>
        </w:rPr>
        <w:t>préfèrent</w:t>
      </w:r>
      <w:r>
        <w:rPr>
          <w:spacing w:val="4"/>
          <w:sz w:val="24"/>
        </w:rPr>
        <w:t> </w:t>
      </w:r>
      <w:r>
        <w:rPr>
          <w:sz w:val="24"/>
        </w:rPr>
        <w:t>pour acquérir ses produits et services (site web, visite en magasin, commande à partir d’un catalogue, etc.). </w:t>
      </w:r>
      <w:r>
        <w:rPr>
          <w:spacing w:val="-3"/>
          <w:sz w:val="24"/>
        </w:rPr>
        <w:t>Ainsi, </w:t>
      </w:r>
      <w:r>
        <w:rPr>
          <w:sz w:val="24"/>
        </w:rPr>
        <w:t>elle pourra mesurer l’efficacité de chaque canal de vente grâce aux données collectées et ajuster les ressources allouées à chacun pour optimiser l’expérience client.</w:t>
      </w:r>
    </w:p>
    <w:p>
      <w:pPr>
        <w:pStyle w:val="BodyText"/>
        <w:rPr>
          <w:sz w:val="25"/>
        </w:rPr>
      </w:pPr>
    </w:p>
    <w:p>
      <w:pPr>
        <w:pStyle w:val="Heading5"/>
        <w:numPr>
          <w:ilvl w:val="1"/>
          <w:numId w:val="8"/>
        </w:numPr>
        <w:tabs>
          <w:tab w:pos="1421" w:val="left" w:leader="none"/>
        </w:tabs>
        <w:spacing w:line="240" w:lineRule="auto" w:before="0" w:after="0"/>
        <w:ind w:left="1420" w:right="0" w:hanging="361"/>
        <w:jc w:val="left"/>
      </w:pPr>
      <w:bookmarkStart w:name="4.4 La dimension affective" w:id="94"/>
      <w:bookmarkEnd w:id="94"/>
      <w:r>
        <w:rPr>
          <w:b w:val="0"/>
        </w:rPr>
      </w:r>
      <w:bookmarkStart w:name="4.4 La dimension affective" w:id="95"/>
      <w:bookmarkEnd w:id="95"/>
      <w:r>
        <w:rPr/>
        <w:t>L</w:t>
      </w:r>
      <w:r>
        <w:rPr/>
        <w:t>a dimension</w:t>
      </w:r>
      <w:r>
        <w:rPr>
          <w:spacing w:val="4"/>
        </w:rPr>
        <w:t> </w:t>
      </w:r>
      <w:r>
        <w:rPr/>
        <w:t>affective</w:t>
      </w:r>
    </w:p>
    <w:p>
      <w:pPr>
        <w:pStyle w:val="BodyText"/>
        <w:spacing w:before="1"/>
        <w:rPr>
          <w:b/>
        </w:rPr>
      </w:pPr>
    </w:p>
    <w:p>
      <w:pPr>
        <w:pStyle w:val="BodyText"/>
        <w:spacing w:line="360" w:lineRule="auto"/>
        <w:ind w:left="699" w:right="309" w:firstLine="360"/>
        <w:jc w:val="both"/>
      </w:pPr>
      <w:r>
        <w:rPr/>
        <w:t>La dimension affective de </w:t>
      </w:r>
      <w:r>
        <w:rPr>
          <w:spacing w:val="-3"/>
        </w:rPr>
        <w:t>la </w:t>
      </w:r>
      <w:r>
        <w:rPr/>
        <w:t>satisfaction du client renvoie à l’attachement qu’un utilisateur ressent envers une marque. </w:t>
      </w:r>
      <w:r>
        <w:rPr>
          <w:spacing w:val="-3"/>
        </w:rPr>
        <w:t>Cela </w:t>
      </w:r>
      <w:r>
        <w:rPr/>
        <w:t>se manifeste par </w:t>
      </w:r>
      <w:r>
        <w:rPr>
          <w:spacing w:val="-3"/>
        </w:rPr>
        <w:t>la </w:t>
      </w:r>
      <w:r>
        <w:rPr/>
        <w:t>possibilité de recommander </w:t>
      </w:r>
      <w:r>
        <w:rPr>
          <w:spacing w:val="-3"/>
        </w:rPr>
        <w:t>les </w:t>
      </w:r>
      <w:r>
        <w:rPr/>
        <w:t>produits ou services proposés par cette marque. Effectivement, lorsqu’une personne apprécie un produit et est satisfaite de son expérience d’achat, </w:t>
      </w:r>
      <w:r>
        <w:rPr>
          <w:spacing w:val="-3"/>
        </w:rPr>
        <w:t>elle </w:t>
      </w:r>
      <w:r>
        <w:rPr/>
        <w:t>est encline à </w:t>
      </w:r>
      <w:r>
        <w:rPr>
          <w:spacing w:val="-5"/>
        </w:rPr>
        <w:t>le </w:t>
      </w:r>
      <w:r>
        <w:rPr/>
        <w:t>recommander à son entourage, que ce </w:t>
      </w:r>
      <w:r>
        <w:rPr>
          <w:spacing w:val="-4"/>
        </w:rPr>
        <w:t>soit </w:t>
      </w:r>
      <w:r>
        <w:rPr/>
        <w:t>de manière verbale à ses proches ou en ligne à ses contacts, voire à des inconnus sur </w:t>
      </w:r>
      <w:r>
        <w:rPr>
          <w:spacing w:val="-3"/>
        </w:rPr>
        <w:t>les </w:t>
      </w:r>
      <w:r>
        <w:rPr/>
        <w:t>réseaux sociaux.</w:t>
      </w:r>
    </w:p>
    <w:p>
      <w:pPr>
        <w:pStyle w:val="BodyText"/>
        <w:spacing w:line="362" w:lineRule="auto" w:before="157"/>
        <w:ind w:left="699" w:right="315" w:firstLine="360"/>
        <w:jc w:val="both"/>
      </w:pPr>
      <w:r>
        <w:rPr/>
        <w:t>En effet, de nos jours, avec l’essor rapide des médias sociaux, les consommateurs sont de plus en plus enclins à partager leurs opinions sur les produits achetés et les services utilisés. Les recommandations constituent parmi les méthodes de communication et de promotion les plus puissantes.</w:t>
      </w:r>
    </w:p>
    <w:p>
      <w:pPr>
        <w:pStyle w:val="Heading5"/>
        <w:numPr>
          <w:ilvl w:val="0"/>
          <w:numId w:val="8"/>
        </w:numPr>
        <w:tabs>
          <w:tab w:pos="1315" w:val="left" w:leader="none"/>
        </w:tabs>
        <w:spacing w:line="240" w:lineRule="auto" w:before="157" w:after="0"/>
        <w:ind w:left="1314" w:right="0" w:hanging="433"/>
        <w:jc w:val="both"/>
      </w:pPr>
      <w:bookmarkStart w:name="5. Les mesures de la satisfaction client" w:id="96"/>
      <w:bookmarkEnd w:id="96"/>
      <w:r>
        <w:rPr>
          <w:b w:val="0"/>
        </w:rPr>
      </w:r>
      <w:bookmarkStart w:name="5. Les mesures de la satisfaction client" w:id="97"/>
      <w:bookmarkEnd w:id="97"/>
      <w:r>
        <w:rPr/>
        <w:t>L</w:t>
      </w:r>
      <w:r>
        <w:rPr/>
        <w:t>es mesures de </w:t>
      </w:r>
      <w:r>
        <w:rPr>
          <w:spacing w:val="-3"/>
        </w:rPr>
        <w:t>la </w:t>
      </w:r>
      <w:r>
        <w:rPr/>
        <w:t>satisfaction</w:t>
      </w:r>
      <w:r>
        <w:rPr>
          <w:spacing w:val="8"/>
        </w:rPr>
        <w:t> </w:t>
      </w:r>
      <w:r>
        <w:rPr/>
        <w:t>client</w:t>
      </w:r>
    </w:p>
    <w:p>
      <w:pPr>
        <w:pStyle w:val="BodyText"/>
        <w:spacing w:before="4"/>
        <w:rPr>
          <w:b/>
          <w:sz w:val="22"/>
        </w:rPr>
      </w:pPr>
    </w:p>
    <w:p>
      <w:pPr>
        <w:pStyle w:val="BodyText"/>
        <w:spacing w:line="350" w:lineRule="auto"/>
        <w:ind w:left="699" w:right="316" w:firstLine="360"/>
        <w:jc w:val="both"/>
        <w:rPr>
          <w:sz w:val="16"/>
        </w:rPr>
      </w:pPr>
      <w:r>
        <w:rPr/>
        <w:t>Afin</w:t>
      </w:r>
      <w:r>
        <w:rPr>
          <w:spacing w:val="-16"/>
        </w:rPr>
        <w:t> </w:t>
      </w:r>
      <w:r>
        <w:rPr/>
        <w:t>d’évaluer</w:t>
      </w:r>
      <w:r>
        <w:rPr>
          <w:spacing w:val="-5"/>
        </w:rPr>
        <w:t> la</w:t>
      </w:r>
      <w:r>
        <w:rPr>
          <w:spacing w:val="-12"/>
        </w:rPr>
        <w:t> </w:t>
      </w:r>
      <w:r>
        <w:rPr/>
        <w:t>satisfaction</w:t>
      </w:r>
      <w:r>
        <w:rPr>
          <w:spacing w:val="-16"/>
        </w:rPr>
        <w:t> </w:t>
      </w:r>
      <w:r>
        <w:rPr/>
        <w:t>client</w:t>
      </w:r>
      <w:r>
        <w:rPr>
          <w:spacing w:val="-7"/>
        </w:rPr>
        <w:t> </w:t>
      </w:r>
      <w:r>
        <w:rPr/>
        <w:t>qui</w:t>
      </w:r>
      <w:r>
        <w:rPr>
          <w:spacing w:val="-20"/>
        </w:rPr>
        <w:t> </w:t>
      </w:r>
      <w:r>
        <w:rPr/>
        <w:t>est</w:t>
      </w:r>
      <w:r>
        <w:rPr>
          <w:spacing w:val="-7"/>
        </w:rPr>
        <w:t> </w:t>
      </w:r>
      <w:r>
        <w:rPr/>
        <w:t>un</w:t>
      </w:r>
      <w:r>
        <w:rPr>
          <w:spacing w:val="-11"/>
        </w:rPr>
        <w:t> </w:t>
      </w:r>
      <w:r>
        <w:rPr/>
        <w:t>indicateur</w:t>
      </w:r>
      <w:r>
        <w:rPr>
          <w:spacing w:val="-15"/>
        </w:rPr>
        <w:t> </w:t>
      </w:r>
      <w:r>
        <w:rPr/>
        <w:t>clé</w:t>
      </w:r>
      <w:r>
        <w:rPr>
          <w:spacing w:val="-12"/>
        </w:rPr>
        <w:t> </w:t>
      </w:r>
      <w:r>
        <w:rPr/>
        <w:t>dans</w:t>
      </w:r>
      <w:r>
        <w:rPr>
          <w:spacing w:val="-9"/>
        </w:rPr>
        <w:t> </w:t>
      </w:r>
      <w:r>
        <w:rPr>
          <w:spacing w:val="-5"/>
        </w:rPr>
        <w:t>la</w:t>
      </w:r>
      <w:r>
        <w:rPr>
          <w:spacing w:val="-13"/>
        </w:rPr>
        <w:t> </w:t>
      </w:r>
      <w:r>
        <w:rPr/>
        <w:t>performance</w:t>
      </w:r>
      <w:r>
        <w:rPr>
          <w:spacing w:val="-12"/>
        </w:rPr>
        <w:t> </w:t>
      </w:r>
      <w:r>
        <w:rPr/>
        <w:t>de</w:t>
      </w:r>
      <w:r>
        <w:rPr>
          <w:spacing w:val="-1"/>
        </w:rPr>
        <w:t> </w:t>
      </w:r>
      <w:r>
        <w:rPr/>
        <w:t>l’entreprise plusieurs outils et méthodes de mesure ont été développés, que nous présentons ci-dessous</w:t>
      </w:r>
      <w:r>
        <w:rPr>
          <w:spacing w:val="-6"/>
        </w:rPr>
        <w:t> </w:t>
      </w:r>
      <w:r>
        <w:rPr/>
        <w:t>:</w:t>
      </w:r>
      <w:r>
        <w:rPr>
          <w:position w:val="9"/>
          <w:sz w:val="16"/>
        </w:rPr>
        <w:t>1</w:t>
      </w:r>
    </w:p>
    <w:p>
      <w:pPr>
        <w:pStyle w:val="BodyText"/>
        <w:spacing w:before="10"/>
        <w:rPr>
          <w:sz w:val="25"/>
        </w:rPr>
      </w:pPr>
    </w:p>
    <w:p>
      <w:pPr>
        <w:pStyle w:val="Heading5"/>
        <w:numPr>
          <w:ilvl w:val="1"/>
          <w:numId w:val="8"/>
        </w:numPr>
        <w:tabs>
          <w:tab w:pos="1488" w:val="left" w:leader="none"/>
        </w:tabs>
        <w:spacing w:line="240" w:lineRule="auto" w:before="0" w:after="0"/>
        <w:ind w:left="1487" w:right="0" w:hanging="361"/>
        <w:jc w:val="left"/>
      </w:pPr>
      <w:bookmarkStart w:name="5.1 Le questionnaire de satisfaction cli" w:id="98"/>
      <w:bookmarkEnd w:id="98"/>
      <w:r>
        <w:rPr/>
        <w:t>L</w:t>
      </w:r>
      <w:r>
        <w:rPr/>
        <w:t>e questionnaire de satisfaction</w:t>
      </w:r>
      <w:r>
        <w:rPr>
          <w:spacing w:val="6"/>
        </w:rPr>
        <w:t> </w:t>
      </w:r>
      <w:r>
        <w:rPr/>
        <w:t>client</w:t>
      </w:r>
    </w:p>
    <w:p>
      <w:pPr>
        <w:pStyle w:val="BodyText"/>
        <w:spacing w:before="3"/>
        <w:rPr>
          <w:b/>
          <w:sz w:val="23"/>
        </w:rPr>
      </w:pPr>
    </w:p>
    <w:p>
      <w:pPr>
        <w:pStyle w:val="BodyText"/>
        <w:spacing w:line="360" w:lineRule="auto"/>
        <w:ind w:left="699" w:right="311" w:firstLine="360"/>
        <w:jc w:val="both"/>
      </w:pPr>
      <w:r>
        <w:rPr/>
        <w:t>Le standard pour évaluer </w:t>
      </w:r>
      <w:r>
        <w:rPr>
          <w:spacing w:val="-5"/>
        </w:rPr>
        <w:t>la </w:t>
      </w:r>
      <w:r>
        <w:rPr/>
        <w:t>satisfaction des consommateurs concernant divers produits ou services. Il vous est possible de remettre à vos clients un questionnaire en </w:t>
      </w:r>
      <w:r>
        <w:rPr>
          <w:spacing w:val="-3"/>
        </w:rPr>
        <w:t>ligne </w:t>
      </w:r>
      <w:r>
        <w:rPr/>
        <w:t>avec de nombreux outils comme Google Forms, Sphynx… mais parfois également par téléphone ou sur papier). N’oubliez</w:t>
      </w:r>
      <w:r>
        <w:rPr>
          <w:spacing w:val="-8"/>
        </w:rPr>
        <w:t> </w:t>
      </w:r>
      <w:r>
        <w:rPr/>
        <w:t>pas</w:t>
      </w:r>
      <w:r>
        <w:rPr>
          <w:spacing w:val="-8"/>
        </w:rPr>
        <w:t> </w:t>
      </w:r>
      <w:r>
        <w:rPr/>
        <w:t>d’intégrer</w:t>
      </w:r>
      <w:r>
        <w:rPr>
          <w:spacing w:val="-4"/>
        </w:rPr>
        <w:t> </w:t>
      </w:r>
      <w:r>
        <w:rPr/>
        <w:t>à</w:t>
      </w:r>
      <w:r>
        <w:rPr>
          <w:spacing w:val="-12"/>
        </w:rPr>
        <w:t> </w:t>
      </w:r>
      <w:r>
        <w:rPr>
          <w:spacing w:val="-5"/>
        </w:rPr>
        <w:t>la</w:t>
      </w:r>
      <w:r>
        <w:rPr>
          <w:spacing w:val="-2"/>
        </w:rPr>
        <w:t> </w:t>
      </w:r>
      <w:r>
        <w:rPr/>
        <w:t>fois</w:t>
      </w:r>
      <w:r>
        <w:rPr>
          <w:spacing w:val="-8"/>
        </w:rPr>
        <w:t> </w:t>
      </w:r>
      <w:r>
        <w:rPr/>
        <w:t>des</w:t>
      </w:r>
      <w:r>
        <w:rPr>
          <w:spacing w:val="-8"/>
        </w:rPr>
        <w:t> </w:t>
      </w:r>
      <w:r>
        <w:rPr/>
        <w:t>questions</w:t>
      </w:r>
      <w:r>
        <w:rPr>
          <w:spacing w:val="-8"/>
        </w:rPr>
        <w:t> </w:t>
      </w:r>
      <w:r>
        <w:rPr/>
        <w:t>ouvertes</w:t>
      </w:r>
      <w:r>
        <w:rPr>
          <w:spacing w:val="-13"/>
        </w:rPr>
        <w:t> </w:t>
      </w:r>
      <w:r>
        <w:rPr/>
        <w:t>et</w:t>
      </w:r>
      <w:r>
        <w:rPr>
          <w:spacing w:val="-5"/>
        </w:rPr>
        <w:t> </w:t>
      </w:r>
      <w:r>
        <w:rPr/>
        <w:t>des</w:t>
      </w:r>
      <w:r>
        <w:rPr>
          <w:spacing w:val="-13"/>
        </w:rPr>
        <w:t> </w:t>
      </w:r>
      <w:r>
        <w:rPr/>
        <w:t>questions</w:t>
      </w:r>
      <w:r>
        <w:rPr>
          <w:spacing w:val="-5"/>
        </w:rPr>
        <w:t> </w:t>
      </w:r>
      <w:r>
        <w:rPr/>
        <w:t>fermées.</w:t>
      </w:r>
      <w:r>
        <w:rPr>
          <w:spacing w:val="-4"/>
        </w:rPr>
        <w:t> </w:t>
      </w:r>
      <w:r>
        <w:rPr/>
        <w:t>Assurez-vous</w:t>
      </w:r>
      <w:r>
        <w:rPr>
          <w:spacing w:val="-8"/>
        </w:rPr>
        <w:t> </w:t>
      </w:r>
      <w:r>
        <w:rPr/>
        <w:t>de</w:t>
      </w:r>
    </w:p>
    <w:p>
      <w:pPr>
        <w:pStyle w:val="BodyText"/>
        <w:spacing w:before="9"/>
        <w:rPr>
          <w:sz w:val="19"/>
        </w:rPr>
      </w:pPr>
      <w:r>
        <w:rPr/>
        <w:pict>
          <v:shape style="position:absolute;margin-left:84.984001pt;margin-top:13.753609pt;width:144.1pt;height:.1pt;mso-position-horizontal-relative:page;mso-position-vertical-relative:paragraph;z-index:-251635712;mso-wrap-distance-left:0;mso-wrap-distance-right:0" coordorigin="1700,275" coordsize="2882,0" path="m1700,275l4581,275e" filled="false" stroked="true" strokeweight=".71997pt" strokecolor="#000000">
            <v:path arrowok="t"/>
            <v:stroke dashstyle="solid"/>
            <w10:wrap type="topAndBottom"/>
          </v:shape>
        </w:pict>
      </w:r>
    </w:p>
    <w:p>
      <w:pPr>
        <w:spacing w:before="62"/>
        <w:ind w:left="699" w:right="309" w:firstLine="0"/>
        <w:jc w:val="both"/>
        <w:rPr>
          <w:i/>
          <w:sz w:val="20"/>
        </w:rPr>
      </w:pPr>
      <w:r>
        <w:rPr>
          <w:i/>
          <w:position w:val="7"/>
          <w:sz w:val="13"/>
        </w:rPr>
        <w:t>1 </w:t>
      </w:r>
      <w:r>
        <w:rPr>
          <w:i/>
          <w:sz w:val="20"/>
        </w:rPr>
        <w:t>CCI Lyon Métropole, Satisfaction client : comment la mesurer et avec quels outils, Blog CCI Lyon Métropole, CCI, </w:t>
      </w:r>
      <w:hyperlink r:id="rId38">
        <w:r>
          <w:rPr>
            <w:i/>
            <w:color w:val="0462C1"/>
            <w:sz w:val="20"/>
            <w:u w:val="single" w:color="0462C1"/>
          </w:rPr>
          <w:t>https://www.lyon-metropole.cci.fr/notre-blog/satisfaction-client-comment-la-mesurer-et-avec-quels-outils</w:t>
        </w:r>
        <w:r>
          <w:rPr>
            <w:i/>
            <w:color w:val="0462C1"/>
            <w:sz w:val="20"/>
          </w:rPr>
          <w:t> </w:t>
        </w:r>
      </w:hyperlink>
      <w:r>
        <w:rPr>
          <w:i/>
          <w:sz w:val="20"/>
        </w:rPr>
        <w:t>, [consulté le 10 mai 2025 à 14h]</w:t>
      </w:r>
    </w:p>
    <w:p>
      <w:pPr>
        <w:spacing w:before="1"/>
        <w:ind w:left="699" w:right="0" w:firstLine="0"/>
        <w:jc w:val="both"/>
        <w:rPr>
          <w:i/>
          <w:sz w:val="20"/>
        </w:rPr>
      </w:pPr>
      <w:r>
        <w:rPr>
          <w:i/>
          <w:sz w:val="20"/>
        </w:rPr>
        <w:t>Cartelis, Comment mesurer la satisfaction client ? Blog Cartelis, Cartelis,</w:t>
      </w:r>
    </w:p>
    <w:p>
      <w:pPr>
        <w:spacing w:before="0"/>
        <w:ind w:left="699" w:right="303" w:firstLine="52"/>
        <w:jc w:val="both"/>
        <w:rPr>
          <w:i/>
          <w:sz w:val="20"/>
        </w:rPr>
      </w:pPr>
      <w:hyperlink r:id="rId39">
        <w:r>
          <w:rPr>
            <w:i/>
            <w:color w:val="0462C1"/>
            <w:sz w:val="20"/>
            <w:u w:val="single" w:color="0462C1"/>
          </w:rPr>
          <w:t>https://www.cartelis.com/blog/mesurer-satisfaction-client/#alternatives-questionnaires-satisfaction</w:t>
        </w:r>
        <w:r>
          <w:rPr>
            <w:i/>
            <w:color w:val="0462C1"/>
            <w:sz w:val="20"/>
          </w:rPr>
          <w:t> </w:t>
        </w:r>
      </w:hyperlink>
      <w:r>
        <w:rPr>
          <w:i/>
          <w:sz w:val="20"/>
        </w:rPr>
        <w:t>, [consulté le 10 </w:t>
      </w:r>
      <w:r>
        <w:rPr>
          <w:i/>
          <w:sz w:val="20"/>
        </w:rPr>
        <w:t>mai 2025 à 14h11]</w:t>
      </w:r>
    </w:p>
    <w:p>
      <w:pPr>
        <w:spacing w:after="0"/>
        <w:jc w:val="both"/>
        <w:rPr>
          <w:sz w:val="20"/>
        </w:rPr>
        <w:sectPr>
          <w:pgSz w:w="12240" w:h="15840"/>
          <w:pgMar w:header="723" w:footer="850" w:top="1080" w:bottom="1040" w:left="1000" w:right="820"/>
        </w:sectPr>
      </w:pPr>
    </w:p>
    <w:p>
      <w:pPr>
        <w:pStyle w:val="BodyText"/>
        <w:rPr>
          <w:i/>
          <w:sz w:val="22"/>
        </w:rPr>
      </w:pPr>
    </w:p>
    <w:p>
      <w:pPr>
        <w:pStyle w:val="BodyText"/>
        <w:spacing w:line="362" w:lineRule="auto" w:before="90"/>
        <w:ind w:left="699" w:right="320"/>
        <w:jc w:val="both"/>
      </w:pPr>
      <w:r>
        <w:rPr/>
        <w:t>trouver un juste milieu dans le nombre de questions posées : il faut en avoir suffisamment pour permettre des analyses pertinentes, mais veillez à ne pas décourager les répondants si vous en incluez trop.</w:t>
      </w:r>
    </w:p>
    <w:p>
      <w:pPr>
        <w:pStyle w:val="BodyText"/>
        <w:spacing w:before="5"/>
      </w:pPr>
    </w:p>
    <w:p>
      <w:pPr>
        <w:pStyle w:val="Heading5"/>
        <w:numPr>
          <w:ilvl w:val="1"/>
          <w:numId w:val="8"/>
        </w:numPr>
        <w:tabs>
          <w:tab w:pos="1488" w:val="left" w:leader="none"/>
        </w:tabs>
        <w:spacing w:line="240" w:lineRule="auto" w:before="1" w:after="0"/>
        <w:ind w:left="1487" w:right="0" w:hanging="361"/>
        <w:jc w:val="left"/>
      </w:pPr>
      <w:bookmarkStart w:name="5.2 L’entretien qualitatif" w:id="99"/>
      <w:bookmarkEnd w:id="99"/>
      <w:r>
        <w:rPr>
          <w:b w:val="0"/>
        </w:rPr>
      </w:r>
      <w:bookmarkStart w:name="5.2 L’entretien qualitatif" w:id="100"/>
      <w:bookmarkEnd w:id="100"/>
      <w:r>
        <w:rPr/>
        <w:t>L</w:t>
      </w:r>
      <w:r>
        <w:rPr/>
        <w:t>’entretien</w:t>
      </w:r>
      <w:r>
        <w:rPr>
          <w:spacing w:val="1"/>
        </w:rPr>
        <w:t> </w:t>
      </w:r>
      <w:r>
        <w:rPr/>
        <w:t>qualitatif</w:t>
      </w:r>
    </w:p>
    <w:p>
      <w:pPr>
        <w:pStyle w:val="BodyText"/>
        <w:spacing w:before="6"/>
        <w:rPr>
          <w:b/>
          <w:sz w:val="23"/>
        </w:rPr>
      </w:pPr>
    </w:p>
    <w:p>
      <w:pPr>
        <w:pStyle w:val="BodyText"/>
        <w:spacing w:line="362" w:lineRule="auto"/>
        <w:ind w:left="699" w:right="314" w:firstLine="360"/>
        <w:jc w:val="both"/>
      </w:pPr>
      <w:r>
        <w:rPr/>
        <w:t>Les entretiens qualitatifs offrent une analyse précise des retours et des attentes des clients. </w:t>
      </w:r>
      <w:r>
        <w:rPr>
          <w:spacing w:val="-3"/>
        </w:rPr>
        <w:t>Ils </w:t>
      </w:r>
      <w:r>
        <w:rPr/>
        <w:t>se</w:t>
      </w:r>
      <w:r>
        <w:rPr>
          <w:spacing w:val="-8"/>
        </w:rPr>
        <w:t> </w:t>
      </w:r>
      <w:r>
        <w:rPr/>
        <w:t>déroulent</w:t>
      </w:r>
      <w:r>
        <w:rPr>
          <w:spacing w:val="-3"/>
        </w:rPr>
        <w:t> </w:t>
      </w:r>
      <w:r>
        <w:rPr/>
        <w:t>en</w:t>
      </w:r>
      <w:r>
        <w:rPr>
          <w:spacing w:val="-12"/>
        </w:rPr>
        <w:t> </w:t>
      </w:r>
      <w:r>
        <w:rPr/>
        <w:t>face</w:t>
      </w:r>
      <w:r>
        <w:rPr>
          <w:spacing w:val="-8"/>
        </w:rPr>
        <w:t> </w:t>
      </w:r>
      <w:r>
        <w:rPr/>
        <w:t>à</w:t>
      </w:r>
      <w:r>
        <w:rPr>
          <w:spacing w:val="-8"/>
        </w:rPr>
        <w:t> </w:t>
      </w:r>
      <w:r>
        <w:rPr>
          <w:spacing w:val="-3"/>
        </w:rPr>
        <w:t>face</w:t>
      </w:r>
      <w:r>
        <w:rPr>
          <w:spacing w:val="-8"/>
        </w:rPr>
        <w:t> </w:t>
      </w:r>
      <w:r>
        <w:rPr/>
        <w:t>(ou</w:t>
      </w:r>
      <w:r>
        <w:rPr>
          <w:spacing w:val="-11"/>
        </w:rPr>
        <w:t> </w:t>
      </w:r>
      <w:r>
        <w:rPr/>
        <w:t>par</w:t>
      </w:r>
      <w:r>
        <w:rPr>
          <w:spacing w:val="-5"/>
        </w:rPr>
        <w:t> </w:t>
      </w:r>
      <w:r>
        <w:rPr/>
        <w:t>visioconférence)</w:t>
      </w:r>
      <w:r>
        <w:rPr>
          <w:spacing w:val="-2"/>
        </w:rPr>
        <w:t> </w:t>
      </w:r>
      <w:r>
        <w:rPr/>
        <w:t>avec</w:t>
      </w:r>
      <w:r>
        <w:rPr>
          <w:spacing w:val="-8"/>
        </w:rPr>
        <w:t> </w:t>
      </w:r>
      <w:r>
        <w:rPr/>
        <w:t>un</w:t>
      </w:r>
      <w:r>
        <w:rPr>
          <w:spacing w:val="-12"/>
        </w:rPr>
        <w:t> </w:t>
      </w:r>
      <w:r>
        <w:rPr>
          <w:spacing w:val="5"/>
        </w:rPr>
        <w:t>ou</w:t>
      </w:r>
      <w:r>
        <w:rPr>
          <w:spacing w:val="-11"/>
        </w:rPr>
        <w:t> </w:t>
      </w:r>
      <w:r>
        <w:rPr/>
        <w:t>plusieurs</w:t>
      </w:r>
      <w:r>
        <w:rPr>
          <w:spacing w:val="-8"/>
        </w:rPr>
        <w:t> </w:t>
      </w:r>
      <w:r>
        <w:rPr/>
        <w:t>clients</w:t>
      </w:r>
      <w:r>
        <w:rPr>
          <w:spacing w:val="-9"/>
        </w:rPr>
        <w:t> </w:t>
      </w:r>
      <w:r>
        <w:rPr/>
        <w:t>simultanément </w:t>
      </w:r>
      <w:r>
        <w:rPr>
          <w:spacing w:val="-3"/>
        </w:rPr>
        <w:t>(ils </w:t>
      </w:r>
      <w:r>
        <w:rPr/>
        <w:t>vous</w:t>
      </w:r>
      <w:r>
        <w:rPr>
          <w:spacing w:val="-11"/>
        </w:rPr>
        <w:t> </w:t>
      </w:r>
      <w:r>
        <w:rPr/>
        <w:t>permettent</w:t>
      </w:r>
      <w:r>
        <w:rPr>
          <w:spacing w:val="-6"/>
        </w:rPr>
        <w:t> </w:t>
      </w:r>
      <w:r>
        <w:rPr/>
        <w:t>d’obtenir</w:t>
      </w:r>
      <w:r>
        <w:rPr>
          <w:spacing w:val="-7"/>
        </w:rPr>
        <w:t> </w:t>
      </w:r>
      <w:r>
        <w:rPr/>
        <w:t>des</w:t>
      </w:r>
      <w:r>
        <w:rPr>
          <w:spacing w:val="-10"/>
        </w:rPr>
        <w:t> </w:t>
      </w:r>
      <w:r>
        <w:rPr/>
        <w:t>réponses</w:t>
      </w:r>
      <w:r>
        <w:rPr>
          <w:spacing w:val="-11"/>
        </w:rPr>
        <w:t> </w:t>
      </w:r>
      <w:r>
        <w:rPr/>
        <w:t>en</w:t>
      </w:r>
      <w:r>
        <w:rPr>
          <w:spacing w:val="-13"/>
        </w:rPr>
        <w:t> </w:t>
      </w:r>
      <w:r>
        <w:rPr/>
        <w:t>général</w:t>
      </w:r>
      <w:r>
        <w:rPr>
          <w:spacing w:val="-10"/>
        </w:rPr>
        <w:t> </w:t>
      </w:r>
      <w:r>
        <w:rPr/>
        <w:t>plus</w:t>
      </w:r>
      <w:r>
        <w:rPr>
          <w:spacing w:val="-10"/>
        </w:rPr>
        <w:t> </w:t>
      </w:r>
      <w:r>
        <w:rPr/>
        <w:t>complètes,</w:t>
      </w:r>
      <w:r>
        <w:rPr>
          <w:spacing w:val="-7"/>
        </w:rPr>
        <w:t> </w:t>
      </w:r>
      <w:r>
        <w:rPr/>
        <w:t>puisqu’elles</w:t>
      </w:r>
      <w:r>
        <w:rPr>
          <w:spacing w:val="-10"/>
        </w:rPr>
        <w:t> </w:t>
      </w:r>
      <w:r>
        <w:rPr/>
        <w:t>sont</w:t>
      </w:r>
      <w:r>
        <w:rPr>
          <w:spacing w:val="-5"/>
        </w:rPr>
        <w:t> </w:t>
      </w:r>
      <w:r>
        <w:rPr/>
        <w:t>basées</w:t>
      </w:r>
      <w:r>
        <w:rPr>
          <w:spacing w:val="-10"/>
        </w:rPr>
        <w:t> </w:t>
      </w:r>
      <w:r>
        <w:rPr/>
        <w:t>sur</w:t>
      </w:r>
      <w:r>
        <w:rPr>
          <w:spacing w:val="-7"/>
        </w:rPr>
        <w:t> </w:t>
      </w:r>
      <w:r>
        <w:rPr/>
        <w:t>une écoute active de vos</w:t>
      </w:r>
      <w:r>
        <w:rPr>
          <w:spacing w:val="2"/>
        </w:rPr>
        <w:t> </w:t>
      </w:r>
      <w:r>
        <w:rPr/>
        <w:t>clients).</w:t>
      </w:r>
    </w:p>
    <w:p>
      <w:pPr>
        <w:pStyle w:val="BodyText"/>
        <w:spacing w:line="362" w:lineRule="auto" w:before="153"/>
        <w:ind w:left="699" w:right="314" w:firstLine="360"/>
        <w:jc w:val="both"/>
      </w:pPr>
      <w:r>
        <w:rPr/>
        <w:t>Cela nécessite des compétences en conception d’entrevue et en relation client, afin de diriger et de gérer efficacement la conversation. Cependant, l’entretien qualitatif demande du temps et peut engendrer des coûts importants.</w:t>
      </w:r>
    </w:p>
    <w:p>
      <w:pPr>
        <w:pStyle w:val="BodyText"/>
        <w:spacing w:before="5"/>
      </w:pPr>
    </w:p>
    <w:p>
      <w:pPr>
        <w:pStyle w:val="Heading5"/>
        <w:numPr>
          <w:ilvl w:val="1"/>
          <w:numId w:val="8"/>
        </w:numPr>
        <w:tabs>
          <w:tab w:pos="1488" w:val="left" w:leader="none"/>
        </w:tabs>
        <w:spacing w:line="240" w:lineRule="auto" w:before="1" w:after="0"/>
        <w:ind w:left="1487" w:right="0" w:hanging="361"/>
        <w:jc w:val="left"/>
      </w:pPr>
      <w:bookmarkStart w:name="5.3 Le client mystère" w:id="101"/>
      <w:bookmarkEnd w:id="101"/>
      <w:r>
        <w:rPr>
          <w:b w:val="0"/>
        </w:rPr>
      </w:r>
      <w:bookmarkStart w:name="5.3 Le client mystère" w:id="102"/>
      <w:bookmarkEnd w:id="102"/>
      <w:r>
        <w:rPr/>
        <w:t>L</w:t>
      </w:r>
      <w:r>
        <w:rPr/>
        <w:t>e client</w:t>
      </w:r>
      <w:r>
        <w:rPr>
          <w:spacing w:val="5"/>
        </w:rPr>
        <w:t> </w:t>
      </w:r>
      <w:r>
        <w:rPr/>
        <w:t>mystère</w:t>
      </w:r>
    </w:p>
    <w:p>
      <w:pPr>
        <w:pStyle w:val="BodyText"/>
        <w:spacing w:before="2"/>
        <w:rPr>
          <w:b/>
          <w:sz w:val="23"/>
        </w:rPr>
      </w:pPr>
    </w:p>
    <w:p>
      <w:pPr>
        <w:pStyle w:val="BodyText"/>
        <w:spacing w:line="367" w:lineRule="auto"/>
        <w:ind w:left="699" w:right="315" w:firstLine="360"/>
        <w:jc w:val="both"/>
      </w:pPr>
      <w:r>
        <w:rPr/>
        <w:t>Le client mystère teste les produits et services à votre demande et peut intervenir dans divers contextes : visite en magasin, évaluation d’un service par téléphone. . .</w:t>
      </w:r>
    </w:p>
    <w:p>
      <w:pPr>
        <w:pStyle w:val="BodyText"/>
        <w:spacing w:line="362" w:lineRule="auto" w:before="144"/>
        <w:ind w:left="699" w:right="312" w:firstLine="360"/>
        <w:jc w:val="both"/>
      </w:pPr>
      <w:r>
        <w:rPr/>
        <w:t>Il existe des entreprises spécialisées, mais vous pouvez aussi embaucher vous-même pour un coût réduit. C’est une méthode efficace pour avoir un retour honnête, car la neutralité du client mystère est essentielle. Toutefois, cette approche peut être mal vue par les employés.</w:t>
      </w:r>
    </w:p>
    <w:p>
      <w:pPr>
        <w:pStyle w:val="BodyText"/>
        <w:spacing w:before="6"/>
      </w:pPr>
    </w:p>
    <w:p>
      <w:pPr>
        <w:pStyle w:val="Heading5"/>
        <w:numPr>
          <w:ilvl w:val="1"/>
          <w:numId w:val="8"/>
        </w:numPr>
        <w:tabs>
          <w:tab w:pos="1488" w:val="left" w:leader="none"/>
        </w:tabs>
        <w:spacing w:line="240" w:lineRule="auto" w:before="0" w:after="0"/>
        <w:ind w:left="1487" w:right="0" w:hanging="361"/>
        <w:jc w:val="left"/>
      </w:pPr>
      <w:bookmarkStart w:name="5.4 La borne de sondage" w:id="103"/>
      <w:bookmarkEnd w:id="103"/>
      <w:r>
        <w:rPr>
          <w:b w:val="0"/>
        </w:rPr>
      </w:r>
      <w:bookmarkStart w:name="5.4 La borne de sondage" w:id="104"/>
      <w:bookmarkEnd w:id="104"/>
      <w:r>
        <w:rPr/>
        <w:t>L</w:t>
      </w:r>
      <w:r>
        <w:rPr/>
        <w:t>a borne de</w:t>
      </w:r>
      <w:r>
        <w:rPr>
          <w:spacing w:val="3"/>
        </w:rPr>
        <w:t> </w:t>
      </w:r>
      <w:r>
        <w:rPr/>
        <w:t>sondage</w:t>
      </w:r>
    </w:p>
    <w:p>
      <w:pPr>
        <w:pStyle w:val="BodyText"/>
        <w:spacing w:before="6"/>
        <w:rPr>
          <w:b/>
          <w:sz w:val="23"/>
        </w:rPr>
      </w:pPr>
    </w:p>
    <w:p>
      <w:pPr>
        <w:pStyle w:val="BodyText"/>
        <w:spacing w:line="362" w:lineRule="auto"/>
        <w:ind w:left="699" w:right="312" w:firstLine="360"/>
        <w:jc w:val="both"/>
      </w:pPr>
      <w:r>
        <w:rPr/>
        <w:t>La</w:t>
      </w:r>
      <w:r>
        <w:rPr>
          <w:spacing w:val="-12"/>
        </w:rPr>
        <w:t> </w:t>
      </w:r>
      <w:r>
        <w:rPr/>
        <w:t>borne</w:t>
      </w:r>
      <w:r>
        <w:rPr>
          <w:spacing w:val="-16"/>
        </w:rPr>
        <w:t> </w:t>
      </w:r>
      <w:r>
        <w:rPr/>
        <w:t>de</w:t>
      </w:r>
      <w:r>
        <w:rPr>
          <w:spacing w:val="-15"/>
        </w:rPr>
        <w:t> </w:t>
      </w:r>
      <w:r>
        <w:rPr/>
        <w:t>sondage</w:t>
      </w:r>
      <w:r>
        <w:rPr>
          <w:spacing w:val="-16"/>
        </w:rPr>
        <w:t> </w:t>
      </w:r>
      <w:r>
        <w:rPr/>
        <w:t>offre</w:t>
      </w:r>
      <w:r>
        <w:rPr>
          <w:spacing w:val="-11"/>
        </w:rPr>
        <w:t> </w:t>
      </w:r>
      <w:r>
        <w:rPr>
          <w:spacing w:val="-3"/>
        </w:rPr>
        <w:t>la</w:t>
      </w:r>
      <w:r>
        <w:rPr>
          <w:spacing w:val="-16"/>
        </w:rPr>
        <w:t> </w:t>
      </w:r>
      <w:r>
        <w:rPr/>
        <w:t>possibilité</w:t>
      </w:r>
      <w:r>
        <w:rPr>
          <w:spacing w:val="-15"/>
        </w:rPr>
        <w:t> </w:t>
      </w:r>
      <w:r>
        <w:rPr/>
        <w:t>d’évaluer</w:t>
      </w:r>
      <w:r>
        <w:rPr>
          <w:spacing w:val="-9"/>
        </w:rPr>
        <w:t> </w:t>
      </w:r>
      <w:r>
        <w:rPr>
          <w:spacing w:val="-3"/>
        </w:rPr>
        <w:t>la</w:t>
      </w:r>
      <w:r>
        <w:rPr>
          <w:spacing w:val="-12"/>
        </w:rPr>
        <w:t> </w:t>
      </w:r>
      <w:r>
        <w:rPr/>
        <w:t>satisfaction</w:t>
      </w:r>
      <w:r>
        <w:rPr>
          <w:spacing w:val="-19"/>
        </w:rPr>
        <w:t> </w:t>
      </w:r>
      <w:r>
        <w:rPr/>
        <w:t>des</w:t>
      </w:r>
      <w:r>
        <w:rPr>
          <w:spacing w:val="-17"/>
        </w:rPr>
        <w:t> </w:t>
      </w:r>
      <w:r>
        <w:rPr/>
        <w:t>clients</w:t>
      </w:r>
      <w:r>
        <w:rPr>
          <w:spacing w:val="-18"/>
        </w:rPr>
        <w:t> </w:t>
      </w:r>
      <w:r>
        <w:rPr/>
        <w:t>à</w:t>
      </w:r>
      <w:r>
        <w:rPr>
          <w:spacing w:val="-15"/>
        </w:rPr>
        <w:t> </w:t>
      </w:r>
      <w:r>
        <w:rPr/>
        <w:t>un</w:t>
      </w:r>
      <w:r>
        <w:rPr>
          <w:spacing w:val="-11"/>
        </w:rPr>
        <w:t> </w:t>
      </w:r>
      <w:r>
        <w:rPr/>
        <w:t>moment</w:t>
      </w:r>
      <w:r>
        <w:rPr>
          <w:spacing w:val="-10"/>
        </w:rPr>
        <w:t> </w:t>
      </w:r>
      <w:r>
        <w:rPr/>
        <w:t>donné. Située à un emplacement </w:t>
      </w:r>
      <w:r>
        <w:rPr>
          <w:spacing w:val="-3"/>
        </w:rPr>
        <w:t>clé </w:t>
      </w:r>
      <w:r>
        <w:rPr/>
        <w:t>dans </w:t>
      </w:r>
      <w:r>
        <w:rPr>
          <w:spacing w:val="-3"/>
        </w:rPr>
        <w:t>le </w:t>
      </w:r>
      <w:r>
        <w:rPr/>
        <w:t>magasin, </w:t>
      </w:r>
      <w:r>
        <w:rPr>
          <w:spacing w:val="-3"/>
        </w:rPr>
        <w:t>le </w:t>
      </w:r>
      <w:r>
        <w:rPr/>
        <w:t>client a simplement besoin d’appuyer sur un bouton pour répondre à une question fermée, tout cela de manière anonyme et amusante. Cette approche est rapide et peu coûteuse, cependant, </w:t>
      </w:r>
      <w:r>
        <w:rPr>
          <w:spacing w:val="-3"/>
        </w:rPr>
        <w:t>il </w:t>
      </w:r>
      <w:r>
        <w:rPr/>
        <w:t>est essentiel de bien choisir </w:t>
      </w:r>
      <w:r>
        <w:rPr>
          <w:spacing w:val="-3"/>
        </w:rPr>
        <w:t>la </w:t>
      </w:r>
      <w:r>
        <w:rPr/>
        <w:t>question à poser afin d’obtenir des analyses significatives.</w:t>
      </w:r>
    </w:p>
    <w:p>
      <w:pPr>
        <w:pStyle w:val="BodyText"/>
        <w:rPr>
          <w:sz w:val="26"/>
        </w:rPr>
      </w:pPr>
    </w:p>
    <w:p>
      <w:pPr>
        <w:pStyle w:val="BodyText"/>
        <w:rPr>
          <w:sz w:val="26"/>
        </w:rPr>
      </w:pPr>
    </w:p>
    <w:p>
      <w:pPr>
        <w:pStyle w:val="BodyText"/>
        <w:rPr>
          <w:sz w:val="26"/>
        </w:rPr>
      </w:pPr>
    </w:p>
    <w:p>
      <w:pPr>
        <w:pStyle w:val="BodyText"/>
        <w:rPr>
          <w:sz w:val="26"/>
        </w:rPr>
      </w:pPr>
    </w:p>
    <w:p>
      <w:pPr>
        <w:pStyle w:val="Heading5"/>
        <w:numPr>
          <w:ilvl w:val="1"/>
          <w:numId w:val="8"/>
        </w:numPr>
        <w:tabs>
          <w:tab w:pos="1488" w:val="left" w:leader="none"/>
        </w:tabs>
        <w:spacing w:line="240" w:lineRule="auto" w:before="231" w:after="0"/>
        <w:ind w:left="1487" w:right="0" w:hanging="361"/>
        <w:jc w:val="left"/>
      </w:pPr>
      <w:bookmarkStart w:name="5.5 Boîte à idée" w:id="105"/>
      <w:bookmarkEnd w:id="105"/>
      <w:r>
        <w:rPr>
          <w:b w:val="0"/>
        </w:rPr>
      </w:r>
      <w:bookmarkStart w:name="5.5 Boîte à idée" w:id="106"/>
      <w:bookmarkEnd w:id="106"/>
      <w:r>
        <w:rPr/>
        <w:t>B</w:t>
      </w:r>
      <w:r>
        <w:rPr/>
        <w:t>oîte à</w:t>
      </w:r>
      <w:r>
        <w:rPr>
          <w:spacing w:val="-2"/>
        </w:rPr>
        <w:t> </w:t>
      </w:r>
      <w:r>
        <w:rPr/>
        <w:t>idée</w:t>
      </w:r>
    </w:p>
    <w:p>
      <w:pPr>
        <w:spacing w:after="0" w:line="240" w:lineRule="auto"/>
        <w:jc w:val="left"/>
        <w:sectPr>
          <w:pgSz w:w="12240" w:h="15840"/>
          <w:pgMar w:header="723" w:footer="850" w:top="1080" w:bottom="1040" w:left="1000" w:right="820"/>
        </w:sectPr>
      </w:pPr>
    </w:p>
    <w:p>
      <w:pPr>
        <w:pStyle w:val="BodyText"/>
        <w:rPr>
          <w:b/>
          <w:sz w:val="22"/>
        </w:rPr>
      </w:pPr>
    </w:p>
    <w:p>
      <w:pPr>
        <w:pStyle w:val="BodyText"/>
        <w:spacing w:line="362" w:lineRule="auto" w:before="90"/>
        <w:ind w:left="699" w:right="319" w:firstLine="360"/>
        <w:jc w:val="both"/>
      </w:pPr>
      <w:r>
        <w:rPr/>
        <w:t>La boîte à idées classique est mise en libre disposition au client pour qu’il y dépose un avis, une suggestion ou une question. De nouvelles options en ligne émergent, permettant notamment d’accéder à toutes les idées soumises et de voter pour celles qui les intéressent. Toutefois, ce système est rarement utilisé par les clients.</w:t>
      </w:r>
    </w:p>
    <w:p>
      <w:pPr>
        <w:pStyle w:val="BodyText"/>
        <w:spacing w:before="6"/>
      </w:pPr>
    </w:p>
    <w:p>
      <w:pPr>
        <w:pStyle w:val="Heading5"/>
        <w:numPr>
          <w:ilvl w:val="1"/>
          <w:numId w:val="8"/>
        </w:numPr>
        <w:tabs>
          <w:tab w:pos="1488" w:val="left" w:leader="none"/>
        </w:tabs>
        <w:spacing w:line="240" w:lineRule="auto" w:before="0" w:after="0"/>
        <w:ind w:left="1487" w:right="0" w:hanging="361"/>
        <w:jc w:val="left"/>
      </w:pPr>
      <w:bookmarkStart w:name="5.6 Retour interne" w:id="107"/>
      <w:bookmarkEnd w:id="107"/>
      <w:r>
        <w:rPr>
          <w:b w:val="0"/>
        </w:rPr>
      </w:r>
      <w:bookmarkStart w:name="5.6 Retour interne" w:id="108"/>
      <w:bookmarkEnd w:id="108"/>
      <w:r>
        <w:rPr/>
        <w:t>R</w:t>
      </w:r>
      <w:r>
        <w:rPr/>
        <w:t>etour</w:t>
      </w:r>
      <w:r>
        <w:rPr>
          <w:spacing w:val="-5"/>
        </w:rPr>
        <w:t> </w:t>
      </w:r>
      <w:r>
        <w:rPr/>
        <w:t>interne</w:t>
      </w:r>
    </w:p>
    <w:p>
      <w:pPr>
        <w:pStyle w:val="BodyText"/>
        <w:spacing w:before="3"/>
        <w:rPr>
          <w:b/>
          <w:sz w:val="23"/>
        </w:rPr>
      </w:pPr>
    </w:p>
    <w:p>
      <w:pPr>
        <w:pStyle w:val="BodyText"/>
        <w:spacing w:line="362" w:lineRule="auto"/>
        <w:ind w:left="699" w:right="313" w:firstLine="360"/>
        <w:jc w:val="both"/>
      </w:pPr>
      <w:r>
        <w:rPr/>
        <w:t>Vous pouvez demander à vos collègues de partager toutes </w:t>
      </w:r>
      <w:r>
        <w:rPr>
          <w:spacing w:val="-4"/>
        </w:rPr>
        <w:t>les </w:t>
      </w:r>
      <w:r>
        <w:rPr/>
        <w:t>informations pertinentes lors de leurs échanges avec les clients. </w:t>
      </w:r>
      <w:r>
        <w:rPr>
          <w:spacing w:val="-3"/>
        </w:rPr>
        <w:t>Cela </w:t>
      </w:r>
      <w:r>
        <w:rPr/>
        <w:t>peut se produire à diverses phases du processus de vente : </w:t>
      </w:r>
      <w:r>
        <w:rPr>
          <w:spacing w:val="-5"/>
        </w:rPr>
        <w:t>la </w:t>
      </w:r>
      <w:r>
        <w:rPr/>
        <w:t>vente, </w:t>
      </w:r>
      <w:r>
        <w:rPr>
          <w:spacing w:val="-5"/>
        </w:rPr>
        <w:t>la </w:t>
      </w:r>
      <w:r>
        <w:rPr/>
        <w:t>livraison, </w:t>
      </w:r>
      <w:r>
        <w:rPr>
          <w:spacing w:val="-5"/>
        </w:rPr>
        <w:t>le </w:t>
      </w:r>
      <w:r>
        <w:rPr/>
        <w:t>service après-vente… Le retour interne est précieux pour recueillir des avis sur</w:t>
      </w:r>
      <w:r>
        <w:rPr>
          <w:spacing w:val="-6"/>
        </w:rPr>
        <w:t> </w:t>
      </w:r>
      <w:r>
        <w:rPr>
          <w:spacing w:val="-5"/>
        </w:rPr>
        <w:t>la</w:t>
      </w:r>
      <w:r>
        <w:rPr>
          <w:spacing w:val="-3"/>
        </w:rPr>
        <w:t> </w:t>
      </w:r>
      <w:r>
        <w:rPr/>
        <w:t>façon</w:t>
      </w:r>
      <w:r>
        <w:rPr>
          <w:spacing w:val="-12"/>
        </w:rPr>
        <w:t> </w:t>
      </w:r>
      <w:r>
        <w:rPr/>
        <w:t>dont</w:t>
      </w:r>
      <w:r>
        <w:rPr>
          <w:spacing w:val="-6"/>
        </w:rPr>
        <w:t> </w:t>
      </w:r>
      <w:r>
        <w:rPr>
          <w:spacing w:val="-3"/>
        </w:rPr>
        <w:t>les</w:t>
      </w:r>
      <w:r>
        <w:rPr>
          <w:spacing w:val="-9"/>
        </w:rPr>
        <w:t> </w:t>
      </w:r>
      <w:r>
        <w:rPr/>
        <w:t>clients</w:t>
      </w:r>
      <w:r>
        <w:rPr>
          <w:spacing w:val="-9"/>
        </w:rPr>
        <w:t> </w:t>
      </w:r>
      <w:r>
        <w:rPr/>
        <w:t>vivent</w:t>
      </w:r>
      <w:r>
        <w:rPr>
          <w:spacing w:val="1"/>
        </w:rPr>
        <w:t> </w:t>
      </w:r>
      <w:r>
        <w:rPr>
          <w:spacing w:val="-3"/>
        </w:rPr>
        <w:t>leur</w:t>
      </w:r>
      <w:r>
        <w:rPr>
          <w:spacing w:val="-5"/>
        </w:rPr>
        <w:t> </w:t>
      </w:r>
      <w:r>
        <w:rPr/>
        <w:t>expérience.</w:t>
      </w:r>
      <w:r>
        <w:rPr>
          <w:spacing w:val="-10"/>
        </w:rPr>
        <w:t> </w:t>
      </w:r>
      <w:r>
        <w:rPr/>
        <w:t>Cependant,</w:t>
      </w:r>
      <w:r>
        <w:rPr>
          <w:spacing w:val="-9"/>
        </w:rPr>
        <w:t> </w:t>
      </w:r>
      <w:r>
        <w:rPr/>
        <w:t>cela</w:t>
      </w:r>
      <w:r>
        <w:rPr>
          <w:spacing w:val="-8"/>
        </w:rPr>
        <w:t> </w:t>
      </w:r>
      <w:r>
        <w:rPr/>
        <w:t>demande</w:t>
      </w:r>
      <w:r>
        <w:rPr>
          <w:spacing w:val="-8"/>
        </w:rPr>
        <w:t> </w:t>
      </w:r>
      <w:r>
        <w:rPr/>
        <w:t>une</w:t>
      </w:r>
      <w:r>
        <w:rPr>
          <w:spacing w:val="-8"/>
        </w:rPr>
        <w:t> </w:t>
      </w:r>
      <w:r>
        <w:rPr/>
        <w:t>grande</w:t>
      </w:r>
      <w:r>
        <w:rPr>
          <w:spacing w:val="-8"/>
        </w:rPr>
        <w:t> </w:t>
      </w:r>
      <w:r>
        <w:rPr/>
        <w:t>discipline de </w:t>
      </w:r>
      <w:r>
        <w:rPr>
          <w:spacing w:val="-5"/>
        </w:rPr>
        <w:t>la </w:t>
      </w:r>
      <w:r>
        <w:rPr/>
        <w:t>part des</w:t>
      </w:r>
      <w:r>
        <w:rPr>
          <w:spacing w:val="15"/>
        </w:rPr>
        <w:t> </w:t>
      </w:r>
      <w:r>
        <w:rPr/>
        <w:t>collaborateurs.</w:t>
      </w:r>
    </w:p>
    <w:p>
      <w:pPr>
        <w:pStyle w:val="BodyText"/>
        <w:spacing w:before="2"/>
      </w:pPr>
    </w:p>
    <w:p>
      <w:pPr>
        <w:pStyle w:val="Heading5"/>
        <w:numPr>
          <w:ilvl w:val="1"/>
          <w:numId w:val="8"/>
        </w:numPr>
        <w:tabs>
          <w:tab w:pos="1488" w:val="left" w:leader="none"/>
        </w:tabs>
        <w:spacing w:line="240" w:lineRule="auto" w:before="0" w:after="0"/>
        <w:ind w:left="1487" w:right="0" w:hanging="361"/>
        <w:jc w:val="left"/>
      </w:pPr>
      <w:bookmarkStart w:name="5.7 Réseaux sociaux" w:id="109"/>
      <w:bookmarkEnd w:id="109"/>
      <w:r>
        <w:rPr>
          <w:b w:val="0"/>
        </w:rPr>
      </w:r>
      <w:bookmarkStart w:name="5.7 Réseaux sociaux" w:id="110"/>
      <w:bookmarkEnd w:id="110"/>
      <w:r>
        <w:rPr/>
        <w:t>R</w:t>
      </w:r>
      <w:r>
        <w:rPr/>
        <w:t>éseaux</w:t>
      </w:r>
      <w:r>
        <w:rPr>
          <w:spacing w:val="-3"/>
        </w:rPr>
        <w:t> </w:t>
      </w:r>
      <w:r>
        <w:rPr/>
        <w:t>sociaux</w:t>
      </w:r>
    </w:p>
    <w:p>
      <w:pPr>
        <w:pStyle w:val="BodyText"/>
        <w:spacing w:before="7"/>
        <w:rPr>
          <w:b/>
          <w:sz w:val="23"/>
        </w:rPr>
      </w:pPr>
    </w:p>
    <w:p>
      <w:pPr>
        <w:pStyle w:val="BodyText"/>
        <w:spacing w:line="362" w:lineRule="auto"/>
        <w:ind w:left="699" w:right="309"/>
        <w:jc w:val="both"/>
      </w:pPr>
      <w:r>
        <w:rPr>
          <w:spacing w:val="3"/>
        </w:rPr>
        <w:t>Il </w:t>
      </w:r>
      <w:r>
        <w:rPr/>
        <w:t>est pertinent de prêter attention aux avis diffusés sur </w:t>
      </w:r>
      <w:r>
        <w:rPr>
          <w:spacing w:val="-4"/>
        </w:rPr>
        <w:t>les </w:t>
      </w:r>
      <w:r>
        <w:rPr/>
        <w:t>réseaux sociaux. </w:t>
      </w:r>
      <w:r>
        <w:rPr>
          <w:spacing w:val="3"/>
        </w:rPr>
        <w:t>Des </w:t>
      </w:r>
      <w:r>
        <w:rPr/>
        <w:t>retours positifs</w:t>
      </w:r>
      <w:r>
        <w:rPr>
          <w:spacing w:val="-43"/>
        </w:rPr>
        <w:t> </w:t>
      </w:r>
      <w:r>
        <w:rPr/>
        <w:t>ou négatifs peuvent rapidement influencer </w:t>
      </w:r>
      <w:r>
        <w:rPr>
          <w:spacing w:val="-3"/>
        </w:rPr>
        <w:t>la </w:t>
      </w:r>
      <w:r>
        <w:rPr/>
        <w:t>réputation de votre établissement ou, au contraire, engendrer des situations</w:t>
      </w:r>
      <w:r>
        <w:rPr>
          <w:spacing w:val="2"/>
        </w:rPr>
        <w:t> </w:t>
      </w:r>
      <w:r>
        <w:rPr/>
        <w:t>délicates.</w:t>
      </w:r>
    </w:p>
    <w:p>
      <w:pPr>
        <w:pStyle w:val="BodyText"/>
        <w:spacing w:line="360" w:lineRule="auto" w:before="152"/>
        <w:ind w:left="699" w:right="312" w:firstLine="360"/>
        <w:jc w:val="both"/>
      </w:pPr>
      <w:r>
        <w:rPr>
          <w:spacing w:val="3"/>
        </w:rPr>
        <w:t>Il </w:t>
      </w:r>
      <w:r>
        <w:rPr/>
        <w:t>est donc essentiel de consacrer une personne ou une équipe à </w:t>
      </w:r>
      <w:r>
        <w:rPr>
          <w:spacing w:val="-3"/>
        </w:rPr>
        <w:t>la </w:t>
      </w:r>
      <w:r>
        <w:rPr/>
        <w:t>surveillance des réseaux, en particulier des commentaires sur les pages de votre entreprise, sous </w:t>
      </w:r>
      <w:r>
        <w:rPr>
          <w:spacing w:val="-4"/>
        </w:rPr>
        <w:t>les </w:t>
      </w:r>
      <w:r>
        <w:rPr/>
        <w:t>publications ou dans </w:t>
      </w:r>
      <w:r>
        <w:rPr>
          <w:spacing w:val="-3"/>
        </w:rPr>
        <w:t>les </w:t>
      </w:r>
      <w:r>
        <w:rPr/>
        <w:t>messages</w:t>
      </w:r>
      <w:r>
        <w:rPr>
          <w:spacing w:val="-14"/>
        </w:rPr>
        <w:t> </w:t>
      </w:r>
      <w:r>
        <w:rPr/>
        <w:t>privés.</w:t>
      </w:r>
      <w:r>
        <w:rPr>
          <w:spacing w:val="-9"/>
        </w:rPr>
        <w:t> </w:t>
      </w:r>
      <w:r>
        <w:rPr/>
        <w:t>En</w:t>
      </w:r>
      <w:r>
        <w:rPr>
          <w:spacing w:val="-15"/>
        </w:rPr>
        <w:t> </w:t>
      </w:r>
      <w:r>
        <w:rPr/>
        <w:t>effet,</w:t>
      </w:r>
      <w:r>
        <w:rPr>
          <w:spacing w:val="-13"/>
        </w:rPr>
        <w:t> </w:t>
      </w:r>
      <w:r>
        <w:rPr/>
        <w:t>maîtriser</w:t>
      </w:r>
      <w:r>
        <w:rPr>
          <w:spacing w:val="-5"/>
        </w:rPr>
        <w:t> </w:t>
      </w:r>
      <w:r>
        <w:rPr>
          <w:spacing w:val="-3"/>
        </w:rPr>
        <w:t>les</w:t>
      </w:r>
      <w:r>
        <w:rPr>
          <w:spacing w:val="-13"/>
        </w:rPr>
        <w:t> </w:t>
      </w:r>
      <w:r>
        <w:rPr/>
        <w:t>tendances</w:t>
      </w:r>
      <w:r>
        <w:rPr>
          <w:spacing w:val="-14"/>
        </w:rPr>
        <w:t> </w:t>
      </w:r>
      <w:r>
        <w:rPr/>
        <w:t>virales</w:t>
      </w:r>
      <w:r>
        <w:rPr>
          <w:spacing w:val="-3"/>
        </w:rPr>
        <w:t> </w:t>
      </w:r>
      <w:r>
        <w:rPr/>
        <w:t>liées</w:t>
      </w:r>
      <w:r>
        <w:rPr>
          <w:spacing w:val="-14"/>
        </w:rPr>
        <w:t> </w:t>
      </w:r>
      <w:r>
        <w:rPr/>
        <w:t>à</w:t>
      </w:r>
      <w:r>
        <w:rPr>
          <w:spacing w:val="-12"/>
        </w:rPr>
        <w:t> </w:t>
      </w:r>
      <w:r>
        <w:rPr/>
        <w:t>des</w:t>
      </w:r>
      <w:r>
        <w:rPr>
          <w:spacing w:val="-13"/>
        </w:rPr>
        <w:t> </w:t>
      </w:r>
      <w:r>
        <w:rPr/>
        <w:t>vidéos</w:t>
      </w:r>
      <w:r>
        <w:rPr>
          <w:spacing w:val="-13"/>
        </w:rPr>
        <w:t> </w:t>
      </w:r>
      <w:r>
        <w:rPr/>
        <w:t>ou</w:t>
      </w:r>
      <w:r>
        <w:rPr>
          <w:spacing w:val="-15"/>
        </w:rPr>
        <w:t> </w:t>
      </w:r>
      <w:r>
        <w:rPr/>
        <w:t>des</w:t>
      </w:r>
      <w:r>
        <w:rPr>
          <w:spacing w:val="-14"/>
        </w:rPr>
        <w:t> </w:t>
      </w:r>
      <w:r>
        <w:rPr/>
        <w:t>images</w:t>
      </w:r>
      <w:r>
        <w:rPr>
          <w:spacing w:val="-13"/>
        </w:rPr>
        <w:t> </w:t>
      </w:r>
      <w:r>
        <w:rPr/>
        <w:t>partagées par des comptes privés sera plus complexe, </w:t>
      </w:r>
      <w:r>
        <w:rPr>
          <w:spacing w:val="-3"/>
        </w:rPr>
        <w:t>même </w:t>
      </w:r>
      <w:r>
        <w:rPr/>
        <w:t>si cette veille reste très bénéfique pour évaluer l’image de</w:t>
      </w:r>
      <w:r>
        <w:rPr>
          <w:spacing w:val="7"/>
        </w:rPr>
        <w:t> </w:t>
      </w:r>
      <w:r>
        <w:rPr/>
        <w:t>l’organisation.</w:t>
      </w:r>
    </w:p>
    <w:p>
      <w:pPr>
        <w:pStyle w:val="BodyText"/>
        <w:spacing w:line="362" w:lineRule="auto" w:before="158"/>
        <w:ind w:left="699" w:right="313" w:firstLine="360"/>
        <w:jc w:val="both"/>
      </w:pPr>
      <w:r>
        <w:rPr/>
        <w:t>De</w:t>
      </w:r>
      <w:r>
        <w:rPr>
          <w:spacing w:val="-12"/>
        </w:rPr>
        <w:t> </w:t>
      </w:r>
      <w:r>
        <w:rPr/>
        <w:t>plus,</w:t>
      </w:r>
      <w:r>
        <w:rPr>
          <w:spacing w:val="-4"/>
        </w:rPr>
        <w:t> </w:t>
      </w:r>
      <w:r>
        <w:rPr>
          <w:spacing w:val="-3"/>
        </w:rPr>
        <w:t>il</w:t>
      </w:r>
      <w:r>
        <w:rPr>
          <w:spacing w:val="-15"/>
        </w:rPr>
        <w:t> </w:t>
      </w:r>
      <w:r>
        <w:rPr/>
        <w:t>est</w:t>
      </w:r>
      <w:r>
        <w:rPr>
          <w:spacing w:val="-6"/>
        </w:rPr>
        <w:t> </w:t>
      </w:r>
      <w:r>
        <w:rPr/>
        <w:t>crucial</w:t>
      </w:r>
      <w:r>
        <w:rPr>
          <w:spacing w:val="-19"/>
        </w:rPr>
        <w:t> </w:t>
      </w:r>
      <w:r>
        <w:rPr/>
        <w:t>d’établir</w:t>
      </w:r>
      <w:r>
        <w:rPr>
          <w:spacing w:val="-9"/>
        </w:rPr>
        <w:t> </w:t>
      </w:r>
      <w:r>
        <w:rPr/>
        <w:t>une</w:t>
      </w:r>
      <w:r>
        <w:rPr>
          <w:spacing w:val="-12"/>
        </w:rPr>
        <w:t> </w:t>
      </w:r>
      <w:r>
        <w:rPr/>
        <w:t>stratégie</w:t>
      </w:r>
      <w:r>
        <w:rPr>
          <w:spacing w:val="-7"/>
        </w:rPr>
        <w:t> </w:t>
      </w:r>
      <w:r>
        <w:rPr/>
        <w:t>interne</w:t>
      </w:r>
      <w:r>
        <w:rPr>
          <w:spacing w:val="-7"/>
        </w:rPr>
        <w:t> </w:t>
      </w:r>
      <w:r>
        <w:rPr/>
        <w:t>dès</w:t>
      </w:r>
      <w:r>
        <w:rPr>
          <w:spacing w:val="-8"/>
        </w:rPr>
        <w:t> </w:t>
      </w:r>
      <w:r>
        <w:rPr>
          <w:spacing w:val="-5"/>
        </w:rPr>
        <w:t>le</w:t>
      </w:r>
      <w:r>
        <w:rPr>
          <w:spacing w:val="-12"/>
        </w:rPr>
        <w:t> </w:t>
      </w:r>
      <w:r>
        <w:rPr/>
        <w:t>début,</w:t>
      </w:r>
      <w:r>
        <w:rPr>
          <w:spacing w:val="-9"/>
        </w:rPr>
        <w:t> </w:t>
      </w:r>
      <w:r>
        <w:rPr>
          <w:spacing w:val="-3"/>
        </w:rPr>
        <w:t>afin</w:t>
      </w:r>
      <w:r>
        <w:rPr>
          <w:spacing w:val="-15"/>
        </w:rPr>
        <w:t> </w:t>
      </w:r>
      <w:r>
        <w:rPr/>
        <w:t>de</w:t>
      </w:r>
      <w:r>
        <w:rPr>
          <w:spacing w:val="-7"/>
        </w:rPr>
        <w:t> </w:t>
      </w:r>
      <w:r>
        <w:rPr/>
        <w:t>maintenir</w:t>
      </w:r>
      <w:r>
        <w:rPr>
          <w:spacing w:val="-4"/>
        </w:rPr>
        <w:t> </w:t>
      </w:r>
      <w:r>
        <w:rPr/>
        <w:t>une</w:t>
      </w:r>
      <w:r>
        <w:rPr>
          <w:spacing w:val="-12"/>
        </w:rPr>
        <w:t> </w:t>
      </w:r>
      <w:r>
        <w:rPr/>
        <w:t>direction cohérente pour tous </w:t>
      </w:r>
      <w:r>
        <w:rPr>
          <w:spacing w:val="-4"/>
        </w:rPr>
        <w:t>les </w:t>
      </w:r>
      <w:r>
        <w:rPr/>
        <w:t>membres de l’entreprise. Par exemple, votre entreprise peut </w:t>
      </w:r>
      <w:r>
        <w:rPr>
          <w:spacing w:val="-3"/>
        </w:rPr>
        <w:t>choisir </w:t>
      </w:r>
      <w:r>
        <w:rPr/>
        <w:t>de </w:t>
      </w:r>
      <w:r>
        <w:rPr>
          <w:spacing w:val="-3"/>
        </w:rPr>
        <w:t>ne </w:t>
      </w:r>
      <w:r>
        <w:rPr/>
        <w:t>pas répondre aux commentaires négatifs, ou de répondre uniquement à certains, ou à</w:t>
      </w:r>
      <w:r>
        <w:rPr>
          <w:spacing w:val="-5"/>
        </w:rPr>
        <w:t> </w:t>
      </w:r>
      <w:r>
        <w:rPr/>
        <w:t>tous.</w:t>
      </w:r>
    </w:p>
    <w:p>
      <w:pPr>
        <w:pStyle w:val="BodyText"/>
        <w:spacing w:before="10"/>
      </w:pPr>
    </w:p>
    <w:p>
      <w:pPr>
        <w:pStyle w:val="Heading5"/>
        <w:numPr>
          <w:ilvl w:val="1"/>
          <w:numId w:val="8"/>
        </w:numPr>
        <w:tabs>
          <w:tab w:pos="1488" w:val="left" w:leader="none"/>
        </w:tabs>
        <w:spacing w:line="240" w:lineRule="auto" w:before="0" w:after="0"/>
        <w:ind w:left="1487" w:right="0" w:hanging="361"/>
        <w:jc w:val="left"/>
      </w:pPr>
      <w:bookmarkStart w:name="5.8 Avis client en ligne" w:id="111"/>
      <w:bookmarkEnd w:id="111"/>
      <w:r>
        <w:rPr>
          <w:b w:val="0"/>
        </w:rPr>
      </w:r>
      <w:bookmarkStart w:name="5.8 Avis client en ligne" w:id="112"/>
      <w:bookmarkEnd w:id="112"/>
      <w:r>
        <w:rPr/>
        <w:t>Avis</w:t>
      </w:r>
      <w:r>
        <w:rPr/>
        <w:t> client en</w:t>
      </w:r>
      <w:r>
        <w:rPr>
          <w:spacing w:val="5"/>
        </w:rPr>
        <w:t> </w:t>
      </w:r>
      <w:r>
        <w:rPr/>
        <w:t>ligne</w:t>
      </w:r>
    </w:p>
    <w:p>
      <w:pPr>
        <w:pStyle w:val="BodyText"/>
        <w:spacing w:before="2"/>
        <w:rPr>
          <w:b/>
          <w:sz w:val="23"/>
        </w:rPr>
      </w:pPr>
    </w:p>
    <w:p>
      <w:pPr>
        <w:pStyle w:val="BodyText"/>
        <w:spacing w:line="367" w:lineRule="auto"/>
        <w:ind w:left="699" w:right="305" w:firstLine="360"/>
        <w:jc w:val="both"/>
      </w:pPr>
      <w:r>
        <w:rPr/>
        <w:t>Les</w:t>
      </w:r>
      <w:r>
        <w:rPr>
          <w:spacing w:val="-12"/>
        </w:rPr>
        <w:t> </w:t>
      </w:r>
      <w:r>
        <w:rPr/>
        <w:t>clients</w:t>
      </w:r>
      <w:r>
        <w:rPr>
          <w:spacing w:val="-11"/>
        </w:rPr>
        <w:t> </w:t>
      </w:r>
      <w:r>
        <w:rPr/>
        <w:t>ont</w:t>
      </w:r>
      <w:r>
        <w:rPr>
          <w:spacing w:val="-5"/>
        </w:rPr>
        <w:t> </w:t>
      </w:r>
      <w:r>
        <w:rPr/>
        <w:t>également </w:t>
      </w:r>
      <w:r>
        <w:rPr>
          <w:spacing w:val="-5"/>
        </w:rPr>
        <w:t>la</w:t>
      </w:r>
      <w:r>
        <w:rPr>
          <w:spacing w:val="-10"/>
        </w:rPr>
        <w:t> </w:t>
      </w:r>
      <w:r>
        <w:rPr/>
        <w:t>possibilité</w:t>
      </w:r>
      <w:r>
        <w:rPr>
          <w:spacing w:val="-11"/>
        </w:rPr>
        <w:t> </w:t>
      </w:r>
      <w:r>
        <w:rPr/>
        <w:t>de</w:t>
      </w:r>
      <w:r>
        <w:rPr>
          <w:spacing w:val="-6"/>
        </w:rPr>
        <w:t> </w:t>
      </w:r>
      <w:r>
        <w:rPr/>
        <w:t>laisser</w:t>
      </w:r>
      <w:r>
        <w:rPr>
          <w:spacing w:val="-7"/>
        </w:rPr>
        <w:t> </w:t>
      </w:r>
      <w:r>
        <w:rPr/>
        <w:t>des</w:t>
      </w:r>
      <w:r>
        <w:rPr>
          <w:spacing w:val="-12"/>
        </w:rPr>
        <w:t> </w:t>
      </w:r>
      <w:r>
        <w:rPr/>
        <w:t>avis</w:t>
      </w:r>
      <w:r>
        <w:rPr>
          <w:spacing w:val="-6"/>
        </w:rPr>
        <w:t> </w:t>
      </w:r>
      <w:r>
        <w:rPr/>
        <w:t>en</w:t>
      </w:r>
      <w:r>
        <w:rPr>
          <w:spacing w:val="-10"/>
        </w:rPr>
        <w:t> </w:t>
      </w:r>
      <w:r>
        <w:rPr>
          <w:spacing w:val="-2"/>
        </w:rPr>
        <w:t>ligne.</w:t>
      </w:r>
      <w:r>
        <w:rPr>
          <w:spacing w:val="-7"/>
        </w:rPr>
        <w:t> </w:t>
      </w:r>
      <w:r>
        <w:rPr/>
        <w:t>L’évaluation</w:t>
      </w:r>
      <w:r>
        <w:rPr>
          <w:spacing w:val="-14"/>
        </w:rPr>
        <w:t> </w:t>
      </w:r>
      <w:r>
        <w:rPr/>
        <w:t>des</w:t>
      </w:r>
      <w:r>
        <w:rPr>
          <w:spacing w:val="-9"/>
        </w:rPr>
        <w:t> </w:t>
      </w:r>
      <w:r>
        <w:rPr/>
        <w:t>retours</w:t>
      </w:r>
      <w:r>
        <w:rPr>
          <w:spacing w:val="-12"/>
        </w:rPr>
        <w:t> </w:t>
      </w:r>
      <w:r>
        <w:rPr/>
        <w:t>des clients constitue un excellent moyen d’évaluer </w:t>
      </w:r>
      <w:r>
        <w:rPr>
          <w:spacing w:val="-5"/>
        </w:rPr>
        <w:t>la </w:t>
      </w:r>
      <w:r>
        <w:rPr/>
        <w:t>satisfaction des</w:t>
      </w:r>
      <w:r>
        <w:rPr>
          <w:spacing w:val="7"/>
        </w:rPr>
        <w:t> </w:t>
      </w:r>
      <w:r>
        <w:rPr/>
        <w:t>consommateurs.</w:t>
      </w:r>
    </w:p>
    <w:p>
      <w:pPr>
        <w:spacing w:after="0" w:line="367" w:lineRule="auto"/>
        <w:jc w:val="both"/>
        <w:sectPr>
          <w:pgSz w:w="12240" w:h="15840"/>
          <w:pgMar w:header="723" w:footer="850" w:top="1080" w:bottom="1040" w:left="1000" w:right="820"/>
        </w:sectPr>
      </w:pPr>
    </w:p>
    <w:p>
      <w:pPr>
        <w:pStyle w:val="BodyText"/>
        <w:rPr>
          <w:sz w:val="22"/>
        </w:rPr>
      </w:pPr>
    </w:p>
    <w:p>
      <w:pPr>
        <w:pStyle w:val="BodyText"/>
        <w:spacing w:line="362" w:lineRule="auto" w:before="90"/>
        <w:ind w:left="699" w:right="310" w:firstLine="360"/>
        <w:jc w:val="both"/>
      </w:pPr>
      <w:r>
        <w:rPr/>
        <w:t>De </w:t>
      </w:r>
      <w:r>
        <w:rPr>
          <w:spacing w:val="-5"/>
        </w:rPr>
        <w:t>la </w:t>
      </w:r>
      <w:r>
        <w:rPr/>
        <w:t>même manière que sur </w:t>
      </w:r>
      <w:r>
        <w:rPr>
          <w:spacing w:val="-4"/>
        </w:rPr>
        <w:t>les </w:t>
      </w:r>
      <w:r>
        <w:rPr/>
        <w:t>plateformes sociales, </w:t>
      </w:r>
      <w:r>
        <w:rPr>
          <w:spacing w:val="-3"/>
        </w:rPr>
        <w:t>il </w:t>
      </w:r>
      <w:r>
        <w:rPr/>
        <w:t>est crucial de rester vigilant, car une fois</w:t>
      </w:r>
      <w:r>
        <w:rPr>
          <w:spacing w:val="-7"/>
        </w:rPr>
        <w:t> </w:t>
      </w:r>
      <w:r>
        <w:rPr/>
        <w:t>qu’ils</w:t>
      </w:r>
      <w:r>
        <w:rPr>
          <w:spacing w:val="-7"/>
        </w:rPr>
        <w:t> </w:t>
      </w:r>
      <w:r>
        <w:rPr/>
        <w:t>sont </w:t>
      </w:r>
      <w:r>
        <w:rPr>
          <w:spacing w:val="-4"/>
        </w:rPr>
        <w:t>mis</w:t>
      </w:r>
      <w:r>
        <w:rPr>
          <w:spacing w:val="-7"/>
        </w:rPr>
        <w:t> </w:t>
      </w:r>
      <w:r>
        <w:rPr/>
        <w:t>en</w:t>
      </w:r>
      <w:r>
        <w:rPr>
          <w:spacing w:val="-5"/>
        </w:rPr>
        <w:t> </w:t>
      </w:r>
      <w:r>
        <w:rPr/>
        <w:t>ligne,</w:t>
      </w:r>
      <w:r>
        <w:rPr>
          <w:spacing w:val="-3"/>
        </w:rPr>
        <w:t> </w:t>
      </w:r>
      <w:r>
        <w:rPr/>
        <w:t>ces</w:t>
      </w:r>
      <w:r>
        <w:rPr>
          <w:spacing w:val="-7"/>
        </w:rPr>
        <w:t> </w:t>
      </w:r>
      <w:r>
        <w:rPr/>
        <w:t>avis</w:t>
      </w:r>
      <w:r>
        <w:rPr>
          <w:spacing w:val="-2"/>
        </w:rPr>
        <w:t> </w:t>
      </w:r>
      <w:r>
        <w:rPr/>
        <w:t>sont accessibles</w:t>
      </w:r>
      <w:r>
        <w:rPr>
          <w:spacing w:val="-8"/>
        </w:rPr>
        <w:t> </w:t>
      </w:r>
      <w:r>
        <w:rPr/>
        <w:t>à</w:t>
      </w:r>
      <w:r>
        <w:rPr>
          <w:spacing w:val="-6"/>
        </w:rPr>
        <w:t> </w:t>
      </w:r>
      <w:r>
        <w:rPr/>
        <w:t>tous</w:t>
      </w:r>
      <w:r>
        <w:rPr>
          <w:spacing w:val="-7"/>
        </w:rPr>
        <w:t> </w:t>
      </w:r>
      <w:r>
        <w:rPr>
          <w:spacing w:val="-4"/>
        </w:rPr>
        <w:t>les</w:t>
      </w:r>
      <w:r>
        <w:rPr>
          <w:spacing w:val="-2"/>
        </w:rPr>
        <w:t> </w:t>
      </w:r>
      <w:r>
        <w:rPr/>
        <w:t>consommateurs</w:t>
      </w:r>
      <w:r>
        <w:rPr>
          <w:spacing w:val="-7"/>
        </w:rPr>
        <w:t> </w:t>
      </w:r>
      <w:r>
        <w:rPr/>
        <w:t>qui</w:t>
      </w:r>
      <w:r>
        <w:rPr>
          <w:spacing w:val="-14"/>
        </w:rPr>
        <w:t> </w:t>
      </w:r>
      <w:r>
        <w:rPr/>
        <w:t>recherchent ou consultent </w:t>
      </w:r>
      <w:r>
        <w:rPr>
          <w:spacing w:val="-5"/>
        </w:rPr>
        <w:t>le </w:t>
      </w:r>
      <w:r>
        <w:rPr/>
        <w:t>site d’une</w:t>
      </w:r>
      <w:r>
        <w:rPr>
          <w:spacing w:val="14"/>
        </w:rPr>
        <w:t> </w:t>
      </w:r>
      <w:r>
        <w:rPr/>
        <w:t>entreprise.</w:t>
      </w:r>
    </w:p>
    <w:p>
      <w:pPr>
        <w:pStyle w:val="BodyText"/>
        <w:spacing w:line="360" w:lineRule="auto" w:before="152"/>
        <w:ind w:left="699" w:right="312" w:firstLine="360"/>
        <w:jc w:val="both"/>
      </w:pPr>
      <w:r>
        <w:rPr/>
        <w:t>Ces</w:t>
      </w:r>
      <w:r>
        <w:rPr>
          <w:spacing w:val="-15"/>
        </w:rPr>
        <w:t> </w:t>
      </w:r>
      <w:r>
        <w:rPr/>
        <w:t>avis</w:t>
      </w:r>
      <w:r>
        <w:rPr>
          <w:spacing w:val="-14"/>
        </w:rPr>
        <w:t> </w:t>
      </w:r>
      <w:r>
        <w:rPr/>
        <w:t>peuvent</w:t>
      </w:r>
      <w:r>
        <w:rPr>
          <w:spacing w:val="-8"/>
        </w:rPr>
        <w:t> </w:t>
      </w:r>
      <w:r>
        <w:rPr/>
        <w:t>être</w:t>
      </w:r>
      <w:r>
        <w:rPr>
          <w:spacing w:val="-14"/>
        </w:rPr>
        <w:t> </w:t>
      </w:r>
      <w:r>
        <w:rPr/>
        <w:t>laissés</w:t>
      </w:r>
      <w:r>
        <w:rPr>
          <w:spacing w:val="-14"/>
        </w:rPr>
        <w:t> </w:t>
      </w:r>
      <w:r>
        <w:rPr/>
        <w:t>de</w:t>
      </w:r>
      <w:r>
        <w:rPr>
          <w:spacing w:val="-9"/>
        </w:rPr>
        <w:t> </w:t>
      </w:r>
      <w:r>
        <w:rPr/>
        <w:t>manière</w:t>
      </w:r>
      <w:r>
        <w:rPr>
          <w:spacing w:val="-13"/>
        </w:rPr>
        <w:t> </w:t>
      </w:r>
      <w:r>
        <w:rPr/>
        <w:t>spontanée.</w:t>
      </w:r>
      <w:r>
        <w:rPr>
          <w:spacing w:val="-7"/>
        </w:rPr>
        <w:t> </w:t>
      </w:r>
      <w:r>
        <w:rPr/>
        <w:t>En</w:t>
      </w:r>
      <w:r>
        <w:rPr>
          <w:spacing w:val="-16"/>
        </w:rPr>
        <w:t> </w:t>
      </w:r>
      <w:r>
        <w:rPr/>
        <w:t>général,</w:t>
      </w:r>
      <w:r>
        <w:rPr>
          <w:spacing w:val="-6"/>
        </w:rPr>
        <w:t> </w:t>
      </w:r>
      <w:r>
        <w:rPr/>
        <w:t>ils</w:t>
      </w:r>
      <w:r>
        <w:rPr>
          <w:spacing w:val="-14"/>
        </w:rPr>
        <w:t> </w:t>
      </w:r>
      <w:r>
        <w:rPr/>
        <w:t>seront</w:t>
      </w:r>
      <w:r>
        <w:rPr>
          <w:spacing w:val="-8"/>
        </w:rPr>
        <w:t> </w:t>
      </w:r>
      <w:r>
        <w:rPr/>
        <w:t>plus</w:t>
      </w:r>
      <w:r>
        <w:rPr>
          <w:spacing w:val="-7"/>
        </w:rPr>
        <w:t> </w:t>
      </w:r>
      <w:r>
        <w:rPr/>
        <w:t>courts,</w:t>
      </w:r>
      <w:r>
        <w:rPr>
          <w:spacing w:val="-11"/>
        </w:rPr>
        <w:t> </w:t>
      </w:r>
      <w:r>
        <w:rPr/>
        <w:t>de</w:t>
      </w:r>
      <w:r>
        <w:rPr>
          <w:spacing w:val="-17"/>
        </w:rPr>
        <w:t> </w:t>
      </w:r>
      <w:r>
        <w:rPr/>
        <w:t>qualité inférieure et souvent plus critiques. Toutefois, </w:t>
      </w:r>
      <w:r>
        <w:rPr>
          <w:spacing w:val="-4"/>
        </w:rPr>
        <w:t>ils </w:t>
      </w:r>
      <w:r>
        <w:rPr>
          <w:spacing w:val="-3"/>
        </w:rPr>
        <w:t>ne </w:t>
      </w:r>
      <w:r>
        <w:rPr/>
        <w:t>doivent pas être ignorés. Les avis peuvent aussi</w:t>
      </w:r>
      <w:r>
        <w:rPr>
          <w:spacing w:val="-20"/>
        </w:rPr>
        <w:t> </w:t>
      </w:r>
      <w:r>
        <w:rPr/>
        <w:t>être</w:t>
      </w:r>
      <w:r>
        <w:rPr>
          <w:spacing w:val="-12"/>
        </w:rPr>
        <w:t> </w:t>
      </w:r>
      <w:r>
        <w:rPr/>
        <w:t>demandés,</w:t>
      </w:r>
      <w:r>
        <w:rPr>
          <w:spacing w:val="-9"/>
        </w:rPr>
        <w:t> </w:t>
      </w:r>
      <w:r>
        <w:rPr/>
        <w:t>suite</w:t>
      </w:r>
      <w:r>
        <w:rPr>
          <w:spacing w:val="-12"/>
        </w:rPr>
        <w:t> </w:t>
      </w:r>
      <w:r>
        <w:rPr/>
        <w:t>à</w:t>
      </w:r>
      <w:r>
        <w:rPr>
          <w:spacing w:val="-12"/>
        </w:rPr>
        <w:t> </w:t>
      </w:r>
      <w:r>
        <w:rPr/>
        <w:t>une</w:t>
      </w:r>
      <w:r>
        <w:rPr>
          <w:spacing w:val="-12"/>
        </w:rPr>
        <w:t> </w:t>
      </w:r>
      <w:r>
        <w:rPr/>
        <w:t>action</w:t>
      </w:r>
      <w:r>
        <w:rPr>
          <w:spacing w:val="-14"/>
        </w:rPr>
        <w:t> </w:t>
      </w:r>
      <w:r>
        <w:rPr/>
        <w:t>sur</w:t>
      </w:r>
      <w:r>
        <w:rPr>
          <w:spacing w:val="-10"/>
        </w:rPr>
        <w:t> </w:t>
      </w:r>
      <w:r>
        <w:rPr/>
        <w:t>un</w:t>
      </w:r>
      <w:r>
        <w:rPr>
          <w:spacing w:val="-14"/>
        </w:rPr>
        <w:t> </w:t>
      </w:r>
      <w:r>
        <w:rPr/>
        <w:t>site,</w:t>
      </w:r>
      <w:r>
        <w:rPr>
          <w:spacing w:val="-18"/>
        </w:rPr>
        <w:t> </w:t>
      </w:r>
      <w:r>
        <w:rPr/>
        <w:t>ou</w:t>
      </w:r>
      <w:r>
        <w:rPr>
          <w:spacing w:val="-5"/>
        </w:rPr>
        <w:t> </w:t>
      </w:r>
      <w:r>
        <w:rPr/>
        <w:t>après</w:t>
      </w:r>
      <w:r>
        <w:rPr>
          <w:spacing w:val="-13"/>
        </w:rPr>
        <w:t> </w:t>
      </w:r>
      <w:r>
        <w:rPr/>
        <w:t>un</w:t>
      </w:r>
      <w:r>
        <w:rPr>
          <w:spacing w:val="-15"/>
        </w:rPr>
        <w:t> </w:t>
      </w:r>
      <w:r>
        <w:rPr/>
        <w:t>échange</w:t>
      </w:r>
      <w:r>
        <w:rPr>
          <w:spacing w:val="-12"/>
        </w:rPr>
        <w:t> </w:t>
      </w:r>
      <w:r>
        <w:rPr/>
        <w:t>avec</w:t>
      </w:r>
      <w:r>
        <w:rPr>
          <w:spacing w:val="-7"/>
        </w:rPr>
        <w:t> </w:t>
      </w:r>
      <w:r>
        <w:rPr>
          <w:spacing w:val="-5"/>
        </w:rPr>
        <w:t>le</w:t>
      </w:r>
      <w:r>
        <w:rPr>
          <w:spacing w:val="-12"/>
        </w:rPr>
        <w:t> </w:t>
      </w:r>
      <w:r>
        <w:rPr/>
        <w:t>service</w:t>
      </w:r>
      <w:r>
        <w:rPr>
          <w:spacing w:val="-12"/>
        </w:rPr>
        <w:t> </w:t>
      </w:r>
      <w:r>
        <w:rPr/>
        <w:t>client.</w:t>
      </w:r>
      <w:r>
        <w:rPr>
          <w:spacing w:val="-9"/>
        </w:rPr>
        <w:t> </w:t>
      </w:r>
      <w:r>
        <w:rPr/>
        <w:t>Ceux- ci auront tendance à être plus élaborés et comporteront généralement un nombre plus élevé de commentaires positifs que </w:t>
      </w:r>
      <w:r>
        <w:rPr>
          <w:spacing w:val="-3"/>
        </w:rPr>
        <w:t>les </w:t>
      </w:r>
      <w:r>
        <w:rPr/>
        <w:t>avis</w:t>
      </w:r>
      <w:r>
        <w:rPr>
          <w:spacing w:val="10"/>
        </w:rPr>
        <w:t> </w:t>
      </w:r>
      <w:r>
        <w:rPr/>
        <w:t>spontanés.</w:t>
      </w:r>
    </w:p>
    <w:p>
      <w:pPr>
        <w:pStyle w:val="BodyText"/>
        <w:rPr>
          <w:sz w:val="26"/>
        </w:rPr>
      </w:pPr>
    </w:p>
    <w:p>
      <w:pPr>
        <w:pStyle w:val="BodyText"/>
        <w:rPr>
          <w:sz w:val="26"/>
        </w:rPr>
      </w:pPr>
    </w:p>
    <w:p>
      <w:pPr>
        <w:pStyle w:val="Heading5"/>
        <w:spacing w:before="151"/>
        <w:ind w:left="699" w:firstLine="0"/>
        <w:jc w:val="left"/>
      </w:pPr>
      <w:r>
        <w:rPr/>
        <w:t>Conclusion</w:t>
      </w:r>
    </w:p>
    <w:p>
      <w:pPr>
        <w:pStyle w:val="BodyText"/>
        <w:spacing w:before="9"/>
        <w:rPr>
          <w:b/>
        </w:rPr>
      </w:pPr>
    </w:p>
    <w:p>
      <w:pPr>
        <w:pStyle w:val="BodyText"/>
        <w:spacing w:line="360" w:lineRule="auto"/>
        <w:ind w:left="699" w:right="305" w:firstLine="360"/>
        <w:jc w:val="both"/>
      </w:pPr>
      <w:r>
        <w:rPr/>
        <w:t>Ce chapitre a permis de poser </w:t>
      </w:r>
      <w:r>
        <w:rPr>
          <w:spacing w:val="-4"/>
        </w:rPr>
        <w:t>les </w:t>
      </w:r>
      <w:r>
        <w:rPr/>
        <w:t>bases théoriques nécessaires pour comprendre </w:t>
      </w:r>
      <w:r>
        <w:rPr>
          <w:spacing w:val="-5"/>
        </w:rPr>
        <w:t>le </w:t>
      </w:r>
      <w:r>
        <w:rPr/>
        <w:t>lien entre les</w:t>
      </w:r>
      <w:r>
        <w:rPr>
          <w:spacing w:val="-8"/>
        </w:rPr>
        <w:t> </w:t>
      </w:r>
      <w:r>
        <w:rPr/>
        <w:t>solutions</w:t>
      </w:r>
      <w:r>
        <w:rPr>
          <w:spacing w:val="-8"/>
        </w:rPr>
        <w:t> </w:t>
      </w:r>
      <w:r>
        <w:rPr/>
        <w:t>de</w:t>
      </w:r>
      <w:r>
        <w:rPr>
          <w:spacing w:val="-7"/>
        </w:rPr>
        <w:t> </w:t>
      </w:r>
      <w:r>
        <w:rPr/>
        <w:t>paiement</w:t>
      </w:r>
      <w:r>
        <w:rPr>
          <w:spacing w:val="-1"/>
        </w:rPr>
        <w:t> </w:t>
      </w:r>
      <w:r>
        <w:rPr/>
        <w:t>digital</w:t>
      </w:r>
      <w:r>
        <w:rPr>
          <w:spacing w:val="-14"/>
        </w:rPr>
        <w:t> </w:t>
      </w:r>
      <w:r>
        <w:rPr/>
        <w:t>et</w:t>
      </w:r>
      <w:r>
        <w:rPr>
          <w:spacing w:val="4"/>
        </w:rPr>
        <w:t> </w:t>
      </w:r>
      <w:r>
        <w:rPr>
          <w:spacing w:val="-5"/>
        </w:rPr>
        <w:t>la</w:t>
      </w:r>
      <w:r>
        <w:rPr>
          <w:spacing w:val="-7"/>
        </w:rPr>
        <w:t> </w:t>
      </w:r>
      <w:r>
        <w:rPr/>
        <w:t>satisfaction</w:t>
      </w:r>
      <w:r>
        <w:rPr>
          <w:spacing w:val="-11"/>
        </w:rPr>
        <w:t> </w:t>
      </w:r>
      <w:r>
        <w:rPr/>
        <w:t>client.</w:t>
      </w:r>
      <w:r>
        <w:rPr>
          <w:spacing w:val="-4"/>
        </w:rPr>
        <w:t> </w:t>
      </w:r>
      <w:r>
        <w:rPr/>
        <w:t>Dans</w:t>
      </w:r>
      <w:r>
        <w:rPr>
          <w:spacing w:val="-7"/>
        </w:rPr>
        <w:t> </w:t>
      </w:r>
      <w:r>
        <w:rPr/>
        <w:t>un</w:t>
      </w:r>
      <w:r>
        <w:rPr>
          <w:spacing w:val="-11"/>
        </w:rPr>
        <w:t> </w:t>
      </w:r>
      <w:r>
        <w:rPr/>
        <w:t>premier</w:t>
      </w:r>
      <w:r>
        <w:rPr>
          <w:spacing w:val="-4"/>
        </w:rPr>
        <w:t> </w:t>
      </w:r>
      <w:r>
        <w:rPr/>
        <w:t>temps,</w:t>
      </w:r>
      <w:r>
        <w:rPr>
          <w:spacing w:val="-4"/>
        </w:rPr>
        <w:t> </w:t>
      </w:r>
      <w:r>
        <w:rPr/>
        <w:t>nous</w:t>
      </w:r>
      <w:r>
        <w:rPr>
          <w:spacing w:val="-8"/>
        </w:rPr>
        <w:t> </w:t>
      </w:r>
      <w:r>
        <w:rPr/>
        <w:t>avons</w:t>
      </w:r>
      <w:r>
        <w:rPr>
          <w:spacing w:val="-7"/>
        </w:rPr>
        <w:t> </w:t>
      </w:r>
      <w:r>
        <w:rPr/>
        <w:t>défini les paiements digitaux et présenté </w:t>
      </w:r>
      <w:r>
        <w:rPr>
          <w:spacing w:val="-3"/>
        </w:rPr>
        <w:t>leur </w:t>
      </w:r>
      <w:r>
        <w:rPr/>
        <w:t>évolution historique, en mettant en évidence les principaux avantages</w:t>
      </w:r>
      <w:r>
        <w:rPr>
          <w:spacing w:val="-13"/>
        </w:rPr>
        <w:t> </w:t>
      </w:r>
      <w:r>
        <w:rPr/>
        <w:t>qu’ils</w:t>
      </w:r>
      <w:r>
        <w:rPr>
          <w:spacing w:val="-12"/>
        </w:rPr>
        <w:t> </w:t>
      </w:r>
      <w:r>
        <w:rPr/>
        <w:t>offrent,</w:t>
      </w:r>
      <w:r>
        <w:rPr>
          <w:spacing w:val="-17"/>
        </w:rPr>
        <w:t> </w:t>
      </w:r>
      <w:r>
        <w:rPr/>
        <w:t>tels</w:t>
      </w:r>
      <w:r>
        <w:rPr>
          <w:spacing w:val="-12"/>
        </w:rPr>
        <w:t> </w:t>
      </w:r>
      <w:r>
        <w:rPr/>
        <w:t>que</w:t>
      </w:r>
      <w:r>
        <w:rPr>
          <w:spacing w:val="-11"/>
        </w:rPr>
        <w:t> </w:t>
      </w:r>
      <w:r>
        <w:rPr>
          <w:spacing w:val="-5"/>
        </w:rPr>
        <w:t>la</w:t>
      </w:r>
      <w:r>
        <w:rPr>
          <w:spacing w:val="-11"/>
        </w:rPr>
        <w:t> </w:t>
      </w:r>
      <w:r>
        <w:rPr/>
        <w:t>rapidité,</w:t>
      </w:r>
      <w:r>
        <w:rPr>
          <w:spacing w:val="-4"/>
        </w:rPr>
        <w:t> </w:t>
      </w:r>
      <w:r>
        <w:rPr>
          <w:spacing w:val="-5"/>
        </w:rPr>
        <w:t>la</w:t>
      </w:r>
      <w:r>
        <w:rPr>
          <w:spacing w:val="-11"/>
        </w:rPr>
        <w:t> </w:t>
      </w:r>
      <w:r>
        <w:rPr/>
        <w:t>praticité</w:t>
      </w:r>
      <w:r>
        <w:rPr>
          <w:spacing w:val="-11"/>
        </w:rPr>
        <w:t> </w:t>
      </w:r>
      <w:r>
        <w:rPr>
          <w:spacing w:val="-3"/>
        </w:rPr>
        <w:t>et</w:t>
      </w:r>
      <w:r>
        <w:rPr>
          <w:spacing w:val="-6"/>
        </w:rPr>
        <w:t> </w:t>
      </w:r>
      <w:r>
        <w:rPr>
          <w:spacing w:val="-5"/>
        </w:rPr>
        <w:t>la</w:t>
      </w:r>
      <w:r>
        <w:rPr>
          <w:spacing w:val="-11"/>
        </w:rPr>
        <w:t> </w:t>
      </w:r>
      <w:r>
        <w:rPr/>
        <w:t>sécurité.</w:t>
      </w:r>
      <w:r>
        <w:rPr>
          <w:spacing w:val="-8"/>
        </w:rPr>
        <w:t> </w:t>
      </w:r>
      <w:r>
        <w:rPr/>
        <w:t>Nous</w:t>
      </w:r>
      <w:r>
        <w:rPr>
          <w:spacing w:val="-12"/>
        </w:rPr>
        <w:t> </w:t>
      </w:r>
      <w:r>
        <w:rPr/>
        <w:t>avons</w:t>
      </w:r>
      <w:r>
        <w:rPr>
          <w:spacing w:val="-12"/>
        </w:rPr>
        <w:t> </w:t>
      </w:r>
      <w:r>
        <w:rPr/>
        <w:t>également</w:t>
      </w:r>
      <w:r>
        <w:rPr>
          <w:spacing w:val="-6"/>
        </w:rPr>
        <w:t> </w:t>
      </w:r>
      <w:r>
        <w:rPr/>
        <w:t>abordé leurs inconvénients, notamment </w:t>
      </w:r>
      <w:r>
        <w:rPr>
          <w:spacing w:val="-4"/>
        </w:rPr>
        <w:t>les </w:t>
      </w:r>
      <w:r>
        <w:rPr/>
        <w:t>risques liés à </w:t>
      </w:r>
      <w:r>
        <w:rPr>
          <w:spacing w:val="-5"/>
        </w:rPr>
        <w:t>la </w:t>
      </w:r>
      <w:r>
        <w:rPr/>
        <w:t>cybersécurité, </w:t>
      </w:r>
      <w:r>
        <w:rPr>
          <w:spacing w:val="-4"/>
        </w:rPr>
        <w:t>les </w:t>
      </w:r>
      <w:r>
        <w:rPr/>
        <w:t>frais de transaction, et l’exclusion de certaines catégories de </w:t>
      </w:r>
      <w:r>
        <w:rPr>
          <w:spacing w:val="-5"/>
        </w:rPr>
        <w:t>la</w:t>
      </w:r>
      <w:r>
        <w:rPr>
          <w:spacing w:val="1"/>
        </w:rPr>
        <w:t> </w:t>
      </w:r>
      <w:r>
        <w:rPr/>
        <w:t>population.</w:t>
      </w:r>
    </w:p>
    <w:p>
      <w:pPr>
        <w:pStyle w:val="BodyText"/>
        <w:spacing w:line="362" w:lineRule="auto" w:before="162"/>
        <w:ind w:left="699" w:right="323" w:firstLine="360"/>
        <w:jc w:val="both"/>
      </w:pPr>
      <w:r>
        <w:rPr/>
        <w:t>Nous avons ensuite présenté la situation du paiement digital en Algérie, ainsi que le cadre juridique qui encadre son utilisation, ce qui nous a permis de mieux situer le cas de BaridiMob dans le contexte national.</w:t>
      </w:r>
    </w:p>
    <w:p>
      <w:pPr>
        <w:pStyle w:val="BodyText"/>
        <w:spacing w:line="362" w:lineRule="auto" w:before="152"/>
        <w:ind w:left="699" w:right="320" w:firstLine="360"/>
        <w:jc w:val="both"/>
      </w:pPr>
      <w:r>
        <w:rPr/>
        <w:t>Dans un second temps, nous avons expliqué ce qu’est </w:t>
      </w:r>
      <w:r>
        <w:rPr>
          <w:spacing w:val="-3"/>
        </w:rPr>
        <w:t>la </w:t>
      </w:r>
      <w:r>
        <w:rPr/>
        <w:t>satisfaction client, pourquoi elle est importante pour </w:t>
      </w:r>
      <w:r>
        <w:rPr>
          <w:spacing w:val="-4"/>
        </w:rPr>
        <w:t>les </w:t>
      </w:r>
      <w:r>
        <w:rPr/>
        <w:t>entreprises, et quels sont </w:t>
      </w:r>
      <w:r>
        <w:rPr>
          <w:spacing w:val="-4"/>
        </w:rPr>
        <w:t>les </w:t>
      </w:r>
      <w:r>
        <w:rPr/>
        <w:t>principaux facteurs qui l’influencent. Nous avons aussi présenté les différentes méthodes utilisées pour mesurer cette satisfaction, qu’elles soient qualitatives ou quantitatives.</w:t>
      </w:r>
    </w:p>
    <w:p>
      <w:pPr>
        <w:pStyle w:val="BodyText"/>
        <w:spacing w:line="362" w:lineRule="auto" w:before="148"/>
        <w:ind w:left="699" w:right="318" w:firstLine="360"/>
        <w:jc w:val="both"/>
      </w:pPr>
      <w:r>
        <w:rPr/>
        <w:t>Ainsi,</w:t>
      </w:r>
      <w:r>
        <w:rPr>
          <w:spacing w:val="-10"/>
        </w:rPr>
        <w:t> </w:t>
      </w:r>
      <w:r>
        <w:rPr/>
        <w:t>ce</w:t>
      </w:r>
      <w:r>
        <w:rPr>
          <w:spacing w:val="-13"/>
        </w:rPr>
        <w:t> </w:t>
      </w:r>
      <w:r>
        <w:rPr/>
        <w:t>chapitre</w:t>
      </w:r>
      <w:r>
        <w:rPr>
          <w:spacing w:val="-8"/>
        </w:rPr>
        <w:t> </w:t>
      </w:r>
      <w:r>
        <w:rPr/>
        <w:t>fournit</w:t>
      </w:r>
      <w:r>
        <w:rPr>
          <w:spacing w:val="-7"/>
        </w:rPr>
        <w:t> </w:t>
      </w:r>
      <w:r>
        <w:rPr/>
        <w:t>un</w:t>
      </w:r>
      <w:r>
        <w:rPr>
          <w:spacing w:val="-15"/>
        </w:rPr>
        <w:t> </w:t>
      </w:r>
      <w:r>
        <w:rPr/>
        <w:t>cadre</w:t>
      </w:r>
      <w:r>
        <w:rPr>
          <w:spacing w:val="-13"/>
        </w:rPr>
        <w:t> </w:t>
      </w:r>
      <w:r>
        <w:rPr/>
        <w:t>de</w:t>
      </w:r>
      <w:r>
        <w:rPr>
          <w:spacing w:val="-13"/>
        </w:rPr>
        <w:t> </w:t>
      </w:r>
      <w:r>
        <w:rPr/>
        <w:t>référence</w:t>
      </w:r>
      <w:r>
        <w:rPr>
          <w:spacing w:val="-12"/>
        </w:rPr>
        <w:t> </w:t>
      </w:r>
      <w:r>
        <w:rPr/>
        <w:t>utile</w:t>
      </w:r>
      <w:r>
        <w:rPr>
          <w:spacing w:val="-12"/>
        </w:rPr>
        <w:t> </w:t>
      </w:r>
      <w:r>
        <w:rPr/>
        <w:t>pour</w:t>
      </w:r>
      <w:r>
        <w:rPr>
          <w:spacing w:val="-10"/>
        </w:rPr>
        <w:t> </w:t>
      </w:r>
      <w:r>
        <w:rPr/>
        <w:t>mieux</w:t>
      </w:r>
      <w:r>
        <w:rPr>
          <w:spacing w:val="-15"/>
        </w:rPr>
        <w:t> </w:t>
      </w:r>
      <w:r>
        <w:rPr/>
        <w:t>analyser</w:t>
      </w:r>
      <w:r>
        <w:rPr>
          <w:spacing w:val="2"/>
        </w:rPr>
        <w:t> </w:t>
      </w:r>
      <w:r>
        <w:rPr>
          <w:spacing w:val="-5"/>
        </w:rPr>
        <w:t>le</w:t>
      </w:r>
      <w:r>
        <w:rPr>
          <w:spacing w:val="-12"/>
        </w:rPr>
        <w:t> </w:t>
      </w:r>
      <w:r>
        <w:rPr/>
        <w:t>service</w:t>
      </w:r>
      <w:r>
        <w:rPr>
          <w:spacing w:val="-13"/>
        </w:rPr>
        <w:t> </w:t>
      </w:r>
      <w:r>
        <w:rPr/>
        <w:t>BaridiMob. </w:t>
      </w:r>
      <w:r>
        <w:rPr>
          <w:spacing w:val="3"/>
        </w:rPr>
        <w:t>Il</w:t>
      </w:r>
      <w:r>
        <w:rPr>
          <w:spacing w:val="-21"/>
        </w:rPr>
        <w:t> </w:t>
      </w:r>
      <w:r>
        <w:rPr/>
        <w:t>nous</w:t>
      </w:r>
      <w:r>
        <w:rPr>
          <w:spacing w:val="-14"/>
        </w:rPr>
        <w:t> </w:t>
      </w:r>
      <w:r>
        <w:rPr/>
        <w:t>permettra,</w:t>
      </w:r>
      <w:r>
        <w:rPr>
          <w:spacing w:val="-10"/>
        </w:rPr>
        <w:t> </w:t>
      </w:r>
      <w:r>
        <w:rPr/>
        <w:t>dans</w:t>
      </w:r>
      <w:r>
        <w:rPr>
          <w:spacing w:val="-14"/>
        </w:rPr>
        <w:t> </w:t>
      </w:r>
      <w:r>
        <w:rPr>
          <w:spacing w:val="-5"/>
        </w:rPr>
        <w:t>le</w:t>
      </w:r>
      <w:r>
        <w:rPr>
          <w:spacing w:val="-13"/>
        </w:rPr>
        <w:t> </w:t>
      </w:r>
      <w:r>
        <w:rPr/>
        <w:t>chapitre</w:t>
      </w:r>
      <w:r>
        <w:rPr>
          <w:spacing w:val="-13"/>
        </w:rPr>
        <w:t> </w:t>
      </w:r>
      <w:r>
        <w:rPr/>
        <w:t>suivant,</w:t>
      </w:r>
      <w:r>
        <w:rPr>
          <w:spacing w:val="-11"/>
        </w:rPr>
        <w:t> </w:t>
      </w:r>
      <w:r>
        <w:rPr/>
        <w:t>de</w:t>
      </w:r>
      <w:r>
        <w:rPr>
          <w:spacing w:val="-17"/>
        </w:rPr>
        <w:t> </w:t>
      </w:r>
      <w:r>
        <w:rPr/>
        <w:t>comprendre</w:t>
      </w:r>
      <w:r>
        <w:rPr>
          <w:spacing w:val="-13"/>
        </w:rPr>
        <w:t> </w:t>
      </w:r>
      <w:r>
        <w:rPr/>
        <w:t>comment</w:t>
      </w:r>
      <w:r>
        <w:rPr>
          <w:spacing w:val="-7"/>
        </w:rPr>
        <w:t> </w:t>
      </w:r>
      <w:r>
        <w:rPr>
          <w:spacing w:val="-3"/>
        </w:rPr>
        <w:t>les</w:t>
      </w:r>
      <w:r>
        <w:rPr>
          <w:spacing w:val="-14"/>
        </w:rPr>
        <w:t> </w:t>
      </w:r>
      <w:r>
        <w:rPr/>
        <w:t>utilisateurs</w:t>
      </w:r>
      <w:r>
        <w:rPr>
          <w:spacing w:val="-14"/>
        </w:rPr>
        <w:t> </w:t>
      </w:r>
      <w:r>
        <w:rPr/>
        <w:t>perçoivent</w:t>
      </w:r>
      <w:r>
        <w:rPr>
          <w:spacing w:val="-8"/>
        </w:rPr>
        <w:t> </w:t>
      </w:r>
      <w:r>
        <w:rPr/>
        <w:t>cette solution de paiement </w:t>
      </w:r>
      <w:r>
        <w:rPr>
          <w:spacing w:val="-3"/>
        </w:rPr>
        <w:t>et quels </w:t>
      </w:r>
      <w:r>
        <w:rPr/>
        <w:t>sont les éléments qui influencent </w:t>
      </w:r>
      <w:r>
        <w:rPr>
          <w:spacing w:val="-3"/>
        </w:rPr>
        <w:t>leur </w:t>
      </w:r>
      <w:r>
        <w:rPr/>
        <w:t>niveau de</w:t>
      </w:r>
      <w:r>
        <w:rPr>
          <w:spacing w:val="19"/>
        </w:rPr>
        <w:t> </w:t>
      </w:r>
      <w:r>
        <w:rPr/>
        <w:t>satisfaction.</w:t>
      </w:r>
    </w:p>
    <w:p>
      <w:pPr>
        <w:spacing w:after="0" w:line="362" w:lineRule="auto"/>
        <w:jc w:val="both"/>
        <w:sectPr>
          <w:pgSz w:w="12240" w:h="15840"/>
          <w:pgMar w:header="723" w:footer="850" w:top="1080" w:bottom="1040" w:left="1000" w:right="820"/>
        </w:sectPr>
      </w:pPr>
    </w:p>
    <w:p>
      <w:pPr>
        <w:pStyle w:val="BodyText"/>
        <w:spacing w:before="4"/>
        <w:rPr>
          <w:sz w:val="27"/>
        </w:rPr>
      </w:pPr>
    </w:p>
    <w:p>
      <w:pPr>
        <w:pStyle w:val="Heading2"/>
        <w:spacing w:line="360" w:lineRule="auto"/>
        <w:ind w:left="1098" w:right="318"/>
        <w:jc w:val="both"/>
      </w:pPr>
      <w:bookmarkStart w:name="CHAPITRE 02 : Amélioration de BaridiMob " w:id="113"/>
      <w:bookmarkEnd w:id="113"/>
      <w:r>
        <w:rPr>
          <w:b w:val="0"/>
        </w:rPr>
      </w:r>
      <w:bookmarkStart w:name="_bookmark11" w:id="114"/>
      <w:bookmarkEnd w:id="114"/>
      <w:r>
        <w:rPr>
          <w:b w:val="0"/>
        </w:rPr>
      </w:r>
      <w:r>
        <w:rPr/>
        <w:t>CHAPITRE 02 : Amélioration de BaridiMob afin d’optimiser l’expérience client chez d’Algérie poste</w:t>
      </w:r>
    </w:p>
    <w:p>
      <w:pPr>
        <w:pStyle w:val="BodyText"/>
        <w:spacing w:line="360" w:lineRule="auto" w:before="234"/>
        <w:ind w:left="699" w:right="312" w:firstLine="542"/>
        <w:jc w:val="both"/>
      </w:pPr>
      <w:r>
        <w:rPr/>
        <w:t>Dans ce chapitre, nous procédons à une analyse approfondie du service BaridiMob, solution de paiement mobile proposée par Algérie Poste, en nous appuyant sur les résultats d’une enquête menée auprès des utilisateurs. L’objectif principal est de comprendre les perceptions, les attentes et les difficultés rencontrées par les usagers, afin de formuler des pistes d’amélioration concrètes visant à optimiser l’expérience client.</w:t>
      </w:r>
    </w:p>
    <w:p>
      <w:pPr>
        <w:pStyle w:val="BodyText"/>
        <w:spacing w:line="362" w:lineRule="auto" w:before="162"/>
        <w:ind w:left="699" w:right="312" w:firstLine="360"/>
        <w:jc w:val="both"/>
      </w:pPr>
      <w:r>
        <w:rPr/>
        <w:t>La</w:t>
      </w:r>
      <w:r>
        <w:rPr>
          <w:spacing w:val="-14"/>
        </w:rPr>
        <w:t> </w:t>
      </w:r>
      <w:r>
        <w:rPr/>
        <w:t>première</w:t>
      </w:r>
      <w:r>
        <w:rPr>
          <w:spacing w:val="-13"/>
        </w:rPr>
        <w:t> </w:t>
      </w:r>
      <w:r>
        <w:rPr/>
        <w:t>étape</w:t>
      </w:r>
      <w:r>
        <w:rPr>
          <w:spacing w:val="-13"/>
        </w:rPr>
        <w:t> </w:t>
      </w:r>
      <w:r>
        <w:rPr/>
        <w:t>consiste</w:t>
      </w:r>
      <w:r>
        <w:rPr>
          <w:spacing w:val="-13"/>
        </w:rPr>
        <w:t> </w:t>
      </w:r>
      <w:r>
        <w:rPr/>
        <w:t>à</w:t>
      </w:r>
      <w:r>
        <w:rPr>
          <w:spacing w:val="-14"/>
        </w:rPr>
        <w:t> </w:t>
      </w:r>
      <w:r>
        <w:rPr/>
        <w:t>présenter</w:t>
      </w:r>
      <w:r>
        <w:rPr>
          <w:spacing w:val="-10"/>
        </w:rPr>
        <w:t> </w:t>
      </w:r>
      <w:r>
        <w:rPr/>
        <w:t>brièvement</w:t>
      </w:r>
      <w:r>
        <w:rPr>
          <w:spacing w:val="-3"/>
        </w:rPr>
        <w:t> </w:t>
      </w:r>
      <w:r>
        <w:rPr/>
        <w:t>l’entreprise</w:t>
      </w:r>
      <w:r>
        <w:rPr>
          <w:spacing w:val="-9"/>
        </w:rPr>
        <w:t> </w:t>
      </w:r>
      <w:r>
        <w:rPr/>
        <w:t>Algérie</w:t>
      </w:r>
      <w:r>
        <w:rPr>
          <w:spacing w:val="-13"/>
        </w:rPr>
        <w:t> </w:t>
      </w:r>
      <w:r>
        <w:rPr/>
        <w:t>Poste,</w:t>
      </w:r>
      <w:r>
        <w:rPr>
          <w:spacing w:val="-14"/>
        </w:rPr>
        <w:t> </w:t>
      </w:r>
      <w:r>
        <w:rPr/>
        <w:t>ses</w:t>
      </w:r>
      <w:r>
        <w:rPr>
          <w:spacing w:val="-10"/>
        </w:rPr>
        <w:t> </w:t>
      </w:r>
      <w:r>
        <w:rPr/>
        <w:t>missions</w:t>
      </w:r>
      <w:r>
        <w:rPr>
          <w:spacing w:val="-13"/>
        </w:rPr>
        <w:t> </w:t>
      </w:r>
      <w:r>
        <w:rPr/>
        <w:t>ainsi que l’évolution de ses services numériques, en particulier </w:t>
      </w:r>
      <w:r>
        <w:rPr>
          <w:spacing w:val="-5"/>
        </w:rPr>
        <w:t>la </w:t>
      </w:r>
      <w:r>
        <w:rPr/>
        <w:t>mise en place de l’application BaridiMob.</w:t>
      </w:r>
    </w:p>
    <w:p>
      <w:pPr>
        <w:pStyle w:val="BodyText"/>
        <w:spacing w:line="360" w:lineRule="auto" w:before="152"/>
        <w:ind w:left="699" w:right="319" w:firstLine="360"/>
        <w:jc w:val="both"/>
      </w:pPr>
      <w:r>
        <w:rPr/>
        <w:t>Dans un second temps, l’analyse se penche sur l’utilisation de BaridiMob : ses fonctionnalités principales, ses avantages perçus mais aussi les problèmes techniques signalés par les utilisateurs. Cette évaluation repose sur les données recueillies à travers un questionnaire ciblant différents aspects de l’application, tels que la sécurité, la fiabilité, la satisfaction globale, la réactivité du service client, ou encore les bugs et indisponibilités du service.</w:t>
      </w:r>
    </w:p>
    <w:p>
      <w:pPr>
        <w:pStyle w:val="BodyText"/>
        <w:spacing w:before="163"/>
        <w:ind w:left="1060"/>
        <w:jc w:val="both"/>
      </w:pPr>
      <w:r>
        <w:rPr/>
        <w:t>Ce chapitre est structuré en deux sections complémentaires.</w:t>
      </w:r>
    </w:p>
    <w:p>
      <w:pPr>
        <w:pStyle w:val="BodyText"/>
        <w:spacing w:before="8"/>
        <w:rPr>
          <w:sz w:val="25"/>
        </w:rPr>
      </w:pPr>
    </w:p>
    <w:p>
      <w:pPr>
        <w:pStyle w:val="BodyText"/>
        <w:spacing w:line="362" w:lineRule="auto"/>
        <w:ind w:left="699" w:right="320" w:firstLine="360"/>
        <w:jc w:val="both"/>
      </w:pPr>
      <w:r>
        <w:rPr/>
        <w:t>La première section est consacrée à la présentation détaillée de BaridiMob, incluant ses services, ses caractéristiques techniques et ses apports pour les clients.</w:t>
      </w:r>
    </w:p>
    <w:p>
      <w:pPr>
        <w:pStyle w:val="BodyText"/>
        <w:spacing w:line="360" w:lineRule="auto" w:before="156"/>
        <w:ind w:left="699" w:right="313" w:firstLine="360"/>
        <w:jc w:val="both"/>
      </w:pPr>
      <w:r>
        <w:rPr/>
        <w:t>La seconde section propose une analyse critique des résultats du questionnaire. Elle met en évidence les forces du service, mais aussi les axes d’amélioration, en se fondant sur les retours d’expérience des utilisateurs. Elle se conclut par des recommandations concrètes en vue d’optimiser la qualité du service et renforcer la satisfaction des usagers.</w:t>
      </w:r>
    </w:p>
    <w:p>
      <w:pPr>
        <w:spacing w:after="0" w:line="360" w:lineRule="auto"/>
        <w:jc w:val="both"/>
        <w:sectPr>
          <w:headerReference w:type="default" r:id="rId40"/>
          <w:headerReference w:type="even" r:id="rId41"/>
          <w:footerReference w:type="default" r:id="rId42"/>
          <w:footerReference w:type="even" r:id="rId43"/>
          <w:pgSz w:w="12240" w:h="15840"/>
          <w:pgMar w:header="723" w:footer="850" w:top="1080" w:bottom="1040" w:left="1000" w:right="820"/>
          <w:pgNumType w:start="23"/>
        </w:sectPr>
      </w:pPr>
    </w:p>
    <w:p>
      <w:pPr>
        <w:pStyle w:val="BodyText"/>
        <w:rPr>
          <w:sz w:val="20"/>
        </w:rPr>
      </w:pPr>
    </w:p>
    <w:p>
      <w:pPr>
        <w:pStyle w:val="BodyText"/>
        <w:spacing w:before="1"/>
      </w:pPr>
    </w:p>
    <w:p>
      <w:pPr>
        <w:pStyle w:val="Heading3"/>
        <w:ind w:left="1780"/>
        <w:jc w:val="left"/>
      </w:pPr>
      <w:bookmarkStart w:name="Section01 : BaridiMob : un acteur clé de" w:id="115"/>
      <w:bookmarkEnd w:id="115"/>
      <w:r>
        <w:rPr>
          <w:b w:val="0"/>
        </w:rPr>
      </w:r>
      <w:bookmarkStart w:name="_bookmark12" w:id="116"/>
      <w:bookmarkEnd w:id="116"/>
      <w:r>
        <w:rPr>
          <w:b w:val="0"/>
        </w:rPr>
      </w:r>
      <w:r>
        <w:rPr/>
        <w:t>Section01 : BaridiMob : un acteur clé des paiements en Algérie</w:t>
      </w:r>
    </w:p>
    <w:p>
      <w:pPr>
        <w:pStyle w:val="BodyText"/>
        <w:spacing w:before="6"/>
        <w:rPr>
          <w:b/>
          <w:sz w:val="34"/>
        </w:rPr>
      </w:pPr>
    </w:p>
    <w:p>
      <w:pPr>
        <w:pStyle w:val="BodyText"/>
        <w:spacing w:line="362" w:lineRule="auto"/>
        <w:ind w:left="699" w:right="318" w:firstLine="360"/>
        <w:jc w:val="both"/>
      </w:pPr>
      <w:r>
        <w:rPr/>
        <w:t>Cette section présente l’organisme Algérie Poste, </w:t>
      </w:r>
      <w:r>
        <w:rPr>
          <w:spacing w:val="-3"/>
        </w:rPr>
        <w:t>ses </w:t>
      </w:r>
      <w:r>
        <w:rPr/>
        <w:t>missions, ainsi que </w:t>
      </w:r>
      <w:r>
        <w:rPr>
          <w:spacing w:val="-5"/>
        </w:rPr>
        <w:t>le </w:t>
      </w:r>
      <w:r>
        <w:rPr/>
        <w:t>fonctionnement de BaridiMob, ses services et ses fonctionnalités Cette partie permet de comprendre </w:t>
      </w:r>
      <w:r>
        <w:rPr>
          <w:spacing w:val="-3"/>
        </w:rPr>
        <w:t>le </w:t>
      </w:r>
      <w:r>
        <w:rPr/>
        <w:t>contexte d’utilisation de l’application et les enjeux qu’elle</w:t>
      </w:r>
      <w:r>
        <w:rPr>
          <w:spacing w:val="1"/>
        </w:rPr>
        <w:t> </w:t>
      </w:r>
      <w:r>
        <w:rPr/>
        <w:t>confronte.</w:t>
      </w:r>
    </w:p>
    <w:p>
      <w:pPr>
        <w:pStyle w:val="Heading5"/>
        <w:numPr>
          <w:ilvl w:val="0"/>
          <w:numId w:val="13"/>
        </w:numPr>
        <w:tabs>
          <w:tab w:pos="1315" w:val="left" w:leader="none"/>
        </w:tabs>
        <w:spacing w:line="240" w:lineRule="auto" w:before="156" w:after="0"/>
        <w:ind w:left="1314" w:right="0" w:hanging="433"/>
        <w:jc w:val="both"/>
      </w:pPr>
      <w:bookmarkStart w:name="1. Présentation générale d’Algérie Poste" w:id="117"/>
      <w:bookmarkEnd w:id="117"/>
      <w:r>
        <w:rPr>
          <w:b w:val="0"/>
        </w:rPr>
      </w:r>
      <w:bookmarkStart w:name="1. Présentation générale d’Algérie Poste" w:id="118"/>
      <w:bookmarkEnd w:id="118"/>
      <w:r>
        <w:rPr/>
        <w:t>P</w:t>
      </w:r>
      <w:r>
        <w:rPr/>
        <w:t>résentation générale d’Algérie</w:t>
      </w:r>
      <w:r>
        <w:rPr>
          <w:spacing w:val="-19"/>
        </w:rPr>
        <w:t> </w:t>
      </w:r>
      <w:r>
        <w:rPr/>
        <w:t>Poste</w:t>
      </w:r>
    </w:p>
    <w:p>
      <w:pPr>
        <w:pStyle w:val="BodyText"/>
        <w:spacing w:before="6"/>
        <w:rPr>
          <w:b/>
          <w:sz w:val="26"/>
        </w:rPr>
      </w:pPr>
    </w:p>
    <w:p>
      <w:pPr>
        <w:pStyle w:val="ListParagraph"/>
        <w:numPr>
          <w:ilvl w:val="1"/>
          <w:numId w:val="13"/>
        </w:numPr>
        <w:tabs>
          <w:tab w:pos="1421" w:val="left" w:leader="none"/>
        </w:tabs>
        <w:spacing w:line="240" w:lineRule="auto" w:before="1" w:after="0"/>
        <w:ind w:left="1420" w:right="0" w:hanging="361"/>
        <w:jc w:val="left"/>
        <w:rPr>
          <w:b/>
          <w:sz w:val="24"/>
        </w:rPr>
      </w:pPr>
      <w:bookmarkStart w:name="1.1 Historique d’Algérie poste" w:id="119"/>
      <w:bookmarkEnd w:id="119"/>
      <w:r>
        <w:rPr/>
      </w:r>
      <w:bookmarkStart w:name="1.1 Historique d’Algérie poste" w:id="120"/>
      <w:bookmarkEnd w:id="120"/>
      <w:r>
        <w:rPr>
          <w:b/>
          <w:sz w:val="24"/>
        </w:rPr>
        <w:t>Hi</w:t>
      </w:r>
      <w:r>
        <w:rPr>
          <w:b/>
          <w:sz w:val="24"/>
        </w:rPr>
        <w:t>storique d’Algérie</w:t>
      </w:r>
      <w:r>
        <w:rPr>
          <w:b/>
          <w:spacing w:val="1"/>
          <w:sz w:val="24"/>
        </w:rPr>
        <w:t> </w:t>
      </w:r>
      <w:r>
        <w:rPr>
          <w:b/>
          <w:sz w:val="24"/>
        </w:rPr>
        <w:t>poste</w:t>
      </w:r>
    </w:p>
    <w:p>
      <w:pPr>
        <w:pStyle w:val="BodyText"/>
        <w:spacing w:before="6"/>
        <w:rPr>
          <w:b/>
          <w:sz w:val="23"/>
        </w:rPr>
      </w:pPr>
    </w:p>
    <w:p>
      <w:pPr>
        <w:pStyle w:val="BodyText"/>
        <w:spacing w:line="362" w:lineRule="auto"/>
        <w:ind w:left="699" w:right="322" w:firstLine="360"/>
        <w:jc w:val="both"/>
      </w:pPr>
      <w:r>
        <w:rPr/>
        <w:t>En Algérie, à l’époque de </w:t>
      </w:r>
      <w:r>
        <w:rPr>
          <w:spacing w:val="-5"/>
        </w:rPr>
        <w:t>la </w:t>
      </w:r>
      <w:r>
        <w:rPr/>
        <w:t>colonisation, </w:t>
      </w:r>
      <w:r>
        <w:rPr>
          <w:spacing w:val="-5"/>
        </w:rPr>
        <w:t>le </w:t>
      </w:r>
      <w:r>
        <w:rPr/>
        <w:t>rôle de </w:t>
      </w:r>
      <w:r>
        <w:rPr>
          <w:spacing w:val="-5"/>
        </w:rPr>
        <w:t>la </w:t>
      </w:r>
      <w:r>
        <w:rPr/>
        <w:t>poste était de garder </w:t>
      </w:r>
      <w:r>
        <w:rPr>
          <w:spacing w:val="-4"/>
        </w:rPr>
        <w:t>les </w:t>
      </w:r>
      <w:r>
        <w:rPr/>
        <w:t>liens avec </w:t>
      </w:r>
      <w:r>
        <w:rPr>
          <w:spacing w:val="-3"/>
        </w:rPr>
        <w:t>la </w:t>
      </w:r>
      <w:r>
        <w:rPr/>
        <w:t>métropole en obtenant </w:t>
      </w:r>
      <w:r>
        <w:rPr>
          <w:spacing w:val="-3"/>
        </w:rPr>
        <w:t>les </w:t>
      </w:r>
      <w:r>
        <w:rPr/>
        <w:t>mandats, </w:t>
      </w:r>
      <w:r>
        <w:rPr>
          <w:spacing w:val="-3"/>
        </w:rPr>
        <w:t>les </w:t>
      </w:r>
      <w:r>
        <w:rPr/>
        <w:t>chèques postaux, </w:t>
      </w:r>
      <w:r>
        <w:rPr>
          <w:spacing w:val="-4"/>
        </w:rPr>
        <w:t>les </w:t>
      </w:r>
      <w:r>
        <w:rPr/>
        <w:t>abonnements aux journaux, </w:t>
      </w:r>
      <w:r>
        <w:rPr>
          <w:spacing w:val="-3"/>
        </w:rPr>
        <w:t>la </w:t>
      </w:r>
      <w:r>
        <w:rPr/>
        <w:t>vente de</w:t>
      </w:r>
      <w:r>
        <w:rPr>
          <w:spacing w:val="-7"/>
        </w:rPr>
        <w:t> </w:t>
      </w:r>
      <w:r>
        <w:rPr/>
        <w:t>timbres, </w:t>
      </w:r>
      <w:r>
        <w:rPr>
          <w:spacing w:val="-3"/>
        </w:rPr>
        <w:t>le</w:t>
      </w:r>
      <w:r>
        <w:rPr>
          <w:spacing w:val="-7"/>
        </w:rPr>
        <w:t> </w:t>
      </w:r>
      <w:r>
        <w:rPr/>
        <w:t>dépôt</w:t>
      </w:r>
      <w:r>
        <w:rPr>
          <w:spacing w:val="-5"/>
        </w:rPr>
        <w:t> </w:t>
      </w:r>
      <w:r>
        <w:rPr/>
        <w:t>d'argent</w:t>
      </w:r>
      <w:r>
        <w:rPr>
          <w:spacing w:val="-1"/>
        </w:rPr>
        <w:t> </w:t>
      </w:r>
      <w:r>
        <w:rPr/>
        <w:t>dans</w:t>
      </w:r>
      <w:r>
        <w:rPr>
          <w:spacing w:val="-3"/>
        </w:rPr>
        <w:t> </w:t>
      </w:r>
      <w:r>
        <w:rPr/>
        <w:t>les</w:t>
      </w:r>
      <w:r>
        <w:rPr>
          <w:spacing w:val="-8"/>
        </w:rPr>
        <w:t> </w:t>
      </w:r>
      <w:r>
        <w:rPr/>
        <w:t>caisses</w:t>
      </w:r>
      <w:r>
        <w:rPr>
          <w:spacing w:val="-8"/>
        </w:rPr>
        <w:t> </w:t>
      </w:r>
      <w:r>
        <w:rPr/>
        <w:t>d'épargne,</w:t>
      </w:r>
      <w:r>
        <w:rPr>
          <w:spacing w:val="1"/>
        </w:rPr>
        <w:t> </w:t>
      </w:r>
      <w:r>
        <w:rPr>
          <w:spacing w:val="-3"/>
        </w:rPr>
        <w:t>le</w:t>
      </w:r>
      <w:r>
        <w:rPr>
          <w:spacing w:val="-7"/>
        </w:rPr>
        <w:t> </w:t>
      </w:r>
      <w:r>
        <w:rPr/>
        <w:t>paiement</w:t>
      </w:r>
      <w:r>
        <w:rPr>
          <w:spacing w:val="-1"/>
        </w:rPr>
        <w:t> </w:t>
      </w:r>
      <w:r>
        <w:rPr/>
        <w:t>des</w:t>
      </w:r>
      <w:r>
        <w:rPr>
          <w:spacing w:val="-8"/>
        </w:rPr>
        <w:t> </w:t>
      </w:r>
      <w:r>
        <w:rPr/>
        <w:t>pensions,</w:t>
      </w:r>
      <w:r>
        <w:rPr>
          <w:spacing w:val="-4"/>
        </w:rPr>
        <w:t> </w:t>
      </w:r>
      <w:r>
        <w:rPr/>
        <w:t>des</w:t>
      </w:r>
      <w:r>
        <w:rPr>
          <w:spacing w:val="-8"/>
        </w:rPr>
        <w:t> </w:t>
      </w:r>
      <w:r>
        <w:rPr/>
        <w:t>enseignants, des employés municipaux et salaires des départements de l'administration</w:t>
      </w:r>
      <w:r>
        <w:rPr>
          <w:spacing w:val="-2"/>
        </w:rPr>
        <w:t> </w:t>
      </w:r>
      <w:r>
        <w:rPr/>
        <w:t>publique</w:t>
      </w:r>
    </w:p>
    <w:p>
      <w:pPr>
        <w:pStyle w:val="BodyText"/>
        <w:spacing w:line="362" w:lineRule="auto" w:before="153"/>
        <w:ind w:left="699" w:right="316" w:firstLine="360"/>
        <w:jc w:val="both"/>
      </w:pPr>
      <w:r>
        <w:rPr/>
        <w:t>Sous l’appellation officielle de « Poste, Télégraphe &amp; Téléphone » gardée bien après la souveraineté, tout le monde a choisi l’acronyme constitué des trois initiales « PTT », qui avec le temps allait être dénommer affectueusement et avec humour par le peuple de : « Petit Travail Tranquille ».</w:t>
      </w:r>
    </w:p>
    <w:p>
      <w:pPr>
        <w:pStyle w:val="BodyText"/>
        <w:spacing w:line="357" w:lineRule="auto" w:before="148"/>
        <w:ind w:left="699" w:right="317" w:firstLine="360"/>
        <w:jc w:val="both"/>
        <w:rPr>
          <w:sz w:val="16"/>
        </w:rPr>
      </w:pPr>
      <w:r>
        <w:rPr/>
        <w:t>Le</w:t>
      </w:r>
      <w:r>
        <w:rPr>
          <w:spacing w:val="-13"/>
        </w:rPr>
        <w:t> </w:t>
      </w:r>
      <w:r>
        <w:rPr/>
        <w:t>départ</w:t>
      </w:r>
      <w:r>
        <w:rPr>
          <w:spacing w:val="-8"/>
        </w:rPr>
        <w:t> </w:t>
      </w:r>
      <w:r>
        <w:rPr/>
        <w:t>d’un</w:t>
      </w:r>
      <w:r>
        <w:rPr>
          <w:spacing w:val="-15"/>
        </w:rPr>
        <w:t> </w:t>
      </w:r>
      <w:r>
        <w:rPr/>
        <w:t>grand</w:t>
      </w:r>
      <w:r>
        <w:rPr>
          <w:spacing w:val="-12"/>
        </w:rPr>
        <w:t> </w:t>
      </w:r>
      <w:r>
        <w:rPr/>
        <w:t>nombre</w:t>
      </w:r>
      <w:r>
        <w:rPr>
          <w:spacing w:val="-13"/>
        </w:rPr>
        <w:t> </w:t>
      </w:r>
      <w:r>
        <w:rPr/>
        <w:t>de</w:t>
      </w:r>
      <w:r>
        <w:rPr>
          <w:spacing w:val="-13"/>
        </w:rPr>
        <w:t> </w:t>
      </w:r>
      <w:r>
        <w:rPr/>
        <w:t>postiers</w:t>
      </w:r>
      <w:r>
        <w:rPr>
          <w:spacing w:val="-9"/>
        </w:rPr>
        <w:t> </w:t>
      </w:r>
      <w:r>
        <w:rPr/>
        <w:t>français</w:t>
      </w:r>
      <w:r>
        <w:rPr>
          <w:spacing w:val="-9"/>
        </w:rPr>
        <w:t> </w:t>
      </w:r>
      <w:r>
        <w:rPr/>
        <w:t>laisse</w:t>
      </w:r>
      <w:r>
        <w:rPr>
          <w:spacing w:val="-13"/>
        </w:rPr>
        <w:t> </w:t>
      </w:r>
      <w:r>
        <w:rPr/>
        <w:t>un</w:t>
      </w:r>
      <w:r>
        <w:rPr>
          <w:spacing w:val="-15"/>
        </w:rPr>
        <w:t> </w:t>
      </w:r>
      <w:r>
        <w:rPr/>
        <w:t>grand</w:t>
      </w:r>
      <w:r>
        <w:rPr>
          <w:spacing w:val="-12"/>
        </w:rPr>
        <w:t> </w:t>
      </w:r>
      <w:r>
        <w:rPr/>
        <w:t>vide</w:t>
      </w:r>
      <w:r>
        <w:rPr>
          <w:spacing w:val="-13"/>
        </w:rPr>
        <w:t> </w:t>
      </w:r>
      <w:r>
        <w:rPr/>
        <w:t>dans</w:t>
      </w:r>
      <w:r>
        <w:rPr>
          <w:spacing w:val="-9"/>
        </w:rPr>
        <w:t> </w:t>
      </w:r>
      <w:r>
        <w:rPr>
          <w:spacing w:val="-3"/>
        </w:rPr>
        <w:t>la</w:t>
      </w:r>
      <w:r>
        <w:rPr>
          <w:spacing w:val="-8"/>
        </w:rPr>
        <w:t> </w:t>
      </w:r>
      <w:r>
        <w:rPr/>
        <w:t>fonction</w:t>
      </w:r>
      <w:r>
        <w:rPr>
          <w:spacing w:val="-16"/>
        </w:rPr>
        <w:t> </w:t>
      </w:r>
      <w:r>
        <w:rPr/>
        <w:t>publique générale. Face à ce problème, </w:t>
      </w:r>
      <w:r>
        <w:rPr>
          <w:spacing w:val="-5"/>
        </w:rPr>
        <w:t>le </w:t>
      </w:r>
      <w:r>
        <w:rPr/>
        <w:t>personnel algérien relève </w:t>
      </w:r>
      <w:r>
        <w:rPr>
          <w:spacing w:val="-3"/>
        </w:rPr>
        <w:t>le </w:t>
      </w:r>
      <w:r>
        <w:rPr/>
        <w:t>défi et s’appropria du réseau fondé, à l’époque de près de </w:t>
      </w:r>
      <w:r>
        <w:rPr>
          <w:spacing w:val="-3"/>
        </w:rPr>
        <w:t>six </w:t>
      </w:r>
      <w:r>
        <w:rPr/>
        <w:t>cent (600 bureaux de</w:t>
      </w:r>
      <w:r>
        <w:rPr>
          <w:spacing w:val="3"/>
        </w:rPr>
        <w:t> </w:t>
      </w:r>
      <w:r>
        <w:rPr/>
        <w:t>poste)</w:t>
      </w:r>
      <w:r>
        <w:rPr>
          <w:position w:val="9"/>
          <w:sz w:val="16"/>
        </w:rPr>
        <w:t>1</w:t>
      </w:r>
    </w:p>
    <w:p>
      <w:pPr>
        <w:pStyle w:val="BodyText"/>
        <w:spacing w:before="7"/>
      </w:pPr>
    </w:p>
    <w:p>
      <w:pPr>
        <w:pStyle w:val="Heading5"/>
        <w:numPr>
          <w:ilvl w:val="1"/>
          <w:numId w:val="13"/>
        </w:numPr>
        <w:tabs>
          <w:tab w:pos="1421" w:val="left" w:leader="none"/>
        </w:tabs>
        <w:spacing w:line="240" w:lineRule="auto" w:before="0" w:after="0"/>
        <w:ind w:left="1420" w:right="0" w:hanging="361"/>
        <w:jc w:val="left"/>
      </w:pPr>
      <w:bookmarkStart w:name="1.2 Présentation de l’E.P.I.C ALGÉRIE PO" w:id="121"/>
      <w:bookmarkEnd w:id="121"/>
      <w:r>
        <w:rPr>
          <w:b w:val="0"/>
        </w:rPr>
      </w:r>
      <w:bookmarkStart w:name="1.2 Présentation de l’E.P.I.C ALGÉRIE PO" w:id="122"/>
      <w:bookmarkEnd w:id="122"/>
      <w:r>
        <w:rPr/>
        <w:t>P</w:t>
      </w:r>
      <w:r>
        <w:rPr/>
        <w:t>résentation de l’E.P.I.C ALGÉRIE</w:t>
      </w:r>
      <w:r>
        <w:rPr>
          <w:spacing w:val="-2"/>
        </w:rPr>
        <w:t> </w:t>
      </w:r>
      <w:r>
        <w:rPr/>
        <w:t>POSTE</w:t>
      </w:r>
    </w:p>
    <w:p>
      <w:pPr>
        <w:pStyle w:val="BodyText"/>
        <w:spacing w:before="7"/>
        <w:rPr>
          <w:b/>
          <w:sz w:val="23"/>
        </w:rPr>
      </w:pPr>
    </w:p>
    <w:p>
      <w:pPr>
        <w:pStyle w:val="BodyText"/>
        <w:spacing w:line="360" w:lineRule="auto"/>
        <w:ind w:left="699" w:right="323" w:firstLine="542"/>
        <w:jc w:val="both"/>
      </w:pPr>
      <w:r>
        <w:rPr/>
        <w:t>L’établissement public à caractère industriel et commerciale « E.P.I.C Algérie Poste » est Placé sous la tutelle du Ministère de la Poste, des Télécommunications, des Technologies et du Numérique (MPTTN),</w:t>
      </w:r>
    </w:p>
    <w:p>
      <w:pPr>
        <w:pStyle w:val="BodyText"/>
        <w:spacing w:line="362" w:lineRule="auto" w:before="160"/>
        <w:ind w:left="699" w:right="318" w:firstLine="360"/>
        <w:jc w:val="both"/>
      </w:pPr>
      <w:r>
        <w:rPr/>
        <w:t>Administré par un Conseil d’Administration est présidé par le ministre chargé des postes ou son représentant.</w:t>
      </w:r>
    </w:p>
    <w:p>
      <w:pPr>
        <w:pStyle w:val="BodyText"/>
        <w:rPr>
          <w:sz w:val="20"/>
        </w:rPr>
      </w:pPr>
    </w:p>
    <w:p>
      <w:pPr>
        <w:pStyle w:val="BodyText"/>
        <w:rPr>
          <w:sz w:val="20"/>
        </w:rPr>
      </w:pPr>
    </w:p>
    <w:p>
      <w:pPr>
        <w:pStyle w:val="BodyText"/>
        <w:spacing w:before="11"/>
        <w:rPr>
          <w:sz w:val="22"/>
        </w:rPr>
      </w:pPr>
      <w:r>
        <w:rPr/>
        <w:pict>
          <v:shape style="position:absolute;margin-left:84.984001pt;margin-top:15.563237pt;width:144.1pt;height:.1pt;mso-position-horizontal-relative:page;mso-position-vertical-relative:paragraph;z-index:-251634688;mso-wrap-distance-left:0;mso-wrap-distance-right:0" coordorigin="1700,311" coordsize="2882,0" path="m1700,311l4581,311e" filled="false" stroked="true" strokeweight=".71997pt" strokecolor="#000000">
            <v:path arrowok="t"/>
            <v:stroke dashstyle="solid"/>
            <w10:wrap type="topAndBottom"/>
          </v:shape>
        </w:pict>
      </w:r>
    </w:p>
    <w:p>
      <w:pPr>
        <w:spacing w:line="261" w:lineRule="auto" w:before="62"/>
        <w:ind w:left="699" w:right="3681" w:firstLine="0"/>
        <w:jc w:val="left"/>
        <w:rPr>
          <w:i/>
          <w:sz w:val="20"/>
        </w:rPr>
      </w:pPr>
      <w:r>
        <w:rPr>
          <w:i/>
          <w:position w:val="7"/>
          <w:sz w:val="13"/>
        </w:rPr>
        <w:t>1</w:t>
      </w:r>
      <w:r>
        <w:rPr>
          <w:i/>
          <w:sz w:val="20"/>
        </w:rPr>
        <w:t>Algérie Poste, Historique, Site officiel Algérie Poste, Algérie Poste, Alger, </w:t>
      </w:r>
      <w:hyperlink r:id="rId44">
        <w:r>
          <w:rPr>
            <w:i/>
            <w:color w:val="0462C1"/>
            <w:sz w:val="20"/>
            <w:u w:val="single" w:color="0462C1"/>
          </w:rPr>
          <w:t>https://www.poste.dz/page/historique</w:t>
        </w:r>
      </w:hyperlink>
      <w:r>
        <w:rPr>
          <w:i/>
          <w:sz w:val="20"/>
        </w:rPr>
        <w:t>,[ consulté le 20 mars 2025 à 16h53]</w:t>
      </w:r>
    </w:p>
    <w:p>
      <w:pPr>
        <w:spacing w:after="0" w:line="261" w:lineRule="auto"/>
        <w:jc w:val="left"/>
        <w:rPr>
          <w:sz w:val="20"/>
        </w:rPr>
        <w:sectPr>
          <w:pgSz w:w="12240" w:h="15840"/>
          <w:pgMar w:header="723" w:footer="850" w:top="1080" w:bottom="1040" w:left="1000" w:right="820"/>
        </w:sectPr>
      </w:pPr>
    </w:p>
    <w:p>
      <w:pPr>
        <w:pStyle w:val="BodyText"/>
        <w:spacing w:before="10"/>
        <w:rPr>
          <w:i/>
          <w:sz w:val="19"/>
        </w:rPr>
      </w:pPr>
    </w:p>
    <w:p>
      <w:pPr>
        <w:pStyle w:val="BodyText"/>
        <w:spacing w:before="90"/>
        <w:ind w:left="1060"/>
        <w:jc w:val="both"/>
      </w:pPr>
      <w:r>
        <w:rPr/>
        <w:t>Dirigé par un Directeur Général, nommé par décret présidentiel.</w:t>
      </w:r>
    </w:p>
    <w:p>
      <w:pPr>
        <w:pStyle w:val="BodyText"/>
        <w:spacing w:before="8"/>
        <w:rPr>
          <w:sz w:val="25"/>
        </w:rPr>
      </w:pPr>
    </w:p>
    <w:p>
      <w:pPr>
        <w:pStyle w:val="BodyText"/>
        <w:spacing w:line="362" w:lineRule="auto"/>
        <w:ind w:left="699" w:right="317" w:firstLine="360"/>
        <w:jc w:val="both"/>
      </w:pPr>
      <w:r>
        <w:rPr/>
        <w:t>Définie</w:t>
      </w:r>
      <w:r>
        <w:rPr>
          <w:spacing w:val="-13"/>
        </w:rPr>
        <w:t> </w:t>
      </w:r>
      <w:r>
        <w:rPr/>
        <w:t>par</w:t>
      </w:r>
      <w:r>
        <w:rPr>
          <w:spacing w:val="-9"/>
        </w:rPr>
        <w:t> </w:t>
      </w:r>
      <w:r>
        <w:rPr/>
        <w:t>un</w:t>
      </w:r>
      <w:r>
        <w:rPr>
          <w:spacing w:val="-15"/>
        </w:rPr>
        <w:t> </w:t>
      </w:r>
      <w:r>
        <w:rPr/>
        <w:t>arrêté</w:t>
      </w:r>
      <w:r>
        <w:rPr>
          <w:spacing w:val="-13"/>
        </w:rPr>
        <w:t> </w:t>
      </w:r>
      <w:r>
        <w:rPr/>
        <w:t>ministériel</w:t>
      </w:r>
      <w:r>
        <w:rPr>
          <w:spacing w:val="-19"/>
        </w:rPr>
        <w:t> </w:t>
      </w:r>
      <w:r>
        <w:rPr/>
        <w:t>du</w:t>
      </w:r>
      <w:r>
        <w:rPr>
          <w:spacing w:val="-12"/>
        </w:rPr>
        <w:t> </w:t>
      </w:r>
      <w:r>
        <w:rPr/>
        <w:t>21</w:t>
      </w:r>
      <w:r>
        <w:rPr>
          <w:spacing w:val="-7"/>
        </w:rPr>
        <w:t> </w:t>
      </w:r>
      <w:r>
        <w:rPr/>
        <w:t>janvier</w:t>
      </w:r>
      <w:r>
        <w:rPr>
          <w:spacing w:val="-9"/>
        </w:rPr>
        <w:t> </w:t>
      </w:r>
      <w:r>
        <w:rPr/>
        <w:t>2010</w:t>
      </w:r>
      <w:r>
        <w:rPr>
          <w:spacing w:val="-11"/>
        </w:rPr>
        <w:t> </w:t>
      </w:r>
      <w:r>
        <w:rPr>
          <w:spacing w:val="-3"/>
        </w:rPr>
        <w:t>et</w:t>
      </w:r>
      <w:r>
        <w:rPr>
          <w:spacing w:val="-7"/>
        </w:rPr>
        <w:t> </w:t>
      </w:r>
      <w:r>
        <w:rPr/>
        <w:t>encadrée</w:t>
      </w:r>
      <w:r>
        <w:rPr>
          <w:spacing w:val="-12"/>
        </w:rPr>
        <w:t> </w:t>
      </w:r>
      <w:r>
        <w:rPr/>
        <w:t>par</w:t>
      </w:r>
      <w:r>
        <w:rPr>
          <w:spacing w:val="-10"/>
        </w:rPr>
        <w:t> </w:t>
      </w:r>
      <w:r>
        <w:rPr/>
        <w:t>deux</w:t>
      </w:r>
      <w:r>
        <w:rPr>
          <w:spacing w:val="-15"/>
        </w:rPr>
        <w:t> </w:t>
      </w:r>
      <w:r>
        <w:rPr/>
        <w:t>(02)</w:t>
      </w:r>
      <w:r>
        <w:rPr>
          <w:spacing w:val="-14"/>
        </w:rPr>
        <w:t> </w:t>
      </w:r>
      <w:r>
        <w:rPr/>
        <w:t>Comités,</w:t>
      </w:r>
      <w:r>
        <w:rPr>
          <w:spacing w:val="-10"/>
        </w:rPr>
        <w:t> </w:t>
      </w:r>
      <w:r>
        <w:rPr/>
        <w:t>exécutif et</w:t>
      </w:r>
      <w:r>
        <w:rPr>
          <w:spacing w:val="-2"/>
        </w:rPr>
        <w:t> </w:t>
      </w:r>
      <w:r>
        <w:rPr/>
        <w:t>Commercial</w:t>
      </w:r>
      <w:r>
        <w:rPr>
          <w:spacing w:val="-5"/>
        </w:rPr>
        <w:t> </w:t>
      </w:r>
      <w:r>
        <w:rPr/>
        <w:t>&amp;</w:t>
      </w:r>
      <w:r>
        <w:rPr>
          <w:spacing w:val="-6"/>
        </w:rPr>
        <w:t> </w:t>
      </w:r>
      <w:r>
        <w:rPr/>
        <w:t>marketing,</w:t>
      </w:r>
      <w:r>
        <w:rPr>
          <w:spacing w:val="1"/>
        </w:rPr>
        <w:t> </w:t>
      </w:r>
      <w:r>
        <w:rPr/>
        <w:t>l’organisation</w:t>
      </w:r>
      <w:r>
        <w:rPr>
          <w:spacing w:val="-11"/>
        </w:rPr>
        <w:t> </w:t>
      </w:r>
      <w:r>
        <w:rPr/>
        <w:t>de</w:t>
      </w:r>
      <w:r>
        <w:rPr>
          <w:spacing w:val="-2"/>
        </w:rPr>
        <w:t> </w:t>
      </w:r>
      <w:r>
        <w:rPr/>
        <w:t>l’E.P.I.C</w:t>
      </w:r>
      <w:r>
        <w:rPr>
          <w:spacing w:val="-7"/>
        </w:rPr>
        <w:t> </w:t>
      </w:r>
      <w:r>
        <w:rPr/>
        <w:t>Algérie</w:t>
      </w:r>
      <w:r>
        <w:rPr>
          <w:spacing w:val="-7"/>
        </w:rPr>
        <w:t> </w:t>
      </w:r>
      <w:r>
        <w:rPr/>
        <w:t>Poste,</w:t>
      </w:r>
      <w:r>
        <w:rPr>
          <w:spacing w:val="-4"/>
        </w:rPr>
        <w:t> </w:t>
      </w:r>
      <w:r>
        <w:rPr/>
        <w:t>est</w:t>
      </w:r>
      <w:r>
        <w:rPr>
          <w:spacing w:val="-1"/>
        </w:rPr>
        <w:t> </w:t>
      </w:r>
      <w:r>
        <w:rPr>
          <w:spacing w:val="-3"/>
        </w:rPr>
        <w:t>bâtie</w:t>
      </w:r>
      <w:r>
        <w:rPr>
          <w:spacing w:val="-7"/>
        </w:rPr>
        <w:t> </w:t>
      </w:r>
      <w:r>
        <w:rPr/>
        <w:t>autour</w:t>
      </w:r>
      <w:r>
        <w:rPr>
          <w:spacing w:val="-4"/>
        </w:rPr>
        <w:t> </w:t>
      </w:r>
      <w:r>
        <w:rPr/>
        <w:t>des</w:t>
      </w:r>
      <w:r>
        <w:rPr>
          <w:spacing w:val="-7"/>
        </w:rPr>
        <w:t> </w:t>
      </w:r>
      <w:r>
        <w:rPr/>
        <w:t>métiers postaux classiques sur trois niveaux (Central, Régional, et</w:t>
      </w:r>
      <w:r>
        <w:rPr>
          <w:spacing w:val="8"/>
        </w:rPr>
        <w:t> </w:t>
      </w:r>
      <w:r>
        <w:rPr>
          <w:spacing w:val="-3"/>
        </w:rPr>
        <w:t>Local)</w:t>
      </w:r>
    </w:p>
    <w:p>
      <w:pPr>
        <w:pStyle w:val="BodyText"/>
        <w:spacing w:line="362" w:lineRule="auto" w:before="152"/>
        <w:ind w:left="699" w:right="309" w:firstLine="360"/>
        <w:jc w:val="both"/>
      </w:pPr>
      <w:r>
        <w:rPr/>
        <w:t>La Direction Générale d’Algérie Poste et ses services centraux sont installés à Bab Ezzouar 16024, au Lot n°01, Parcelle n°04, Zone d'affaires, dans un immeuble de douze (12) étages.</w:t>
      </w:r>
    </w:p>
    <w:p>
      <w:pPr>
        <w:pStyle w:val="BodyText"/>
        <w:spacing w:before="161"/>
        <w:ind w:left="1122"/>
        <w:jc w:val="both"/>
      </w:pPr>
      <w:r>
        <w:rPr/>
        <w:t>Au niveau central :</w:t>
      </w:r>
    </w:p>
    <w:p>
      <w:pPr>
        <w:pStyle w:val="BodyText"/>
        <w:spacing w:before="4"/>
        <w:rPr>
          <w:sz w:val="25"/>
        </w:rPr>
      </w:pPr>
    </w:p>
    <w:p>
      <w:pPr>
        <w:pStyle w:val="ListParagraph"/>
        <w:numPr>
          <w:ilvl w:val="2"/>
          <w:numId w:val="13"/>
        </w:numPr>
        <w:tabs>
          <w:tab w:pos="1780" w:val="left" w:leader="none"/>
          <w:tab w:pos="1781" w:val="left" w:leader="none"/>
        </w:tabs>
        <w:spacing w:line="240" w:lineRule="auto" w:before="1" w:after="0"/>
        <w:ind w:left="1780" w:right="0" w:hanging="361"/>
        <w:jc w:val="left"/>
        <w:rPr>
          <w:sz w:val="24"/>
        </w:rPr>
      </w:pPr>
      <w:r>
        <w:rPr>
          <w:sz w:val="24"/>
        </w:rPr>
        <w:t>Divisions métiers (03)</w:t>
      </w:r>
      <w:r>
        <w:rPr>
          <w:spacing w:val="6"/>
          <w:sz w:val="24"/>
        </w:rPr>
        <w:t> </w:t>
      </w:r>
      <w:r>
        <w:rPr>
          <w:sz w:val="24"/>
        </w:rPr>
        <w:t>:</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Réseau et Métiers Postaux</w:t>
      </w:r>
      <w:r>
        <w:rPr>
          <w:spacing w:val="5"/>
          <w:sz w:val="24"/>
        </w:rPr>
        <w:t> </w:t>
      </w:r>
      <w:r>
        <w:rPr>
          <w:sz w:val="24"/>
        </w:rPr>
        <w:t>;</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Monétique et Services Financiers Postaux</w:t>
      </w:r>
      <w:r>
        <w:rPr>
          <w:spacing w:val="-2"/>
          <w:sz w:val="24"/>
        </w:rPr>
        <w:t> </w:t>
      </w:r>
      <w:r>
        <w:rPr>
          <w:sz w:val="24"/>
        </w:rPr>
        <w:t>;</w:t>
      </w:r>
    </w:p>
    <w:p>
      <w:pPr>
        <w:pStyle w:val="ListParagraph"/>
        <w:numPr>
          <w:ilvl w:val="2"/>
          <w:numId w:val="13"/>
        </w:numPr>
        <w:tabs>
          <w:tab w:pos="1780" w:val="left" w:leader="none"/>
          <w:tab w:pos="1781" w:val="left" w:leader="none"/>
        </w:tabs>
        <w:spacing w:line="240" w:lineRule="auto" w:before="133" w:after="0"/>
        <w:ind w:left="1780" w:right="0" w:hanging="361"/>
        <w:jc w:val="left"/>
        <w:rPr>
          <w:sz w:val="24"/>
        </w:rPr>
      </w:pPr>
      <w:r>
        <w:rPr>
          <w:sz w:val="24"/>
        </w:rPr>
        <w:t>Courrier Colis</w:t>
      </w:r>
      <w:r>
        <w:rPr>
          <w:spacing w:val="6"/>
          <w:sz w:val="24"/>
        </w:rPr>
        <w:t> </w:t>
      </w:r>
      <w:r>
        <w:rPr>
          <w:sz w:val="24"/>
        </w:rPr>
        <w:t>;</w:t>
      </w:r>
    </w:p>
    <w:p>
      <w:pPr>
        <w:pStyle w:val="BodyText"/>
        <w:spacing w:before="9"/>
        <w:rPr>
          <w:sz w:val="29"/>
        </w:rPr>
      </w:pPr>
    </w:p>
    <w:p>
      <w:pPr>
        <w:pStyle w:val="BodyText"/>
        <w:ind w:left="1242"/>
      </w:pPr>
      <w:r>
        <w:rPr/>
        <w:t>Directions Centrales supports (13) :</w:t>
      </w:r>
    </w:p>
    <w:p>
      <w:pPr>
        <w:pStyle w:val="BodyText"/>
        <w:spacing w:before="10"/>
        <w:rPr>
          <w:sz w:val="25"/>
        </w:rPr>
      </w:pPr>
    </w:p>
    <w:p>
      <w:pPr>
        <w:pStyle w:val="ListParagraph"/>
        <w:numPr>
          <w:ilvl w:val="2"/>
          <w:numId w:val="13"/>
        </w:numPr>
        <w:tabs>
          <w:tab w:pos="1780" w:val="left" w:leader="none"/>
          <w:tab w:pos="1781" w:val="left" w:leader="none"/>
        </w:tabs>
        <w:spacing w:line="240" w:lineRule="auto" w:before="0" w:after="0"/>
        <w:ind w:left="1780" w:right="0" w:hanging="361"/>
        <w:jc w:val="left"/>
        <w:rPr>
          <w:sz w:val="24"/>
        </w:rPr>
      </w:pPr>
      <w:r>
        <w:rPr>
          <w:sz w:val="24"/>
        </w:rPr>
        <w:t>Direction de l'informatique et de </w:t>
      </w:r>
      <w:r>
        <w:rPr>
          <w:spacing w:val="-5"/>
          <w:sz w:val="24"/>
        </w:rPr>
        <w:t>la </w:t>
      </w:r>
      <w:r>
        <w:rPr>
          <w:sz w:val="24"/>
        </w:rPr>
        <w:t>sécurité des réseaux</w:t>
      </w:r>
      <w:r>
        <w:rPr>
          <w:spacing w:val="17"/>
          <w:sz w:val="24"/>
        </w:rPr>
        <w:t> </w:t>
      </w:r>
      <w:r>
        <w:rPr>
          <w:sz w:val="24"/>
        </w:rPr>
        <w:t>;</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Direction du patrimoine et des moyens généraux</w:t>
      </w:r>
      <w:r>
        <w:rPr>
          <w:spacing w:val="1"/>
          <w:sz w:val="24"/>
        </w:rPr>
        <w:t> </w:t>
      </w:r>
      <w:r>
        <w:rPr>
          <w:sz w:val="24"/>
        </w:rPr>
        <w:t>;</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Direction des finances et de </w:t>
      </w:r>
      <w:r>
        <w:rPr>
          <w:spacing w:val="-5"/>
          <w:sz w:val="24"/>
        </w:rPr>
        <w:t>la </w:t>
      </w:r>
      <w:r>
        <w:rPr>
          <w:sz w:val="24"/>
        </w:rPr>
        <w:t>comptabilité</w:t>
      </w:r>
      <w:r>
        <w:rPr>
          <w:spacing w:val="19"/>
          <w:sz w:val="24"/>
        </w:rPr>
        <w:t> </w:t>
      </w:r>
      <w:r>
        <w:rPr>
          <w:sz w:val="24"/>
        </w:rPr>
        <w:t>;</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Direction des ressources humaines</w:t>
      </w:r>
      <w:r>
        <w:rPr>
          <w:spacing w:val="-4"/>
          <w:sz w:val="24"/>
        </w:rPr>
        <w:t> </w:t>
      </w:r>
      <w:r>
        <w:rPr>
          <w:sz w:val="24"/>
        </w:rPr>
        <w:t>;</w:t>
      </w:r>
    </w:p>
    <w:p>
      <w:pPr>
        <w:pStyle w:val="ListParagraph"/>
        <w:numPr>
          <w:ilvl w:val="2"/>
          <w:numId w:val="13"/>
        </w:numPr>
        <w:tabs>
          <w:tab w:pos="1780" w:val="left" w:leader="none"/>
          <w:tab w:pos="1781" w:val="left" w:leader="none"/>
        </w:tabs>
        <w:spacing w:line="240" w:lineRule="auto" w:before="134" w:after="0"/>
        <w:ind w:left="1780" w:right="0" w:hanging="361"/>
        <w:jc w:val="left"/>
        <w:rPr>
          <w:sz w:val="24"/>
        </w:rPr>
      </w:pPr>
      <w:r>
        <w:rPr>
          <w:sz w:val="24"/>
        </w:rPr>
        <w:t>Direction de </w:t>
      </w:r>
      <w:r>
        <w:rPr>
          <w:spacing w:val="-5"/>
          <w:sz w:val="24"/>
        </w:rPr>
        <w:t>la </w:t>
      </w:r>
      <w:r>
        <w:rPr>
          <w:sz w:val="24"/>
        </w:rPr>
        <w:t>formation et du perfectionnement</w:t>
      </w:r>
      <w:r>
        <w:rPr>
          <w:spacing w:val="19"/>
          <w:sz w:val="24"/>
        </w:rPr>
        <w:t> </w:t>
      </w:r>
      <w:r>
        <w:rPr>
          <w:sz w:val="24"/>
        </w:rPr>
        <w:t>;</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Direction de </w:t>
      </w:r>
      <w:r>
        <w:rPr>
          <w:spacing w:val="-5"/>
          <w:sz w:val="24"/>
        </w:rPr>
        <w:t>la </w:t>
      </w:r>
      <w:r>
        <w:rPr>
          <w:sz w:val="24"/>
        </w:rPr>
        <w:t>stratégie, de l'organisation et du contrôle de gestion</w:t>
      </w:r>
      <w:r>
        <w:rPr>
          <w:spacing w:val="11"/>
          <w:sz w:val="24"/>
        </w:rPr>
        <w:t> </w:t>
      </w:r>
      <w:r>
        <w:rPr>
          <w:sz w:val="24"/>
        </w:rPr>
        <w:t>;</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Direction des infrastructures postales et des bâtiments</w:t>
      </w:r>
      <w:r>
        <w:rPr>
          <w:spacing w:val="4"/>
          <w:sz w:val="24"/>
        </w:rPr>
        <w:t> </w:t>
      </w:r>
      <w:r>
        <w:rPr>
          <w:sz w:val="24"/>
        </w:rPr>
        <w:t>;</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Direction de de</w:t>
      </w:r>
      <w:r>
        <w:rPr>
          <w:spacing w:val="5"/>
          <w:sz w:val="24"/>
        </w:rPr>
        <w:t> </w:t>
      </w:r>
      <w:r>
        <w:rPr>
          <w:sz w:val="24"/>
        </w:rPr>
        <w:t>l'inspection,</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Direction de </w:t>
      </w:r>
      <w:r>
        <w:rPr>
          <w:spacing w:val="-3"/>
          <w:sz w:val="24"/>
        </w:rPr>
        <w:t>l'audit </w:t>
      </w:r>
      <w:r>
        <w:rPr>
          <w:sz w:val="24"/>
        </w:rPr>
        <w:t>et du contrôle</w:t>
      </w:r>
      <w:r>
        <w:rPr>
          <w:spacing w:val="21"/>
          <w:sz w:val="24"/>
        </w:rPr>
        <w:t> </w:t>
      </w:r>
      <w:r>
        <w:rPr>
          <w:sz w:val="24"/>
        </w:rPr>
        <w:t>interne,</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Direction des affaires juridiques et des relations</w:t>
      </w:r>
      <w:r>
        <w:rPr>
          <w:spacing w:val="4"/>
          <w:sz w:val="24"/>
        </w:rPr>
        <w:t> </w:t>
      </w:r>
      <w:r>
        <w:rPr>
          <w:sz w:val="24"/>
        </w:rPr>
        <w:t>internationales,</w:t>
      </w:r>
    </w:p>
    <w:p>
      <w:pPr>
        <w:pStyle w:val="ListParagraph"/>
        <w:numPr>
          <w:ilvl w:val="2"/>
          <w:numId w:val="13"/>
        </w:numPr>
        <w:tabs>
          <w:tab w:pos="1780" w:val="left" w:leader="none"/>
          <w:tab w:pos="1781" w:val="left" w:leader="none"/>
        </w:tabs>
        <w:spacing w:line="240" w:lineRule="auto" w:before="134" w:after="0"/>
        <w:ind w:left="1780" w:right="0" w:hanging="361"/>
        <w:jc w:val="left"/>
        <w:rPr>
          <w:sz w:val="24"/>
        </w:rPr>
      </w:pPr>
      <w:r>
        <w:rPr>
          <w:sz w:val="24"/>
        </w:rPr>
        <w:t>Direction de </w:t>
      </w:r>
      <w:r>
        <w:rPr>
          <w:spacing w:val="-5"/>
          <w:sz w:val="24"/>
        </w:rPr>
        <w:t>la </w:t>
      </w:r>
      <w:r>
        <w:rPr>
          <w:sz w:val="24"/>
        </w:rPr>
        <w:t>communication</w:t>
      </w:r>
      <w:r>
        <w:rPr>
          <w:spacing w:val="5"/>
          <w:sz w:val="24"/>
        </w:rPr>
        <w:t> </w:t>
      </w:r>
      <w:r>
        <w:rPr>
          <w:sz w:val="24"/>
        </w:rPr>
        <w:t>;</w:t>
      </w:r>
    </w:p>
    <w:p>
      <w:pPr>
        <w:pStyle w:val="ListParagraph"/>
        <w:numPr>
          <w:ilvl w:val="2"/>
          <w:numId w:val="13"/>
        </w:numPr>
        <w:tabs>
          <w:tab w:pos="1780" w:val="left" w:leader="none"/>
          <w:tab w:pos="1781" w:val="left" w:leader="none"/>
        </w:tabs>
        <w:spacing w:line="240" w:lineRule="auto" w:before="138" w:after="0"/>
        <w:ind w:left="1780" w:right="0" w:hanging="361"/>
        <w:jc w:val="left"/>
        <w:rPr>
          <w:sz w:val="24"/>
        </w:rPr>
      </w:pPr>
      <w:r>
        <w:rPr>
          <w:sz w:val="24"/>
        </w:rPr>
        <w:t>Direction de </w:t>
      </w:r>
      <w:r>
        <w:rPr>
          <w:spacing w:val="-5"/>
          <w:sz w:val="24"/>
        </w:rPr>
        <w:t>la </w:t>
      </w:r>
      <w:r>
        <w:rPr>
          <w:sz w:val="24"/>
        </w:rPr>
        <w:t>normalisation et de </w:t>
      </w:r>
      <w:r>
        <w:rPr>
          <w:spacing w:val="-5"/>
          <w:sz w:val="24"/>
        </w:rPr>
        <w:t>la </w:t>
      </w:r>
      <w:r>
        <w:rPr>
          <w:sz w:val="24"/>
        </w:rPr>
        <w:t>qualité</w:t>
      </w:r>
      <w:r>
        <w:rPr>
          <w:spacing w:val="24"/>
          <w:sz w:val="24"/>
        </w:rPr>
        <w:t> </w:t>
      </w:r>
      <w:r>
        <w:rPr>
          <w:sz w:val="24"/>
        </w:rPr>
        <w:t>;</w:t>
      </w:r>
    </w:p>
    <w:p>
      <w:pPr>
        <w:pStyle w:val="ListParagraph"/>
        <w:numPr>
          <w:ilvl w:val="2"/>
          <w:numId w:val="13"/>
        </w:numPr>
        <w:tabs>
          <w:tab w:pos="1780" w:val="left" w:leader="none"/>
          <w:tab w:pos="1781" w:val="left" w:leader="none"/>
        </w:tabs>
        <w:spacing w:line="240" w:lineRule="auto" w:before="133" w:after="0"/>
        <w:ind w:left="1780" w:right="0" w:hanging="361"/>
        <w:jc w:val="left"/>
        <w:rPr>
          <w:sz w:val="24"/>
        </w:rPr>
      </w:pPr>
      <w:r>
        <w:rPr>
          <w:sz w:val="24"/>
        </w:rPr>
        <w:t>Direction des timbres postaux et de </w:t>
      </w:r>
      <w:r>
        <w:rPr>
          <w:spacing w:val="-5"/>
          <w:sz w:val="24"/>
        </w:rPr>
        <w:t>la</w:t>
      </w:r>
      <w:r>
        <w:rPr>
          <w:spacing w:val="-3"/>
          <w:sz w:val="24"/>
        </w:rPr>
        <w:t> </w:t>
      </w:r>
      <w:r>
        <w:rPr>
          <w:sz w:val="24"/>
        </w:rPr>
        <w:t>philatélie</w:t>
      </w:r>
    </w:p>
    <w:p>
      <w:pPr>
        <w:spacing w:after="0" w:line="240" w:lineRule="auto"/>
        <w:jc w:val="left"/>
        <w:rPr>
          <w:sz w:val="24"/>
        </w:rPr>
        <w:sectPr>
          <w:pgSz w:w="12240" w:h="15840"/>
          <w:pgMar w:header="723" w:footer="850" w:top="1080" w:bottom="1040" w:left="1000" w:right="820"/>
        </w:sectPr>
      </w:pPr>
    </w:p>
    <w:p>
      <w:pPr>
        <w:pStyle w:val="BodyText"/>
        <w:spacing w:before="10"/>
        <w:rPr>
          <w:sz w:val="19"/>
        </w:rPr>
      </w:pPr>
    </w:p>
    <w:p>
      <w:pPr>
        <w:pStyle w:val="BodyText"/>
        <w:spacing w:before="90"/>
        <w:ind w:left="1060"/>
      </w:pPr>
      <w:r>
        <w:rPr/>
        <w:t>Au niveau Régional :</w:t>
      </w:r>
    </w:p>
    <w:p>
      <w:pPr>
        <w:pStyle w:val="BodyText"/>
        <w:spacing w:before="10"/>
        <w:rPr>
          <w:sz w:val="25"/>
        </w:rPr>
      </w:pPr>
    </w:p>
    <w:p>
      <w:pPr>
        <w:pStyle w:val="ListParagraph"/>
        <w:numPr>
          <w:ilvl w:val="2"/>
          <w:numId w:val="13"/>
        </w:numPr>
        <w:tabs>
          <w:tab w:pos="1780" w:val="left" w:leader="none"/>
          <w:tab w:pos="1781" w:val="left" w:leader="none"/>
        </w:tabs>
        <w:spacing w:line="240" w:lineRule="auto" w:before="0" w:after="0"/>
        <w:ind w:left="1780" w:right="0" w:hanging="361"/>
        <w:jc w:val="left"/>
        <w:rPr>
          <w:sz w:val="24"/>
        </w:rPr>
      </w:pPr>
      <w:r>
        <w:rPr>
          <w:sz w:val="24"/>
        </w:rPr>
        <w:t>Inspection régionale</w:t>
      </w:r>
      <w:r>
        <w:rPr>
          <w:spacing w:val="-3"/>
          <w:sz w:val="24"/>
        </w:rPr>
        <w:t> </w:t>
      </w:r>
      <w:r>
        <w:rPr>
          <w:sz w:val="24"/>
        </w:rPr>
        <w:t>(13)</w:t>
      </w:r>
    </w:p>
    <w:p>
      <w:pPr>
        <w:pStyle w:val="ListParagraph"/>
        <w:numPr>
          <w:ilvl w:val="2"/>
          <w:numId w:val="13"/>
        </w:numPr>
        <w:tabs>
          <w:tab w:pos="1780" w:val="left" w:leader="none"/>
          <w:tab w:pos="1781" w:val="left" w:leader="none"/>
        </w:tabs>
        <w:spacing w:line="240" w:lineRule="auto" w:before="139" w:after="0"/>
        <w:ind w:left="1780" w:right="0" w:hanging="361"/>
        <w:jc w:val="left"/>
        <w:rPr>
          <w:sz w:val="24"/>
        </w:rPr>
      </w:pPr>
      <w:r>
        <w:rPr>
          <w:sz w:val="24"/>
        </w:rPr>
        <w:t>Centre Financier Régional</w:t>
      </w:r>
      <w:r>
        <w:rPr>
          <w:spacing w:val="-4"/>
          <w:sz w:val="24"/>
        </w:rPr>
        <w:t> </w:t>
      </w:r>
      <w:r>
        <w:rPr>
          <w:sz w:val="24"/>
        </w:rPr>
        <w:t>(08)</w:t>
      </w:r>
    </w:p>
    <w:p>
      <w:pPr>
        <w:pStyle w:val="ListParagraph"/>
        <w:numPr>
          <w:ilvl w:val="2"/>
          <w:numId w:val="13"/>
        </w:numPr>
        <w:tabs>
          <w:tab w:pos="1780" w:val="left" w:leader="none"/>
          <w:tab w:pos="1781" w:val="left" w:leader="none"/>
        </w:tabs>
        <w:spacing w:line="518" w:lineRule="auto" w:before="133" w:after="0"/>
        <w:ind w:left="1060" w:right="5020" w:firstLine="360"/>
        <w:jc w:val="left"/>
        <w:rPr>
          <w:sz w:val="24"/>
        </w:rPr>
      </w:pPr>
      <w:r>
        <w:rPr>
          <w:sz w:val="24"/>
        </w:rPr>
        <w:t>Centre Régional de Comptabilité</w:t>
      </w:r>
      <w:r>
        <w:rPr>
          <w:spacing w:val="-16"/>
          <w:sz w:val="24"/>
        </w:rPr>
        <w:t> </w:t>
      </w:r>
      <w:r>
        <w:rPr>
          <w:sz w:val="24"/>
        </w:rPr>
        <w:t>(08) </w:t>
      </w:r>
      <w:r>
        <w:rPr>
          <w:spacing w:val="-3"/>
          <w:sz w:val="24"/>
        </w:rPr>
        <w:t>Au </w:t>
      </w:r>
      <w:r>
        <w:rPr>
          <w:sz w:val="24"/>
        </w:rPr>
        <w:t>niveau </w:t>
      </w:r>
      <w:r>
        <w:rPr>
          <w:spacing w:val="-3"/>
          <w:sz w:val="24"/>
        </w:rPr>
        <w:t>Wilaya</w:t>
      </w:r>
      <w:r>
        <w:rPr>
          <w:spacing w:val="16"/>
          <w:sz w:val="24"/>
        </w:rPr>
        <w:t> </w:t>
      </w:r>
      <w:r>
        <w:rPr>
          <w:sz w:val="24"/>
        </w:rPr>
        <w:t>:</w:t>
      </w:r>
    </w:p>
    <w:p>
      <w:pPr>
        <w:pStyle w:val="ListParagraph"/>
        <w:numPr>
          <w:ilvl w:val="2"/>
          <w:numId w:val="13"/>
        </w:numPr>
        <w:tabs>
          <w:tab w:pos="1780" w:val="left" w:leader="none"/>
          <w:tab w:pos="1781" w:val="left" w:leader="none"/>
        </w:tabs>
        <w:spacing w:line="273" w:lineRule="exact" w:before="0" w:after="0"/>
        <w:ind w:left="1780" w:right="0" w:hanging="361"/>
        <w:jc w:val="left"/>
        <w:rPr>
          <w:sz w:val="24"/>
        </w:rPr>
      </w:pPr>
      <w:r>
        <w:rPr>
          <w:spacing w:val="-3"/>
          <w:sz w:val="24"/>
        </w:rPr>
        <w:t>Au </w:t>
      </w:r>
      <w:r>
        <w:rPr>
          <w:sz w:val="24"/>
        </w:rPr>
        <w:t>niveau local, les bureaux de poste sont placés géographiquement sous</w:t>
      </w:r>
      <w:r>
        <w:rPr>
          <w:spacing w:val="30"/>
          <w:sz w:val="24"/>
        </w:rPr>
        <w:t> </w:t>
      </w:r>
      <w:r>
        <w:rPr>
          <w:sz w:val="24"/>
        </w:rPr>
        <w:t>l’autorité</w:t>
      </w:r>
    </w:p>
    <w:p>
      <w:pPr>
        <w:pStyle w:val="BodyText"/>
        <w:spacing w:before="136"/>
        <w:ind w:left="1780"/>
      </w:pPr>
      <w:r>
        <w:rPr/>
        <w:t>d’une « Direction d’Unité Postale » de Wilaya.</w:t>
      </w:r>
    </w:p>
    <w:p>
      <w:pPr>
        <w:pStyle w:val="ListParagraph"/>
        <w:numPr>
          <w:ilvl w:val="2"/>
          <w:numId w:val="13"/>
        </w:numPr>
        <w:tabs>
          <w:tab w:pos="1780" w:val="left" w:leader="none"/>
          <w:tab w:pos="1781" w:val="left" w:leader="none"/>
        </w:tabs>
        <w:spacing w:line="240" w:lineRule="auto" w:before="139" w:after="0"/>
        <w:ind w:left="1780" w:right="0" w:hanging="361"/>
        <w:jc w:val="left"/>
        <w:rPr>
          <w:sz w:val="24"/>
        </w:rPr>
      </w:pPr>
      <w:r>
        <w:rPr>
          <w:sz w:val="24"/>
        </w:rPr>
        <w:t>Direction d’Unité Postale de Wilaya</w:t>
      </w:r>
      <w:r>
        <w:rPr>
          <w:spacing w:val="-1"/>
          <w:sz w:val="24"/>
        </w:rPr>
        <w:t> </w:t>
      </w:r>
      <w:r>
        <w:rPr>
          <w:sz w:val="24"/>
        </w:rPr>
        <w:t>(50)</w:t>
      </w:r>
    </w:p>
    <w:p>
      <w:pPr>
        <w:pStyle w:val="ListParagraph"/>
        <w:numPr>
          <w:ilvl w:val="2"/>
          <w:numId w:val="13"/>
        </w:numPr>
        <w:tabs>
          <w:tab w:pos="1780" w:val="left" w:leader="none"/>
          <w:tab w:pos="1781" w:val="left" w:leader="none"/>
        </w:tabs>
        <w:spacing w:line="336" w:lineRule="auto" w:before="138" w:after="0"/>
        <w:ind w:left="1780" w:right="325" w:hanging="360"/>
        <w:jc w:val="left"/>
        <w:rPr>
          <w:sz w:val="16"/>
        </w:rPr>
      </w:pPr>
      <w:r>
        <w:rPr>
          <w:sz w:val="24"/>
        </w:rPr>
        <w:t>Seule </w:t>
      </w:r>
      <w:r>
        <w:rPr>
          <w:spacing w:val="-5"/>
          <w:sz w:val="24"/>
        </w:rPr>
        <w:t>la </w:t>
      </w:r>
      <w:r>
        <w:rPr>
          <w:sz w:val="24"/>
        </w:rPr>
        <w:t>Wilaya d’Alger de par sa stature de </w:t>
      </w:r>
      <w:r>
        <w:rPr>
          <w:spacing w:val="-5"/>
          <w:sz w:val="24"/>
        </w:rPr>
        <w:t>la </w:t>
      </w:r>
      <w:r>
        <w:rPr>
          <w:sz w:val="24"/>
        </w:rPr>
        <w:t>capitale du Pays, est dotée de trois Directions réparties sur trois zones, Est, Centre </w:t>
      </w:r>
      <w:r>
        <w:rPr>
          <w:spacing w:val="-3"/>
          <w:sz w:val="24"/>
        </w:rPr>
        <w:t>et</w:t>
      </w:r>
      <w:r>
        <w:rPr>
          <w:spacing w:val="2"/>
          <w:sz w:val="24"/>
        </w:rPr>
        <w:t> </w:t>
      </w:r>
      <w:r>
        <w:rPr>
          <w:sz w:val="24"/>
        </w:rPr>
        <w:t>Ouest.</w:t>
      </w:r>
      <w:r>
        <w:rPr>
          <w:position w:val="9"/>
          <w:sz w:val="16"/>
        </w:rPr>
        <w:t>1</w:t>
      </w:r>
    </w:p>
    <w:p>
      <w:pPr>
        <w:pStyle w:val="BodyText"/>
        <w:spacing w:before="2"/>
        <w:rPr>
          <w:sz w:val="27"/>
        </w:rPr>
      </w:pPr>
    </w:p>
    <w:p>
      <w:pPr>
        <w:pStyle w:val="Heading5"/>
        <w:numPr>
          <w:ilvl w:val="1"/>
          <w:numId w:val="13"/>
        </w:numPr>
        <w:tabs>
          <w:tab w:pos="1421" w:val="left" w:leader="none"/>
        </w:tabs>
        <w:spacing w:line="240" w:lineRule="auto" w:before="0" w:after="0"/>
        <w:ind w:left="1420" w:right="0" w:hanging="361"/>
        <w:jc w:val="left"/>
      </w:pPr>
      <w:bookmarkStart w:name="1.3 Missions d’Algérie Poste" w:id="123"/>
      <w:bookmarkEnd w:id="123"/>
      <w:r>
        <w:rPr>
          <w:b w:val="0"/>
        </w:rPr>
      </w:r>
      <w:bookmarkStart w:name="1.3 Missions d’Algérie Poste" w:id="124"/>
      <w:bookmarkEnd w:id="124"/>
      <w:r>
        <w:rPr/>
        <w:t>M</w:t>
      </w:r>
      <w:r>
        <w:rPr/>
        <w:t>issions d’Algérie</w:t>
      </w:r>
      <w:r>
        <w:rPr>
          <w:spacing w:val="-1"/>
        </w:rPr>
        <w:t> </w:t>
      </w:r>
      <w:r>
        <w:rPr/>
        <w:t>Poste</w:t>
      </w:r>
    </w:p>
    <w:p>
      <w:pPr>
        <w:pStyle w:val="BodyText"/>
        <w:rPr>
          <w:b/>
        </w:rPr>
      </w:pPr>
    </w:p>
    <w:p>
      <w:pPr>
        <w:pStyle w:val="BodyText"/>
        <w:spacing w:line="362" w:lineRule="auto"/>
        <w:ind w:left="699" w:right="323" w:firstLine="360"/>
        <w:jc w:val="both"/>
      </w:pPr>
      <w:r>
        <w:rPr/>
        <w:t>L'institution est responsable de l'application, à l'échelle nationale, de </w:t>
      </w:r>
      <w:r>
        <w:rPr>
          <w:spacing w:val="-5"/>
        </w:rPr>
        <w:t>la </w:t>
      </w:r>
      <w:r>
        <w:rPr/>
        <w:t>politique nationale visant</w:t>
      </w:r>
      <w:r>
        <w:rPr>
          <w:spacing w:val="-1"/>
        </w:rPr>
        <w:t> </w:t>
      </w:r>
      <w:r>
        <w:rPr/>
        <w:t>à</w:t>
      </w:r>
      <w:r>
        <w:rPr>
          <w:spacing w:val="-6"/>
        </w:rPr>
        <w:t> </w:t>
      </w:r>
      <w:r>
        <w:rPr/>
        <w:t>développer</w:t>
      </w:r>
      <w:r>
        <w:rPr>
          <w:spacing w:val="1"/>
        </w:rPr>
        <w:t> </w:t>
      </w:r>
      <w:r>
        <w:rPr>
          <w:spacing w:val="-4"/>
        </w:rPr>
        <w:t>les</w:t>
      </w:r>
      <w:r>
        <w:rPr>
          <w:spacing w:val="-2"/>
        </w:rPr>
        <w:t> </w:t>
      </w:r>
      <w:r>
        <w:rPr/>
        <w:t>services</w:t>
      </w:r>
      <w:r>
        <w:rPr>
          <w:spacing w:val="-7"/>
        </w:rPr>
        <w:t> </w:t>
      </w:r>
      <w:r>
        <w:rPr/>
        <w:t>postaux</w:t>
      </w:r>
      <w:r>
        <w:rPr>
          <w:spacing w:val="-10"/>
        </w:rPr>
        <w:t> </w:t>
      </w:r>
      <w:r>
        <w:rPr/>
        <w:t>et financiers</w:t>
      </w:r>
      <w:r>
        <w:rPr>
          <w:spacing w:val="-7"/>
        </w:rPr>
        <w:t> </w:t>
      </w:r>
      <w:r>
        <w:rPr/>
        <w:t>postaux</w:t>
      </w:r>
      <w:r>
        <w:rPr>
          <w:spacing w:val="-10"/>
        </w:rPr>
        <w:t> </w:t>
      </w:r>
      <w:r>
        <w:rPr/>
        <w:t>en</w:t>
      </w:r>
      <w:r>
        <w:rPr>
          <w:spacing w:val="-9"/>
        </w:rPr>
        <w:t> </w:t>
      </w:r>
      <w:r>
        <w:rPr/>
        <w:t>gérant</w:t>
      </w:r>
      <w:r>
        <w:rPr>
          <w:spacing w:val="4"/>
        </w:rPr>
        <w:t> </w:t>
      </w:r>
      <w:r>
        <w:rPr>
          <w:spacing w:val="-4"/>
        </w:rPr>
        <w:t>les</w:t>
      </w:r>
      <w:r>
        <w:rPr>
          <w:spacing w:val="-7"/>
        </w:rPr>
        <w:t> </w:t>
      </w:r>
      <w:r>
        <w:rPr/>
        <w:t>tâches</w:t>
      </w:r>
      <w:r>
        <w:rPr>
          <w:spacing w:val="-2"/>
        </w:rPr>
        <w:t> </w:t>
      </w:r>
      <w:r>
        <w:rPr/>
        <w:t>liées</w:t>
      </w:r>
      <w:r>
        <w:rPr>
          <w:spacing w:val="-7"/>
        </w:rPr>
        <w:t> </w:t>
      </w:r>
      <w:r>
        <w:rPr/>
        <w:t>à</w:t>
      </w:r>
      <w:r>
        <w:rPr>
          <w:spacing w:val="-1"/>
        </w:rPr>
        <w:t> </w:t>
      </w:r>
      <w:r>
        <w:rPr>
          <w:spacing w:val="-3"/>
        </w:rPr>
        <w:t>la</w:t>
      </w:r>
      <w:r>
        <w:rPr>
          <w:spacing w:val="-6"/>
        </w:rPr>
        <w:t> </w:t>
      </w:r>
      <w:r>
        <w:rPr/>
        <w:t>gestion des services, au renouvellement </w:t>
      </w:r>
      <w:r>
        <w:rPr>
          <w:spacing w:val="-3"/>
        </w:rPr>
        <w:t>et </w:t>
      </w:r>
      <w:r>
        <w:rPr/>
        <w:t>au développement des infrastructures</w:t>
      </w:r>
      <w:r>
        <w:rPr>
          <w:spacing w:val="12"/>
        </w:rPr>
        <w:t> </w:t>
      </w:r>
      <w:r>
        <w:rPr/>
        <w:t>correspondantes.</w:t>
      </w:r>
    </w:p>
    <w:p>
      <w:pPr>
        <w:pStyle w:val="BodyText"/>
        <w:spacing w:line="362" w:lineRule="auto" w:before="152"/>
        <w:ind w:left="699" w:right="326" w:firstLine="360"/>
        <w:jc w:val="both"/>
      </w:pPr>
      <w:r>
        <w:rPr/>
        <w:t>La stratégie globale d'Algérie Poste est centrée sur les initiatives mises en œuvre dans chaque domaine, afin de se positionner comme :</w:t>
      </w:r>
    </w:p>
    <w:p>
      <w:pPr>
        <w:pStyle w:val="ListParagraph"/>
        <w:numPr>
          <w:ilvl w:val="0"/>
          <w:numId w:val="14"/>
        </w:numPr>
        <w:tabs>
          <w:tab w:pos="1781" w:val="left" w:leader="none"/>
        </w:tabs>
        <w:spacing w:line="240" w:lineRule="auto" w:before="156" w:after="0"/>
        <w:ind w:left="1780" w:right="0" w:hanging="361"/>
        <w:jc w:val="both"/>
        <w:rPr>
          <w:sz w:val="24"/>
        </w:rPr>
      </w:pPr>
      <w:r>
        <w:rPr>
          <w:sz w:val="24"/>
        </w:rPr>
        <w:t>Le leader de </w:t>
      </w:r>
      <w:r>
        <w:rPr>
          <w:spacing w:val="-3"/>
          <w:sz w:val="24"/>
        </w:rPr>
        <w:t>la </w:t>
      </w:r>
      <w:r>
        <w:rPr>
          <w:sz w:val="24"/>
        </w:rPr>
        <w:t>distribution de services de proximité et à domicile</w:t>
      </w:r>
      <w:r>
        <w:rPr>
          <w:spacing w:val="7"/>
          <w:sz w:val="24"/>
        </w:rPr>
        <w:t> </w:t>
      </w:r>
      <w:r>
        <w:rPr>
          <w:sz w:val="24"/>
        </w:rPr>
        <w:t>;</w:t>
      </w:r>
    </w:p>
    <w:p>
      <w:pPr>
        <w:pStyle w:val="ListParagraph"/>
        <w:numPr>
          <w:ilvl w:val="0"/>
          <w:numId w:val="14"/>
        </w:numPr>
        <w:tabs>
          <w:tab w:pos="1781" w:val="left" w:leader="none"/>
        </w:tabs>
        <w:spacing w:line="240" w:lineRule="auto" w:before="137" w:after="0"/>
        <w:ind w:left="1780" w:right="0" w:hanging="361"/>
        <w:jc w:val="both"/>
        <w:rPr>
          <w:sz w:val="24"/>
        </w:rPr>
      </w:pPr>
      <w:r>
        <w:rPr>
          <w:sz w:val="24"/>
        </w:rPr>
        <w:t>L'institution phare en termes d'inclusion financière citoyenne</w:t>
      </w:r>
      <w:r>
        <w:rPr>
          <w:spacing w:val="-2"/>
          <w:sz w:val="24"/>
        </w:rPr>
        <w:t> </w:t>
      </w:r>
      <w:r>
        <w:rPr>
          <w:sz w:val="24"/>
        </w:rPr>
        <w:t>;</w:t>
      </w:r>
    </w:p>
    <w:p>
      <w:pPr>
        <w:pStyle w:val="ListParagraph"/>
        <w:numPr>
          <w:ilvl w:val="0"/>
          <w:numId w:val="14"/>
        </w:numPr>
        <w:tabs>
          <w:tab w:pos="1781" w:val="left" w:leader="none"/>
        </w:tabs>
        <w:spacing w:line="360" w:lineRule="auto" w:before="137" w:after="0"/>
        <w:ind w:left="1780" w:right="322" w:hanging="360"/>
        <w:jc w:val="both"/>
        <w:rPr>
          <w:sz w:val="24"/>
        </w:rPr>
      </w:pPr>
      <w:r>
        <w:rPr>
          <w:sz w:val="24"/>
        </w:rPr>
        <w:t>L'intervenant </w:t>
      </w:r>
      <w:r>
        <w:rPr>
          <w:spacing w:val="-3"/>
          <w:sz w:val="24"/>
        </w:rPr>
        <w:t>majeur </w:t>
      </w:r>
      <w:r>
        <w:rPr>
          <w:sz w:val="24"/>
        </w:rPr>
        <w:t>dans </w:t>
      </w:r>
      <w:r>
        <w:rPr>
          <w:spacing w:val="-5"/>
          <w:sz w:val="24"/>
        </w:rPr>
        <w:t>le </w:t>
      </w:r>
      <w:r>
        <w:rPr>
          <w:sz w:val="24"/>
        </w:rPr>
        <w:t>secteur du courrier </w:t>
      </w:r>
      <w:r>
        <w:rPr>
          <w:spacing w:val="-3"/>
          <w:sz w:val="24"/>
        </w:rPr>
        <w:t>et </w:t>
      </w:r>
      <w:r>
        <w:rPr>
          <w:sz w:val="24"/>
        </w:rPr>
        <w:t>des </w:t>
      </w:r>
      <w:r>
        <w:rPr>
          <w:spacing w:val="-3"/>
          <w:sz w:val="24"/>
        </w:rPr>
        <w:t>colis, </w:t>
      </w:r>
      <w:r>
        <w:rPr>
          <w:sz w:val="24"/>
        </w:rPr>
        <w:t>en accélérant sa transformation numérique et l'intégration de ses réseaux physique et</w:t>
      </w:r>
      <w:r>
        <w:rPr>
          <w:spacing w:val="-7"/>
          <w:sz w:val="24"/>
        </w:rPr>
        <w:t> </w:t>
      </w:r>
      <w:r>
        <w:rPr>
          <w:sz w:val="24"/>
        </w:rPr>
        <w:t>numérique</w:t>
      </w:r>
    </w:p>
    <w:p>
      <w:pPr>
        <w:pStyle w:val="ListParagraph"/>
        <w:numPr>
          <w:ilvl w:val="0"/>
          <w:numId w:val="14"/>
        </w:numPr>
        <w:tabs>
          <w:tab w:pos="1781" w:val="left" w:leader="none"/>
        </w:tabs>
        <w:spacing w:line="240" w:lineRule="auto" w:before="3" w:after="0"/>
        <w:ind w:left="1780" w:right="0" w:hanging="361"/>
        <w:jc w:val="both"/>
        <w:rPr>
          <w:sz w:val="24"/>
        </w:rPr>
      </w:pPr>
      <w:r>
        <w:rPr>
          <w:sz w:val="24"/>
        </w:rPr>
        <w:t>Développement des services</w:t>
      </w:r>
      <w:r>
        <w:rPr>
          <w:spacing w:val="9"/>
          <w:sz w:val="24"/>
        </w:rPr>
        <w:t> </w:t>
      </w:r>
      <w:r>
        <w:rPr>
          <w:sz w:val="24"/>
        </w:rPr>
        <w:t>monétiques</w:t>
      </w:r>
    </w:p>
    <w:p>
      <w:pPr>
        <w:pStyle w:val="BodyText"/>
        <w:spacing w:before="5"/>
        <w:rPr>
          <w:sz w:val="29"/>
        </w:rPr>
      </w:pPr>
    </w:p>
    <w:p>
      <w:pPr>
        <w:pStyle w:val="BodyText"/>
        <w:spacing w:line="360" w:lineRule="auto"/>
        <w:ind w:left="699" w:right="307" w:firstLine="360"/>
        <w:jc w:val="both"/>
      </w:pPr>
      <w:r>
        <w:rPr/>
        <w:t>Algérie Poste a </w:t>
      </w:r>
      <w:r>
        <w:rPr>
          <w:spacing w:val="-4"/>
        </w:rPr>
        <w:t>mis </w:t>
      </w:r>
      <w:r>
        <w:rPr/>
        <w:t>en place une nouvelle plateforme monétique, sécurisée et conforme aux normes, qui offre plusieurs services électroniques tels que </w:t>
      </w:r>
      <w:r>
        <w:rPr>
          <w:spacing w:val="-3"/>
        </w:rPr>
        <w:t>le </w:t>
      </w:r>
      <w:r>
        <w:rPr/>
        <w:t>paiement électronique qui est une priorité pour </w:t>
      </w:r>
      <w:r>
        <w:rPr>
          <w:spacing w:val="-3"/>
        </w:rPr>
        <w:t>les </w:t>
      </w:r>
      <w:r>
        <w:rPr/>
        <w:t>autorités, </w:t>
      </w:r>
      <w:r>
        <w:rPr>
          <w:spacing w:val="-3"/>
        </w:rPr>
        <w:t>visant </w:t>
      </w:r>
      <w:r>
        <w:rPr/>
        <w:t>à généraliser </w:t>
      </w:r>
      <w:r>
        <w:rPr>
          <w:spacing w:val="-3"/>
        </w:rPr>
        <w:t>les </w:t>
      </w:r>
      <w:r>
        <w:rPr/>
        <w:t>moyens de paiement électronique en Algérie, à favoriser l'inclusion financière et à améliorer </w:t>
      </w:r>
      <w:r>
        <w:rPr>
          <w:spacing w:val="-5"/>
        </w:rPr>
        <w:t>la </w:t>
      </w:r>
      <w:r>
        <w:rPr/>
        <w:t>rentabilité de l'économie nationale. Le but de</w:t>
      </w:r>
      <w:r>
        <w:rPr>
          <w:spacing w:val="-39"/>
        </w:rPr>
        <w:t> </w:t>
      </w:r>
      <w:r>
        <w:rPr/>
        <w:t>cette</w:t>
      </w:r>
    </w:p>
    <w:p>
      <w:pPr>
        <w:pStyle w:val="BodyText"/>
        <w:spacing w:before="9"/>
        <w:rPr>
          <w:sz w:val="19"/>
        </w:rPr>
      </w:pPr>
      <w:r>
        <w:rPr/>
        <w:pict>
          <v:shape style="position:absolute;margin-left:84.984001pt;margin-top:13.752183pt;width:144.1pt;height:.1pt;mso-position-horizontal-relative:page;mso-position-vertical-relative:paragraph;z-index:-251633664;mso-wrap-distance-left:0;mso-wrap-distance-right:0" coordorigin="1700,275" coordsize="2882,0" path="m1700,275l4581,275e" filled="false" stroked="true" strokeweight=".71997pt" strokecolor="#000000">
            <v:path arrowok="t"/>
            <v:stroke dashstyle="solid"/>
            <w10:wrap type="topAndBottom"/>
          </v:shape>
        </w:pict>
      </w:r>
    </w:p>
    <w:p>
      <w:pPr>
        <w:spacing w:line="376" w:lineRule="auto" w:before="69"/>
        <w:ind w:left="699" w:right="3485" w:firstLine="0"/>
        <w:jc w:val="left"/>
        <w:rPr>
          <w:i/>
          <w:sz w:val="20"/>
        </w:rPr>
      </w:pPr>
      <w:r>
        <w:rPr>
          <w:rFonts w:ascii="Calibri" w:hAnsi="Calibri"/>
          <w:position w:val="7"/>
          <w:sz w:val="13"/>
        </w:rPr>
        <w:t>1 </w:t>
      </w:r>
      <w:r>
        <w:rPr>
          <w:i/>
          <w:sz w:val="20"/>
        </w:rPr>
        <w:t>Algérie Poste, Présentation, Site officiel Algérie Poste, Algérie Poste, Alger, </w:t>
      </w:r>
      <w:hyperlink r:id="rId45">
        <w:r>
          <w:rPr>
            <w:i/>
            <w:color w:val="0462C1"/>
            <w:sz w:val="20"/>
            <w:u w:val="single" w:color="0462C1"/>
          </w:rPr>
          <w:t>https://www.poste.dz/page/presentation</w:t>
        </w:r>
        <w:r>
          <w:rPr>
            <w:i/>
            <w:sz w:val="20"/>
          </w:rPr>
          <w:t>,</w:t>
        </w:r>
      </w:hyperlink>
      <w:r>
        <w:rPr>
          <w:i/>
          <w:sz w:val="20"/>
        </w:rPr>
        <w:t>[consulté le 22 mars 2025 à 14h45]</w:t>
      </w:r>
    </w:p>
    <w:p>
      <w:pPr>
        <w:spacing w:after="0" w:line="376" w:lineRule="auto"/>
        <w:jc w:val="left"/>
        <w:rPr>
          <w:sz w:val="20"/>
        </w:rPr>
        <w:sectPr>
          <w:pgSz w:w="12240" w:h="15840"/>
          <w:pgMar w:header="723" w:footer="850" w:top="1080" w:bottom="1040" w:left="1000" w:right="820"/>
        </w:sectPr>
      </w:pPr>
    </w:p>
    <w:p>
      <w:pPr>
        <w:pStyle w:val="BodyText"/>
        <w:spacing w:before="6"/>
        <w:rPr>
          <w:i/>
          <w:sz w:val="19"/>
        </w:rPr>
      </w:pPr>
    </w:p>
    <w:p>
      <w:pPr>
        <w:pStyle w:val="BodyText"/>
        <w:spacing w:line="362" w:lineRule="auto" w:before="90"/>
        <w:ind w:left="699" w:right="323"/>
        <w:jc w:val="both"/>
      </w:pPr>
      <w:r>
        <w:rPr/>
        <w:t>approche</w:t>
      </w:r>
      <w:r>
        <w:rPr>
          <w:spacing w:val="-5"/>
        </w:rPr>
        <w:t> </w:t>
      </w:r>
      <w:r>
        <w:rPr/>
        <w:t>est</w:t>
      </w:r>
      <w:r>
        <w:rPr>
          <w:spacing w:val="-3"/>
        </w:rPr>
        <w:t> </w:t>
      </w:r>
      <w:r>
        <w:rPr/>
        <w:t>de</w:t>
      </w:r>
      <w:r>
        <w:rPr>
          <w:spacing w:val="-8"/>
        </w:rPr>
        <w:t> </w:t>
      </w:r>
      <w:r>
        <w:rPr/>
        <w:t>rendre</w:t>
      </w:r>
      <w:r>
        <w:rPr>
          <w:spacing w:val="-4"/>
        </w:rPr>
        <w:t> </w:t>
      </w:r>
      <w:r>
        <w:rPr>
          <w:spacing w:val="-3"/>
        </w:rPr>
        <w:t>plus</w:t>
      </w:r>
      <w:r>
        <w:rPr>
          <w:spacing w:val="-5"/>
        </w:rPr>
        <w:t> </w:t>
      </w:r>
      <w:r>
        <w:rPr/>
        <w:t>accessible l'utilisation</w:t>
      </w:r>
      <w:r>
        <w:rPr>
          <w:spacing w:val="-7"/>
        </w:rPr>
        <w:t> </w:t>
      </w:r>
      <w:r>
        <w:rPr/>
        <w:t>des</w:t>
      </w:r>
      <w:r>
        <w:rPr>
          <w:spacing w:val="-5"/>
        </w:rPr>
        <w:t> </w:t>
      </w:r>
      <w:r>
        <w:rPr/>
        <w:t>différents</w:t>
      </w:r>
      <w:r>
        <w:rPr>
          <w:spacing w:val="-5"/>
        </w:rPr>
        <w:t> </w:t>
      </w:r>
      <w:r>
        <w:rPr/>
        <w:t>moyens</w:t>
      </w:r>
      <w:r>
        <w:rPr>
          <w:spacing w:val="-5"/>
        </w:rPr>
        <w:t> </w:t>
      </w:r>
      <w:r>
        <w:rPr/>
        <w:t>de</w:t>
      </w:r>
      <w:r>
        <w:rPr>
          <w:spacing w:val="-4"/>
        </w:rPr>
        <w:t> </w:t>
      </w:r>
      <w:r>
        <w:rPr/>
        <w:t>paiement</w:t>
      </w:r>
      <w:r>
        <w:rPr>
          <w:spacing w:val="1"/>
        </w:rPr>
        <w:t> </w:t>
      </w:r>
      <w:r>
        <w:rPr/>
        <w:t>électronique multi-canaux,</w:t>
      </w:r>
      <w:r>
        <w:rPr>
          <w:spacing w:val="-5"/>
        </w:rPr>
        <w:t> </w:t>
      </w:r>
      <w:r>
        <w:rPr/>
        <w:t>en</w:t>
      </w:r>
      <w:r>
        <w:rPr>
          <w:spacing w:val="-6"/>
        </w:rPr>
        <w:t> </w:t>
      </w:r>
      <w:r>
        <w:rPr/>
        <w:t>intégrant</w:t>
      </w:r>
      <w:r>
        <w:rPr>
          <w:spacing w:val="3"/>
        </w:rPr>
        <w:t> </w:t>
      </w:r>
      <w:r>
        <w:rPr/>
        <w:t>l'utilisation</w:t>
      </w:r>
      <w:r>
        <w:rPr>
          <w:spacing w:val="-12"/>
        </w:rPr>
        <w:t> </w:t>
      </w:r>
      <w:r>
        <w:rPr/>
        <w:t>des</w:t>
      </w:r>
      <w:r>
        <w:rPr>
          <w:spacing w:val="-8"/>
        </w:rPr>
        <w:t> </w:t>
      </w:r>
      <w:r>
        <w:rPr/>
        <w:t>guichets</w:t>
      </w:r>
      <w:r>
        <w:rPr>
          <w:spacing w:val="-8"/>
        </w:rPr>
        <w:t> </w:t>
      </w:r>
      <w:r>
        <w:rPr/>
        <w:t>automatiques,</w:t>
      </w:r>
      <w:r>
        <w:rPr>
          <w:spacing w:val="-5"/>
        </w:rPr>
        <w:t> </w:t>
      </w:r>
      <w:r>
        <w:rPr/>
        <w:t>TPE,</w:t>
      </w:r>
      <w:r>
        <w:rPr>
          <w:spacing w:val="-4"/>
        </w:rPr>
        <w:t> </w:t>
      </w:r>
      <w:r>
        <w:rPr/>
        <w:t>des</w:t>
      </w:r>
      <w:r>
        <w:rPr>
          <w:spacing w:val="-8"/>
        </w:rPr>
        <w:t> </w:t>
      </w:r>
      <w:r>
        <w:rPr/>
        <w:t>paiements</w:t>
      </w:r>
      <w:r>
        <w:rPr>
          <w:spacing w:val="-9"/>
        </w:rPr>
        <w:t> </w:t>
      </w:r>
      <w:r>
        <w:rPr/>
        <w:t>en</w:t>
      </w:r>
      <w:r>
        <w:rPr>
          <w:spacing w:val="-6"/>
        </w:rPr>
        <w:t> </w:t>
      </w:r>
      <w:r>
        <w:rPr/>
        <w:t>ligne</w:t>
      </w:r>
      <w:r>
        <w:rPr>
          <w:spacing w:val="-7"/>
        </w:rPr>
        <w:t> </w:t>
      </w:r>
      <w:r>
        <w:rPr/>
        <w:t>sur Internet </w:t>
      </w:r>
      <w:r>
        <w:rPr>
          <w:spacing w:val="-3"/>
        </w:rPr>
        <w:t>et </w:t>
      </w:r>
      <w:r>
        <w:rPr/>
        <w:t>des options de paiement via </w:t>
      </w:r>
      <w:r>
        <w:rPr>
          <w:spacing w:val="-3"/>
        </w:rPr>
        <w:t>les </w:t>
      </w:r>
      <w:r>
        <w:rPr/>
        <w:t>applications</w:t>
      </w:r>
      <w:r>
        <w:rPr>
          <w:spacing w:val="26"/>
        </w:rPr>
        <w:t> </w:t>
      </w:r>
      <w:r>
        <w:rPr/>
        <w:t>mobile.</w:t>
      </w:r>
    </w:p>
    <w:p>
      <w:pPr>
        <w:pStyle w:val="Heading5"/>
        <w:tabs>
          <w:tab w:pos="1420" w:val="left" w:leader="none"/>
        </w:tabs>
        <w:spacing w:before="156"/>
        <w:ind w:left="1060" w:firstLine="0"/>
        <w:jc w:val="left"/>
      </w:pPr>
      <w:r>
        <w:rPr>
          <w:b w:val="0"/>
        </w:rPr>
        <w:t>-</w:t>
        <w:tab/>
      </w:r>
      <w:r>
        <w:rPr/>
        <w:t>Le Réseau du</w:t>
      </w:r>
      <w:r>
        <w:rPr>
          <w:spacing w:val="4"/>
        </w:rPr>
        <w:t> </w:t>
      </w:r>
      <w:r>
        <w:rPr/>
        <w:t>GAB</w:t>
      </w:r>
    </w:p>
    <w:p>
      <w:pPr>
        <w:pStyle w:val="BodyText"/>
        <w:spacing w:before="8"/>
        <w:rPr>
          <w:b/>
          <w:sz w:val="20"/>
        </w:rPr>
      </w:pPr>
    </w:p>
    <w:p>
      <w:pPr>
        <w:pStyle w:val="BodyText"/>
        <w:spacing w:line="362" w:lineRule="auto"/>
        <w:ind w:left="699" w:right="321" w:firstLine="485"/>
        <w:jc w:val="both"/>
      </w:pPr>
      <w:r>
        <w:rPr>
          <w:spacing w:val="-3"/>
        </w:rPr>
        <w:t>Afin</w:t>
      </w:r>
      <w:r>
        <w:rPr>
          <w:spacing w:val="-14"/>
        </w:rPr>
        <w:t> </w:t>
      </w:r>
      <w:r>
        <w:rPr/>
        <w:t>de</w:t>
      </w:r>
      <w:r>
        <w:rPr>
          <w:spacing w:val="-10"/>
        </w:rPr>
        <w:t> </w:t>
      </w:r>
      <w:r>
        <w:rPr/>
        <w:t>réduire</w:t>
      </w:r>
      <w:r>
        <w:rPr>
          <w:spacing w:val="-5"/>
        </w:rPr>
        <w:t> </w:t>
      </w:r>
      <w:r>
        <w:rPr>
          <w:spacing w:val="-3"/>
        </w:rPr>
        <w:t>la</w:t>
      </w:r>
      <w:r>
        <w:rPr>
          <w:spacing w:val="-11"/>
        </w:rPr>
        <w:t> </w:t>
      </w:r>
      <w:r>
        <w:rPr/>
        <w:t>charge</w:t>
      </w:r>
      <w:r>
        <w:rPr>
          <w:spacing w:val="-10"/>
        </w:rPr>
        <w:t> </w:t>
      </w:r>
      <w:r>
        <w:rPr/>
        <w:t>des</w:t>
      </w:r>
      <w:r>
        <w:rPr>
          <w:spacing w:val="-6"/>
        </w:rPr>
        <w:t> </w:t>
      </w:r>
      <w:r>
        <w:rPr/>
        <w:t>bureaux</w:t>
      </w:r>
      <w:r>
        <w:rPr>
          <w:spacing w:val="-13"/>
        </w:rPr>
        <w:t> </w:t>
      </w:r>
      <w:r>
        <w:rPr/>
        <w:t>de</w:t>
      </w:r>
      <w:r>
        <w:rPr>
          <w:spacing w:val="-11"/>
        </w:rPr>
        <w:t> </w:t>
      </w:r>
      <w:r>
        <w:rPr/>
        <w:t>poste</w:t>
      </w:r>
      <w:r>
        <w:rPr>
          <w:spacing w:val="-10"/>
        </w:rPr>
        <w:t> </w:t>
      </w:r>
      <w:r>
        <w:rPr>
          <w:spacing w:val="-3"/>
        </w:rPr>
        <w:t>et</w:t>
      </w:r>
      <w:r>
        <w:rPr>
          <w:spacing w:val="-8"/>
        </w:rPr>
        <w:t> </w:t>
      </w:r>
      <w:r>
        <w:rPr/>
        <w:t>de</w:t>
      </w:r>
      <w:r>
        <w:rPr>
          <w:spacing w:val="-11"/>
        </w:rPr>
        <w:t> </w:t>
      </w:r>
      <w:r>
        <w:rPr/>
        <w:t>rendre</w:t>
      </w:r>
      <w:r>
        <w:rPr>
          <w:spacing w:val="-5"/>
        </w:rPr>
        <w:t> </w:t>
      </w:r>
      <w:r>
        <w:rPr>
          <w:spacing w:val="-3"/>
        </w:rPr>
        <w:t>les</w:t>
      </w:r>
      <w:r>
        <w:rPr>
          <w:spacing w:val="-11"/>
        </w:rPr>
        <w:t> </w:t>
      </w:r>
      <w:r>
        <w:rPr/>
        <w:t>transactions</w:t>
      </w:r>
      <w:r>
        <w:rPr>
          <w:spacing w:val="-7"/>
        </w:rPr>
        <w:t> </w:t>
      </w:r>
      <w:r>
        <w:rPr/>
        <w:t>financières</w:t>
      </w:r>
      <w:r>
        <w:rPr>
          <w:spacing w:val="-6"/>
        </w:rPr>
        <w:t> </w:t>
      </w:r>
      <w:r>
        <w:rPr/>
        <w:t>faciles, Algérie Poste a opté à l’élargissement de son réseau « </w:t>
      </w:r>
      <w:r>
        <w:rPr>
          <w:spacing w:val="-3"/>
        </w:rPr>
        <w:t>GAB </w:t>
      </w:r>
      <w:r>
        <w:rPr/>
        <w:t>» par l’acquisition d’une génération d’automates nouvelle qui offre de nouveaux services comme virement de compte à compte, </w:t>
      </w:r>
      <w:r>
        <w:rPr>
          <w:spacing w:val="-5"/>
        </w:rPr>
        <w:t>la </w:t>
      </w:r>
      <w:r>
        <w:rPr/>
        <w:t>recharge mobile, </w:t>
      </w:r>
      <w:r>
        <w:rPr>
          <w:spacing w:val="-5"/>
        </w:rPr>
        <w:t>la </w:t>
      </w:r>
      <w:r>
        <w:rPr/>
        <w:t>commande de chéquier, </w:t>
      </w:r>
      <w:r>
        <w:rPr>
          <w:spacing w:val="-3"/>
        </w:rPr>
        <w:t>le </w:t>
      </w:r>
      <w:r>
        <w:rPr/>
        <w:t>changement</w:t>
      </w:r>
      <w:r>
        <w:rPr>
          <w:spacing w:val="34"/>
        </w:rPr>
        <w:t> </w:t>
      </w:r>
      <w:r>
        <w:rPr/>
        <w:t>…</w:t>
      </w:r>
    </w:p>
    <w:p>
      <w:pPr>
        <w:pStyle w:val="BodyText"/>
        <w:spacing w:line="360" w:lineRule="auto" w:before="153"/>
        <w:ind w:left="699" w:right="316" w:firstLine="422"/>
        <w:jc w:val="both"/>
      </w:pPr>
      <w:r>
        <w:rPr/>
        <w:t>Alors qu’en 1999, </w:t>
      </w:r>
      <w:r>
        <w:rPr>
          <w:spacing w:val="-5"/>
        </w:rPr>
        <w:t>le </w:t>
      </w:r>
      <w:r>
        <w:rPr/>
        <w:t>réseau postal a distribué un nombre de presque 100 mille cartes électroniques,</w:t>
      </w:r>
      <w:r>
        <w:rPr>
          <w:spacing w:val="-9"/>
        </w:rPr>
        <w:t> </w:t>
      </w:r>
      <w:r>
        <w:rPr/>
        <w:t>utilisant</w:t>
      </w:r>
      <w:r>
        <w:rPr>
          <w:spacing w:val="-6"/>
        </w:rPr>
        <w:t> </w:t>
      </w:r>
      <w:r>
        <w:rPr/>
        <w:t>un</w:t>
      </w:r>
      <w:r>
        <w:rPr>
          <w:spacing w:val="-14"/>
        </w:rPr>
        <w:t> </w:t>
      </w:r>
      <w:r>
        <w:rPr/>
        <w:t>total</w:t>
      </w:r>
      <w:r>
        <w:rPr>
          <w:spacing w:val="-20"/>
        </w:rPr>
        <w:t> </w:t>
      </w:r>
      <w:r>
        <w:rPr/>
        <w:t>de</w:t>
      </w:r>
      <w:r>
        <w:rPr>
          <w:spacing w:val="-11"/>
        </w:rPr>
        <w:t> </w:t>
      </w:r>
      <w:r>
        <w:rPr/>
        <w:t>100</w:t>
      </w:r>
      <w:r>
        <w:rPr>
          <w:spacing w:val="-11"/>
        </w:rPr>
        <w:t> </w:t>
      </w:r>
      <w:r>
        <w:rPr/>
        <w:t>Billets</w:t>
      </w:r>
      <w:r>
        <w:rPr>
          <w:spacing w:val="-12"/>
        </w:rPr>
        <w:t> </w:t>
      </w:r>
      <w:r>
        <w:rPr/>
        <w:t>DAB</w:t>
      </w:r>
      <w:r>
        <w:rPr>
          <w:spacing w:val="-12"/>
        </w:rPr>
        <w:t> </w:t>
      </w:r>
      <w:r>
        <w:rPr/>
        <w:t>qui</w:t>
      </w:r>
      <w:r>
        <w:rPr>
          <w:spacing w:val="-14"/>
        </w:rPr>
        <w:t> </w:t>
      </w:r>
      <w:r>
        <w:rPr>
          <w:spacing w:val="-3"/>
        </w:rPr>
        <w:t>ne</w:t>
      </w:r>
      <w:r>
        <w:rPr>
          <w:spacing w:val="-12"/>
        </w:rPr>
        <w:t> </w:t>
      </w:r>
      <w:r>
        <w:rPr/>
        <w:t>permettaient</w:t>
      </w:r>
      <w:r>
        <w:rPr>
          <w:spacing w:val="-5"/>
        </w:rPr>
        <w:t> </w:t>
      </w:r>
      <w:r>
        <w:rPr/>
        <w:t>que</w:t>
      </w:r>
      <w:r>
        <w:rPr>
          <w:spacing w:val="-7"/>
        </w:rPr>
        <w:t> </w:t>
      </w:r>
      <w:r>
        <w:rPr>
          <w:spacing w:val="-5"/>
        </w:rPr>
        <w:t>le</w:t>
      </w:r>
      <w:r>
        <w:rPr>
          <w:spacing w:val="-12"/>
        </w:rPr>
        <w:t> </w:t>
      </w:r>
      <w:r>
        <w:rPr/>
        <w:t>retrait</w:t>
      </w:r>
      <w:r>
        <w:rPr>
          <w:spacing w:val="-6"/>
        </w:rPr>
        <w:t> </w:t>
      </w:r>
      <w:r>
        <w:rPr/>
        <w:t>d’argent,</w:t>
      </w:r>
      <w:r>
        <w:rPr>
          <w:spacing w:val="-8"/>
        </w:rPr>
        <w:t> </w:t>
      </w:r>
      <w:r>
        <w:rPr/>
        <w:t>mais depuis 2017 plus de 5,7 millions de cartes de paiement (cartes EDAHABIA), avec une</w:t>
      </w:r>
      <w:r>
        <w:rPr>
          <w:spacing w:val="-35"/>
        </w:rPr>
        <w:t> </w:t>
      </w:r>
      <w:r>
        <w:rPr/>
        <w:t>production en</w:t>
      </w:r>
      <w:r>
        <w:rPr>
          <w:spacing w:val="-19"/>
        </w:rPr>
        <w:t> </w:t>
      </w:r>
      <w:r>
        <w:rPr/>
        <w:t>continu</w:t>
      </w:r>
      <w:r>
        <w:rPr>
          <w:spacing w:val="-14"/>
        </w:rPr>
        <w:t> </w:t>
      </w:r>
      <w:r>
        <w:rPr/>
        <w:t>afin</w:t>
      </w:r>
      <w:r>
        <w:rPr>
          <w:spacing w:val="-19"/>
        </w:rPr>
        <w:t> </w:t>
      </w:r>
      <w:r>
        <w:rPr/>
        <w:t>de</w:t>
      </w:r>
      <w:r>
        <w:rPr>
          <w:spacing w:val="-15"/>
        </w:rPr>
        <w:t> </w:t>
      </w:r>
      <w:r>
        <w:rPr/>
        <w:t>satisfaire</w:t>
      </w:r>
      <w:r>
        <w:rPr>
          <w:spacing w:val="-15"/>
        </w:rPr>
        <w:t> </w:t>
      </w:r>
      <w:r>
        <w:rPr>
          <w:spacing w:val="2"/>
        </w:rPr>
        <w:t>tous</w:t>
      </w:r>
      <w:r>
        <w:rPr>
          <w:spacing w:val="-16"/>
        </w:rPr>
        <w:t> </w:t>
      </w:r>
      <w:r>
        <w:rPr>
          <w:spacing w:val="-4"/>
        </w:rPr>
        <w:t>les</w:t>
      </w:r>
      <w:r>
        <w:rPr>
          <w:spacing w:val="-17"/>
        </w:rPr>
        <w:t> </w:t>
      </w:r>
      <w:r>
        <w:rPr/>
        <w:t>clients</w:t>
      </w:r>
      <w:r>
        <w:rPr>
          <w:spacing w:val="-17"/>
        </w:rPr>
        <w:t> </w:t>
      </w:r>
      <w:r>
        <w:rPr/>
        <w:t>de</w:t>
      </w:r>
      <w:r>
        <w:rPr>
          <w:spacing w:val="-15"/>
        </w:rPr>
        <w:t> </w:t>
      </w:r>
      <w:r>
        <w:rPr>
          <w:spacing w:val="-3"/>
        </w:rPr>
        <w:t>la</w:t>
      </w:r>
      <w:r>
        <w:rPr>
          <w:spacing w:val="-15"/>
        </w:rPr>
        <w:t> </w:t>
      </w:r>
      <w:r>
        <w:rPr/>
        <w:t>poste</w:t>
      </w:r>
      <w:r>
        <w:rPr>
          <w:spacing w:val="-15"/>
        </w:rPr>
        <w:t> </w:t>
      </w:r>
      <w:r>
        <w:rPr/>
        <w:t>1375</w:t>
      </w:r>
      <w:r>
        <w:rPr>
          <w:spacing w:val="-18"/>
        </w:rPr>
        <w:t> </w:t>
      </w:r>
      <w:r>
        <w:rPr/>
        <w:t>GAB</w:t>
      </w:r>
      <w:r>
        <w:rPr>
          <w:spacing w:val="-16"/>
        </w:rPr>
        <w:t> </w:t>
      </w:r>
      <w:r>
        <w:rPr/>
        <w:t>qui</w:t>
      </w:r>
      <w:r>
        <w:rPr>
          <w:spacing w:val="-24"/>
        </w:rPr>
        <w:t> </w:t>
      </w:r>
      <w:r>
        <w:rPr/>
        <w:t>offrent</w:t>
      </w:r>
      <w:r>
        <w:rPr>
          <w:spacing w:val="-9"/>
        </w:rPr>
        <w:t> </w:t>
      </w:r>
      <w:r>
        <w:rPr/>
        <w:t>des</w:t>
      </w:r>
      <w:r>
        <w:rPr>
          <w:spacing w:val="-17"/>
        </w:rPr>
        <w:t> </w:t>
      </w:r>
      <w:r>
        <w:rPr/>
        <w:t>services</w:t>
      </w:r>
      <w:r>
        <w:rPr>
          <w:spacing w:val="-16"/>
        </w:rPr>
        <w:t> </w:t>
      </w:r>
      <w:r>
        <w:rPr/>
        <w:t>différents.</w:t>
      </w:r>
    </w:p>
    <w:p>
      <w:pPr>
        <w:pStyle w:val="BodyText"/>
        <w:spacing w:line="362" w:lineRule="auto" w:before="159"/>
        <w:ind w:left="699" w:right="318" w:firstLine="360"/>
        <w:jc w:val="both"/>
      </w:pPr>
      <w:r>
        <w:rPr/>
        <w:t>En 2018, ces GAB ont enregistré la réalisation de plus soixante-six (66) millions d’opérations services en ligne.</w:t>
      </w:r>
    </w:p>
    <w:p>
      <w:pPr>
        <w:pStyle w:val="BodyText"/>
        <w:spacing w:line="360" w:lineRule="auto" w:before="156"/>
        <w:ind w:left="699" w:right="320" w:firstLine="360"/>
        <w:jc w:val="both"/>
      </w:pPr>
      <w:r>
        <w:rPr/>
        <w:t>Afin</w:t>
      </w:r>
      <w:r>
        <w:rPr>
          <w:spacing w:val="-14"/>
        </w:rPr>
        <w:t> </w:t>
      </w:r>
      <w:r>
        <w:rPr/>
        <w:t>de</w:t>
      </w:r>
      <w:r>
        <w:rPr>
          <w:spacing w:val="-7"/>
        </w:rPr>
        <w:t> </w:t>
      </w:r>
      <w:r>
        <w:rPr/>
        <w:t>mieux</w:t>
      </w:r>
      <w:r>
        <w:rPr>
          <w:spacing w:val="-10"/>
        </w:rPr>
        <w:t> </w:t>
      </w:r>
      <w:r>
        <w:rPr/>
        <w:t>satisfaire</w:t>
      </w:r>
      <w:r>
        <w:rPr>
          <w:spacing w:val="-6"/>
        </w:rPr>
        <w:t> </w:t>
      </w:r>
      <w:r>
        <w:rPr>
          <w:spacing w:val="-3"/>
        </w:rPr>
        <w:t>les</w:t>
      </w:r>
      <w:r>
        <w:rPr>
          <w:spacing w:val="-12"/>
        </w:rPr>
        <w:t> </w:t>
      </w:r>
      <w:r>
        <w:rPr/>
        <w:t>clients</w:t>
      </w:r>
      <w:r>
        <w:rPr>
          <w:spacing w:val="-12"/>
        </w:rPr>
        <w:t> </w:t>
      </w:r>
      <w:r>
        <w:rPr/>
        <w:t>d’Algérie</w:t>
      </w:r>
      <w:r>
        <w:rPr>
          <w:spacing w:val="-12"/>
        </w:rPr>
        <w:t> </w:t>
      </w:r>
      <w:r>
        <w:rPr/>
        <w:t>poste,</w:t>
      </w:r>
      <w:r>
        <w:rPr>
          <w:spacing w:val="-12"/>
        </w:rPr>
        <w:t> </w:t>
      </w:r>
      <w:r>
        <w:rPr/>
        <w:t>elle</w:t>
      </w:r>
      <w:r>
        <w:rPr>
          <w:spacing w:val="-11"/>
        </w:rPr>
        <w:t> </w:t>
      </w:r>
      <w:r>
        <w:rPr>
          <w:spacing w:val="2"/>
        </w:rPr>
        <w:t>opte</w:t>
      </w:r>
      <w:r>
        <w:rPr>
          <w:spacing w:val="-11"/>
        </w:rPr>
        <w:t> </w:t>
      </w:r>
      <w:r>
        <w:rPr/>
        <w:t>à</w:t>
      </w:r>
      <w:r>
        <w:rPr>
          <w:spacing w:val="-15"/>
        </w:rPr>
        <w:t> </w:t>
      </w:r>
      <w:r>
        <w:rPr/>
        <w:t>l’améliorer</w:t>
      </w:r>
      <w:r>
        <w:rPr>
          <w:spacing w:val="-3"/>
        </w:rPr>
        <w:t> </w:t>
      </w:r>
      <w:r>
        <w:rPr>
          <w:spacing w:val="-5"/>
        </w:rPr>
        <w:t>la</w:t>
      </w:r>
      <w:r>
        <w:rPr>
          <w:spacing w:val="-11"/>
        </w:rPr>
        <w:t> </w:t>
      </w:r>
      <w:r>
        <w:rPr/>
        <w:t>qualité</w:t>
      </w:r>
      <w:r>
        <w:rPr>
          <w:spacing w:val="-12"/>
        </w:rPr>
        <w:t> </w:t>
      </w:r>
      <w:r>
        <w:rPr/>
        <w:t>des</w:t>
      </w:r>
      <w:r>
        <w:rPr>
          <w:spacing w:val="-12"/>
        </w:rPr>
        <w:t> </w:t>
      </w:r>
      <w:r>
        <w:rPr/>
        <w:t>service postaux et financier à travers </w:t>
      </w:r>
      <w:r>
        <w:rPr>
          <w:spacing w:val="-5"/>
        </w:rPr>
        <w:t>le </w:t>
      </w:r>
      <w:r>
        <w:rPr/>
        <w:t>lancement des services en </w:t>
      </w:r>
      <w:r>
        <w:rPr>
          <w:spacing w:val="-3"/>
        </w:rPr>
        <w:t>ligne </w:t>
      </w:r>
      <w:r>
        <w:rPr/>
        <w:t>(BARIDINET et Services via Mobile) tel que l’application mobile BARIDIMOB qui permet de réaliser toutes </w:t>
      </w:r>
      <w:r>
        <w:rPr>
          <w:spacing w:val="-4"/>
        </w:rPr>
        <w:t>les </w:t>
      </w:r>
      <w:r>
        <w:rPr/>
        <w:t>opérations effectuées avec </w:t>
      </w:r>
      <w:r>
        <w:rPr>
          <w:spacing w:val="-5"/>
        </w:rPr>
        <w:t>la </w:t>
      </w:r>
      <w:r>
        <w:rPr/>
        <w:t>carte « EDAHABIA</w:t>
      </w:r>
      <w:r>
        <w:rPr>
          <w:spacing w:val="5"/>
        </w:rPr>
        <w:t> </w:t>
      </w:r>
      <w:r>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r>
        <w:rPr/>
        <w:pict>
          <v:shape style="position:absolute;margin-left:84.984001pt;margin-top:18.691704pt;width:144.1pt;height:.1pt;mso-position-horizontal-relative:page;mso-position-vertical-relative:paragraph;z-index:-251632640;mso-wrap-distance-left:0;mso-wrap-distance-right:0" coordorigin="1700,374" coordsize="2882,0" path="m1700,374l4581,374e" filled="false" stroked="true" strokeweight=".71997pt" strokecolor="#000000">
            <v:path arrowok="t"/>
            <v:stroke dashstyle="solid"/>
            <w10:wrap type="topAndBottom"/>
          </v:shape>
        </w:pict>
      </w:r>
    </w:p>
    <w:p>
      <w:pPr>
        <w:spacing w:line="261" w:lineRule="auto" w:before="62"/>
        <w:ind w:left="699" w:right="3515" w:firstLine="0"/>
        <w:jc w:val="left"/>
        <w:rPr>
          <w:i/>
          <w:sz w:val="20"/>
        </w:rPr>
      </w:pPr>
      <w:r>
        <w:rPr>
          <w:i/>
          <w:position w:val="7"/>
          <w:sz w:val="13"/>
        </w:rPr>
        <w:t>1</w:t>
      </w:r>
      <w:r>
        <w:rPr>
          <w:i/>
          <w:sz w:val="20"/>
        </w:rPr>
        <w:t>Algérie Poste, Présentation, Site officiel Algérie Poste, Algérie Poste, Alger, </w:t>
      </w:r>
      <w:hyperlink r:id="rId45">
        <w:r>
          <w:rPr>
            <w:i/>
            <w:color w:val="0462C1"/>
            <w:sz w:val="20"/>
            <w:u w:val="single" w:color="0462C1"/>
          </w:rPr>
          <w:t>https://www.poste.dz/page/presentation</w:t>
        </w:r>
        <w:r>
          <w:rPr>
            <w:i/>
            <w:color w:val="0462C1"/>
            <w:sz w:val="20"/>
          </w:rPr>
          <w:t> </w:t>
        </w:r>
      </w:hyperlink>
      <w:r>
        <w:rPr>
          <w:i/>
          <w:sz w:val="20"/>
        </w:rPr>
        <w:t>,[consulté le 22 mars 2025 à 14h45]</w:t>
      </w:r>
    </w:p>
    <w:p>
      <w:pPr>
        <w:spacing w:after="0" w:line="261" w:lineRule="auto"/>
        <w:jc w:val="left"/>
        <w:rPr>
          <w:sz w:val="20"/>
        </w:rPr>
        <w:sectPr>
          <w:pgSz w:w="12240" w:h="15840"/>
          <w:pgMar w:header="723" w:footer="850" w:top="1080" w:bottom="1040" w:left="1000" w:right="820"/>
        </w:sectPr>
      </w:pPr>
    </w:p>
    <w:p>
      <w:pPr>
        <w:pStyle w:val="BodyText"/>
        <w:spacing w:before="7"/>
        <w:rPr>
          <w:i/>
          <w:sz w:val="20"/>
        </w:rPr>
      </w:pPr>
    </w:p>
    <w:p>
      <w:pPr>
        <w:pStyle w:val="Heading5"/>
        <w:numPr>
          <w:ilvl w:val="1"/>
          <w:numId w:val="13"/>
        </w:numPr>
        <w:tabs>
          <w:tab w:pos="1421" w:val="left" w:leader="none"/>
        </w:tabs>
        <w:spacing w:line="240" w:lineRule="auto" w:before="87" w:after="0"/>
        <w:ind w:left="1420" w:right="0" w:hanging="361"/>
        <w:jc w:val="left"/>
        <w:rPr>
          <w:sz w:val="27"/>
        </w:rPr>
      </w:pPr>
      <w:bookmarkStart w:name="1.4 Organigramme d’Algérie poste" w:id="125"/>
      <w:bookmarkEnd w:id="125"/>
      <w:r>
        <w:rPr>
          <w:b w:val="0"/>
        </w:rPr>
      </w:r>
      <w:bookmarkStart w:name="1.4 Organigramme d’Algérie poste" w:id="126"/>
      <w:bookmarkEnd w:id="126"/>
      <w:r>
        <w:rPr/>
        <w:t>O</w:t>
      </w:r>
      <w:r>
        <w:rPr/>
        <w:t>rganigramme d’Algérie</w:t>
      </w:r>
      <w:r>
        <w:rPr>
          <w:spacing w:val="1"/>
        </w:rPr>
        <w:t> </w:t>
      </w:r>
      <w:r>
        <w:rPr/>
        <w:t>poste</w:t>
      </w:r>
    </w:p>
    <w:p>
      <w:pPr>
        <w:spacing w:before="265"/>
        <w:ind w:left="699" w:right="0" w:firstLine="0"/>
        <w:jc w:val="left"/>
        <w:rPr>
          <w:i/>
          <w:sz w:val="22"/>
        </w:rPr>
      </w:pPr>
      <w:bookmarkStart w:name="_bookmark13" w:id="127"/>
      <w:bookmarkEnd w:id="127"/>
      <w:r>
        <w:rPr/>
      </w:r>
      <w:r>
        <w:rPr>
          <w:b/>
          <w:i/>
          <w:sz w:val="22"/>
        </w:rPr>
        <w:t>Figure </w:t>
      </w:r>
      <w:r>
        <w:rPr>
          <w:i/>
          <w:sz w:val="22"/>
        </w:rPr>
        <w:t>1: Organigramme d’Algérie poste</w:t>
      </w:r>
    </w:p>
    <w:p>
      <w:pPr>
        <w:pStyle w:val="BodyText"/>
        <w:spacing w:before="2"/>
        <w:rPr>
          <w:i/>
          <w:sz w:val="29"/>
        </w:rPr>
      </w:pPr>
      <w:r>
        <w:rPr/>
        <w:drawing>
          <wp:anchor distT="0" distB="0" distL="0" distR="0" allowOverlap="1" layoutInCell="1" locked="0" behindDoc="0" simplePos="0" relativeHeight="26">
            <wp:simplePos x="0" y="0"/>
            <wp:positionH relativeFrom="page">
              <wp:posOffset>709819</wp:posOffset>
            </wp:positionH>
            <wp:positionV relativeFrom="paragraph">
              <wp:posOffset>238145</wp:posOffset>
            </wp:positionV>
            <wp:extent cx="6382714" cy="4401978"/>
            <wp:effectExtent l="0" t="0" r="0" b="0"/>
            <wp:wrapTopAndBottom/>
            <wp:docPr id="5" name="image3.png"/>
            <wp:cNvGraphicFramePr>
              <a:graphicFrameLocks noChangeAspect="1"/>
            </wp:cNvGraphicFramePr>
            <a:graphic>
              <a:graphicData uri="http://schemas.openxmlformats.org/drawingml/2006/picture">
                <pic:pic>
                  <pic:nvPicPr>
                    <pic:cNvPr id="6" name="image3.png"/>
                    <pic:cNvPicPr/>
                  </pic:nvPicPr>
                  <pic:blipFill>
                    <a:blip r:embed="rId46" cstate="print"/>
                    <a:stretch>
                      <a:fillRect/>
                    </a:stretch>
                  </pic:blipFill>
                  <pic:spPr>
                    <a:xfrm>
                      <a:off x="0" y="0"/>
                      <a:ext cx="6382714" cy="4401978"/>
                    </a:xfrm>
                    <a:prstGeom prst="rect">
                      <a:avLst/>
                    </a:prstGeom>
                  </pic:spPr>
                </pic:pic>
              </a:graphicData>
            </a:graphic>
          </wp:anchor>
        </w:drawing>
      </w:r>
    </w:p>
    <w:p>
      <w:pPr>
        <w:pStyle w:val="BodyText"/>
        <w:rPr>
          <w:i/>
        </w:rPr>
      </w:pPr>
    </w:p>
    <w:p>
      <w:pPr>
        <w:pStyle w:val="BodyText"/>
        <w:spacing w:before="2"/>
        <w:rPr>
          <w:i/>
          <w:sz w:val="21"/>
        </w:rPr>
      </w:pPr>
    </w:p>
    <w:p>
      <w:pPr>
        <w:spacing w:before="0"/>
        <w:ind w:left="3845" w:right="0" w:firstLine="0"/>
        <w:jc w:val="left"/>
        <w:rPr>
          <w:sz w:val="20"/>
        </w:rPr>
      </w:pPr>
      <w:r>
        <w:rPr>
          <w:b/>
          <w:sz w:val="20"/>
        </w:rPr>
        <w:t>Source </w:t>
      </w:r>
      <w:r>
        <w:rPr>
          <w:sz w:val="20"/>
        </w:rPr>
        <w:t>: Document interne d’Algérie poste</w:t>
      </w:r>
    </w:p>
    <w:p>
      <w:pPr>
        <w:pStyle w:val="BodyText"/>
        <w:spacing w:before="5"/>
        <w:rPr>
          <w:sz w:val="26"/>
        </w:rPr>
      </w:pPr>
    </w:p>
    <w:p>
      <w:pPr>
        <w:pStyle w:val="Heading5"/>
        <w:numPr>
          <w:ilvl w:val="1"/>
          <w:numId w:val="13"/>
        </w:numPr>
        <w:tabs>
          <w:tab w:pos="1421" w:val="left" w:leader="none"/>
        </w:tabs>
        <w:spacing w:line="240" w:lineRule="auto" w:before="1" w:after="0"/>
        <w:ind w:left="1420" w:right="0" w:hanging="361"/>
        <w:jc w:val="left"/>
      </w:pPr>
      <w:bookmarkStart w:name="1.5 Les différentes prestations d’Algéri" w:id="128"/>
      <w:bookmarkEnd w:id="128"/>
      <w:r>
        <w:rPr>
          <w:b w:val="0"/>
        </w:rPr>
      </w:r>
      <w:bookmarkStart w:name="1.5 Les différentes prestations d’Algéri" w:id="129"/>
      <w:bookmarkEnd w:id="129"/>
      <w:r>
        <w:rPr/>
        <w:t>L</w:t>
      </w:r>
      <w:r>
        <w:rPr/>
        <w:t>es différentes prestations d’Algérie Poste</w:t>
      </w:r>
    </w:p>
    <w:p>
      <w:pPr>
        <w:pStyle w:val="BodyText"/>
        <w:spacing w:before="1"/>
        <w:rPr>
          <w:b/>
          <w:sz w:val="23"/>
        </w:rPr>
      </w:pPr>
    </w:p>
    <w:p>
      <w:pPr>
        <w:pStyle w:val="BodyText"/>
        <w:spacing w:line="362" w:lineRule="auto"/>
        <w:ind w:left="699" w:right="238" w:firstLine="408"/>
      </w:pPr>
      <w:r>
        <w:rPr/>
        <w:t>Algérie Poste propose une large gamme de prestations destinées aussi bien aux particuliers qu’aux entreprises.</w:t>
      </w:r>
    </w:p>
    <w:p>
      <w:pPr>
        <w:pStyle w:val="Heading5"/>
        <w:numPr>
          <w:ilvl w:val="2"/>
          <w:numId w:val="15"/>
        </w:numPr>
        <w:tabs>
          <w:tab w:pos="2140" w:val="left" w:leader="none"/>
          <w:tab w:pos="2141" w:val="left" w:leader="none"/>
        </w:tabs>
        <w:spacing w:line="240" w:lineRule="auto" w:before="41" w:after="0"/>
        <w:ind w:left="2140" w:right="0" w:hanging="721"/>
        <w:jc w:val="left"/>
      </w:pPr>
      <w:bookmarkStart w:name="1.5.1 Services financiers postaux et mon" w:id="130"/>
      <w:bookmarkEnd w:id="130"/>
      <w:r>
        <w:rPr>
          <w:b w:val="0"/>
        </w:rPr>
      </w:r>
      <w:bookmarkStart w:name="1.5.1 Services financiers postaux et mon" w:id="131"/>
      <w:bookmarkEnd w:id="131"/>
      <w:r>
        <w:rPr/>
        <w:t>S</w:t>
      </w:r>
      <w:r>
        <w:rPr/>
        <w:t>ervices financiers postaux et monétiques</w:t>
      </w:r>
      <w:r>
        <w:rPr>
          <w:spacing w:val="4"/>
        </w:rPr>
        <w:t> </w:t>
      </w:r>
      <w:r>
        <w:rPr/>
        <w:t>:</w:t>
      </w:r>
    </w:p>
    <w:p>
      <w:pPr>
        <w:pStyle w:val="BodyText"/>
        <w:spacing w:before="2"/>
        <w:rPr>
          <w:b/>
          <w:sz w:val="23"/>
        </w:rPr>
      </w:pPr>
    </w:p>
    <w:p>
      <w:pPr>
        <w:pStyle w:val="BodyText"/>
        <w:ind w:left="1060"/>
        <w:rPr>
          <w:rFonts w:ascii="Calibri" w:hAnsi="Calibri"/>
          <w:sz w:val="22"/>
        </w:rPr>
      </w:pPr>
      <w:r>
        <w:rPr/>
        <w:t>Algérie poste offre plusieurs services financiers postaux et monétique qui sont :</w:t>
      </w:r>
      <w:r>
        <w:rPr>
          <w:rFonts w:ascii="Calibri" w:hAnsi="Calibri"/>
          <w:sz w:val="22"/>
        </w:rPr>
        <w:t>1</w:t>
      </w:r>
    </w:p>
    <w:p>
      <w:pPr>
        <w:pStyle w:val="BodyText"/>
        <w:rPr>
          <w:rFonts w:ascii="Calibri"/>
          <w:sz w:val="20"/>
        </w:rPr>
      </w:pPr>
    </w:p>
    <w:p>
      <w:pPr>
        <w:pStyle w:val="BodyText"/>
        <w:spacing w:before="11"/>
        <w:rPr>
          <w:rFonts w:ascii="Calibri"/>
          <w:sz w:val="17"/>
        </w:rPr>
      </w:pPr>
      <w:r>
        <w:rPr/>
        <w:pict>
          <v:shape style="position:absolute;margin-left:84.984001pt;margin-top:13.291548pt;width:144.1pt;height:.1pt;mso-position-horizontal-relative:page;mso-position-vertical-relative:paragraph;z-index:-251630592;mso-wrap-distance-left:0;mso-wrap-distance-right:0" coordorigin="1700,266" coordsize="2882,0" path="m1700,266l4581,266e" filled="false" stroked="true" strokeweight=".71997pt" strokecolor="#000000">
            <v:path arrowok="t"/>
            <v:stroke dashstyle="solid"/>
            <w10:wrap type="topAndBottom"/>
          </v:shape>
        </w:pict>
      </w:r>
    </w:p>
    <w:p>
      <w:pPr>
        <w:spacing w:line="244" w:lineRule="auto" w:before="69"/>
        <w:ind w:left="699" w:right="2459" w:firstLine="0"/>
        <w:jc w:val="left"/>
        <w:rPr>
          <w:i/>
          <w:sz w:val="20"/>
        </w:rPr>
      </w:pPr>
      <w:r>
        <w:rPr>
          <w:rFonts w:ascii="Calibri" w:hAnsi="Calibri"/>
          <w:position w:val="7"/>
          <w:sz w:val="13"/>
        </w:rPr>
        <w:t>1 </w:t>
      </w:r>
      <w:r>
        <w:rPr>
          <w:i/>
          <w:sz w:val="20"/>
        </w:rPr>
        <w:t>Algérie Poste, Services corporate, Site officiel Algérie Poste, Algérie Poste, Alger, </w:t>
      </w:r>
      <w:hyperlink r:id="rId47">
        <w:r>
          <w:rPr>
            <w:i/>
            <w:color w:val="0462C1"/>
            <w:sz w:val="20"/>
            <w:u w:val="single" w:color="0462C1"/>
          </w:rPr>
          <w:t>https://www.poste.dz/services/corporate/cor-services</w:t>
        </w:r>
        <w:r>
          <w:rPr>
            <w:i/>
            <w:color w:val="0462C1"/>
            <w:sz w:val="20"/>
          </w:rPr>
          <w:t> </w:t>
        </w:r>
      </w:hyperlink>
      <w:r>
        <w:rPr>
          <w:i/>
          <w:sz w:val="20"/>
        </w:rPr>
        <w:t>,[ consulté le 22 mars 2025 à 14h24]</w:t>
      </w:r>
    </w:p>
    <w:p>
      <w:pPr>
        <w:spacing w:after="0" w:line="244" w:lineRule="auto"/>
        <w:jc w:val="left"/>
        <w:rPr>
          <w:sz w:val="20"/>
        </w:rPr>
        <w:sectPr>
          <w:pgSz w:w="12240" w:h="15840"/>
          <w:pgMar w:header="723" w:footer="850" w:top="1080" w:bottom="1040" w:left="1000" w:right="820"/>
        </w:sectPr>
      </w:pPr>
    </w:p>
    <w:p>
      <w:pPr>
        <w:pStyle w:val="BodyText"/>
        <w:spacing w:before="10"/>
        <w:rPr>
          <w:i/>
          <w:sz w:val="19"/>
        </w:rPr>
      </w:pPr>
    </w:p>
    <w:p>
      <w:pPr>
        <w:pStyle w:val="Heading5"/>
        <w:numPr>
          <w:ilvl w:val="0"/>
          <w:numId w:val="16"/>
        </w:numPr>
        <w:tabs>
          <w:tab w:pos="1421" w:val="left" w:leader="none"/>
        </w:tabs>
        <w:spacing w:line="240" w:lineRule="auto" w:before="90" w:after="0"/>
        <w:ind w:left="1420" w:right="0" w:hanging="361"/>
        <w:jc w:val="both"/>
      </w:pPr>
      <w:bookmarkStart w:name="A. Ouverture de compte CCP :" w:id="132"/>
      <w:bookmarkEnd w:id="132"/>
      <w:r>
        <w:rPr>
          <w:b w:val="0"/>
        </w:rPr>
      </w:r>
      <w:bookmarkStart w:name="A. Ouverture de compte CCP :" w:id="133"/>
      <w:bookmarkEnd w:id="133"/>
      <w:r>
        <w:rPr/>
        <w:t>O</w:t>
      </w:r>
      <w:r>
        <w:rPr/>
        <w:t>uverture de compte CCP</w:t>
      </w:r>
      <w:r>
        <w:rPr>
          <w:spacing w:val="1"/>
        </w:rPr>
        <w:t> </w:t>
      </w:r>
      <w:r>
        <w:rPr/>
        <w:t>:</w:t>
      </w:r>
    </w:p>
    <w:p>
      <w:pPr>
        <w:pStyle w:val="BodyText"/>
        <w:spacing w:before="4"/>
        <w:rPr>
          <w:b/>
          <w:sz w:val="22"/>
        </w:rPr>
      </w:pPr>
    </w:p>
    <w:p>
      <w:pPr>
        <w:pStyle w:val="BodyText"/>
        <w:spacing w:line="362" w:lineRule="auto"/>
        <w:ind w:left="699" w:right="317" w:firstLine="360"/>
        <w:jc w:val="both"/>
      </w:pPr>
      <w:r>
        <w:rPr/>
        <w:t>Chaque personne morale de statuts juridiques confondus, de nationalité Algérienne ou étrangère résidente et/ou installée en Algérie, a le droit d’ouvrir un Compte Courant Postal (CCP) tout en respectant les conditions légales et réglementaires en vigueur.</w:t>
      </w:r>
    </w:p>
    <w:p>
      <w:pPr>
        <w:pStyle w:val="BodyText"/>
        <w:spacing w:line="362" w:lineRule="auto" w:before="157"/>
        <w:ind w:left="699" w:right="315" w:firstLine="360"/>
        <w:jc w:val="both"/>
      </w:pPr>
      <w:r>
        <w:rPr/>
        <w:t>Les</w:t>
      </w:r>
      <w:r>
        <w:rPr>
          <w:spacing w:val="-16"/>
        </w:rPr>
        <w:t> </w:t>
      </w:r>
      <w:r>
        <w:rPr/>
        <w:t>opérations</w:t>
      </w:r>
      <w:r>
        <w:rPr>
          <w:spacing w:val="-16"/>
        </w:rPr>
        <w:t> </w:t>
      </w:r>
      <w:r>
        <w:rPr/>
        <w:t>d’ouverture</w:t>
      </w:r>
      <w:r>
        <w:rPr>
          <w:spacing w:val="-14"/>
        </w:rPr>
        <w:t> </w:t>
      </w:r>
      <w:r>
        <w:rPr/>
        <w:t>de</w:t>
      </w:r>
      <w:r>
        <w:rPr>
          <w:spacing w:val="-13"/>
        </w:rPr>
        <w:t> </w:t>
      </w:r>
      <w:r>
        <w:rPr/>
        <w:t>comptes</w:t>
      </w:r>
      <w:r>
        <w:rPr>
          <w:spacing w:val="-16"/>
        </w:rPr>
        <w:t> </w:t>
      </w:r>
      <w:r>
        <w:rPr/>
        <w:t>CCP</w:t>
      </w:r>
      <w:r>
        <w:rPr>
          <w:spacing w:val="-13"/>
        </w:rPr>
        <w:t> </w:t>
      </w:r>
      <w:r>
        <w:rPr/>
        <w:t>ainsi</w:t>
      </w:r>
      <w:r>
        <w:rPr>
          <w:spacing w:val="-18"/>
        </w:rPr>
        <w:t> </w:t>
      </w:r>
      <w:r>
        <w:rPr/>
        <w:t>que</w:t>
      </w:r>
      <w:r>
        <w:rPr>
          <w:spacing w:val="-9"/>
        </w:rPr>
        <w:t> </w:t>
      </w:r>
      <w:r>
        <w:rPr>
          <w:spacing w:val="-3"/>
        </w:rPr>
        <w:t>les</w:t>
      </w:r>
      <w:r>
        <w:rPr>
          <w:spacing w:val="-16"/>
        </w:rPr>
        <w:t> </w:t>
      </w:r>
      <w:r>
        <w:rPr/>
        <w:t>commandes</w:t>
      </w:r>
      <w:r>
        <w:rPr>
          <w:spacing w:val="-16"/>
        </w:rPr>
        <w:t> </w:t>
      </w:r>
      <w:r>
        <w:rPr/>
        <w:t>des</w:t>
      </w:r>
      <w:r>
        <w:rPr>
          <w:spacing w:val="-10"/>
        </w:rPr>
        <w:t> </w:t>
      </w:r>
      <w:r>
        <w:rPr/>
        <w:t>moyens</w:t>
      </w:r>
      <w:r>
        <w:rPr>
          <w:spacing w:val="-16"/>
        </w:rPr>
        <w:t> </w:t>
      </w:r>
      <w:r>
        <w:rPr/>
        <w:t>de</w:t>
      </w:r>
      <w:r>
        <w:rPr>
          <w:spacing w:val="-14"/>
        </w:rPr>
        <w:t> </w:t>
      </w:r>
      <w:r>
        <w:rPr/>
        <w:t>paiements qui</w:t>
      </w:r>
      <w:r>
        <w:rPr>
          <w:spacing w:val="-20"/>
        </w:rPr>
        <w:t> </w:t>
      </w:r>
      <w:r>
        <w:rPr/>
        <w:t>correspondent</w:t>
      </w:r>
      <w:r>
        <w:rPr>
          <w:spacing w:val="-7"/>
        </w:rPr>
        <w:t> </w:t>
      </w:r>
      <w:r>
        <w:rPr/>
        <w:t>(Carnet</w:t>
      </w:r>
      <w:r>
        <w:rPr>
          <w:spacing w:val="-7"/>
        </w:rPr>
        <w:t> </w:t>
      </w:r>
      <w:r>
        <w:rPr/>
        <w:t>de</w:t>
      </w:r>
      <w:r>
        <w:rPr>
          <w:spacing w:val="-12"/>
        </w:rPr>
        <w:t> </w:t>
      </w:r>
      <w:r>
        <w:rPr/>
        <w:t>chèques,</w:t>
      </w:r>
      <w:r>
        <w:rPr>
          <w:spacing w:val="-10"/>
        </w:rPr>
        <w:t> </w:t>
      </w:r>
      <w:r>
        <w:rPr/>
        <w:t>carte</w:t>
      </w:r>
      <w:r>
        <w:rPr>
          <w:spacing w:val="-16"/>
        </w:rPr>
        <w:t> </w:t>
      </w:r>
      <w:r>
        <w:rPr/>
        <w:t>monétique...)</w:t>
      </w:r>
      <w:r>
        <w:rPr>
          <w:spacing w:val="-9"/>
        </w:rPr>
        <w:t> </w:t>
      </w:r>
      <w:r>
        <w:rPr/>
        <w:t>peuvent</w:t>
      </w:r>
      <w:r>
        <w:rPr>
          <w:spacing w:val="-7"/>
        </w:rPr>
        <w:t> </w:t>
      </w:r>
      <w:r>
        <w:rPr/>
        <w:t>s’effectuer</w:t>
      </w:r>
      <w:r>
        <w:rPr>
          <w:spacing w:val="-10"/>
        </w:rPr>
        <w:t> </w:t>
      </w:r>
      <w:r>
        <w:rPr/>
        <w:t>au</w:t>
      </w:r>
      <w:r>
        <w:rPr>
          <w:spacing w:val="-11"/>
        </w:rPr>
        <w:t> </w:t>
      </w:r>
      <w:r>
        <w:rPr/>
        <w:t>niveau</w:t>
      </w:r>
      <w:r>
        <w:rPr>
          <w:spacing w:val="-11"/>
        </w:rPr>
        <w:t> </w:t>
      </w:r>
      <w:r>
        <w:rPr/>
        <w:t>de</w:t>
      </w:r>
      <w:r>
        <w:rPr>
          <w:spacing w:val="-8"/>
        </w:rPr>
        <w:t> </w:t>
      </w:r>
      <w:r>
        <w:rPr>
          <w:spacing w:val="-3"/>
        </w:rPr>
        <w:t>la</w:t>
      </w:r>
      <w:r>
        <w:rPr>
          <w:spacing w:val="-12"/>
        </w:rPr>
        <w:t> </w:t>
      </w:r>
      <w:r>
        <w:rPr/>
        <w:t>poste ou via une application Web (internet) sur </w:t>
      </w:r>
      <w:r>
        <w:rPr>
          <w:spacing w:val="-5"/>
        </w:rPr>
        <w:t>le </w:t>
      </w:r>
      <w:r>
        <w:rPr/>
        <w:t>site</w:t>
      </w:r>
      <w:r>
        <w:rPr>
          <w:spacing w:val="4"/>
        </w:rPr>
        <w:t> </w:t>
      </w:r>
      <w:r>
        <w:rPr/>
        <w:t>ccpnet.poste.dz.</w:t>
      </w:r>
    </w:p>
    <w:p>
      <w:pPr>
        <w:pStyle w:val="Heading5"/>
        <w:numPr>
          <w:ilvl w:val="0"/>
          <w:numId w:val="16"/>
        </w:numPr>
        <w:tabs>
          <w:tab w:pos="1421" w:val="left" w:leader="none"/>
        </w:tabs>
        <w:spacing w:line="240" w:lineRule="auto" w:before="157" w:after="0"/>
        <w:ind w:left="1420" w:right="0" w:hanging="361"/>
        <w:jc w:val="both"/>
      </w:pPr>
      <w:bookmarkStart w:name="B. Virements multiples" w:id="134"/>
      <w:bookmarkEnd w:id="134"/>
      <w:r>
        <w:rPr>
          <w:b w:val="0"/>
        </w:rPr>
      </w:r>
      <w:bookmarkStart w:name="B. Virements multiples" w:id="135"/>
      <w:bookmarkEnd w:id="135"/>
      <w:r>
        <w:rPr/>
        <w:t>Vi</w:t>
      </w:r>
      <w:r>
        <w:rPr/>
        <w:t>rements</w:t>
      </w:r>
      <w:r>
        <w:rPr>
          <w:spacing w:val="-1"/>
        </w:rPr>
        <w:t> </w:t>
      </w:r>
      <w:r>
        <w:rPr/>
        <w:t>multiples</w:t>
      </w:r>
    </w:p>
    <w:p>
      <w:pPr>
        <w:pStyle w:val="BodyText"/>
        <w:spacing w:before="8"/>
        <w:rPr>
          <w:b/>
          <w:sz w:val="22"/>
        </w:rPr>
      </w:pPr>
    </w:p>
    <w:p>
      <w:pPr>
        <w:pStyle w:val="BodyText"/>
        <w:ind w:left="1060"/>
      </w:pPr>
      <w:r>
        <w:rPr/>
        <w:t>C’est un service offert aux entreprises pour le paiement de salaires de leurs personnels soit :</w:t>
      </w:r>
    </w:p>
    <w:p>
      <w:pPr>
        <w:pStyle w:val="BodyText"/>
        <w:spacing w:before="4"/>
        <w:rPr>
          <w:sz w:val="25"/>
        </w:rPr>
      </w:pPr>
    </w:p>
    <w:p>
      <w:pPr>
        <w:pStyle w:val="ListParagraph"/>
        <w:numPr>
          <w:ilvl w:val="0"/>
          <w:numId w:val="17"/>
        </w:numPr>
        <w:tabs>
          <w:tab w:pos="1420" w:val="left" w:leader="none"/>
          <w:tab w:pos="1421" w:val="left" w:leader="none"/>
        </w:tabs>
        <w:spacing w:line="240" w:lineRule="auto" w:before="0" w:after="0"/>
        <w:ind w:left="1420" w:right="0" w:hanging="361"/>
        <w:jc w:val="left"/>
        <w:rPr>
          <w:sz w:val="24"/>
        </w:rPr>
      </w:pPr>
      <w:r>
        <w:rPr>
          <w:sz w:val="24"/>
        </w:rPr>
        <w:t>De manière manuelle : en déposant </w:t>
      </w:r>
      <w:r>
        <w:rPr>
          <w:spacing w:val="-5"/>
          <w:sz w:val="24"/>
        </w:rPr>
        <w:t>le </w:t>
      </w:r>
      <w:r>
        <w:rPr>
          <w:sz w:val="24"/>
        </w:rPr>
        <w:t>bordereau contenant </w:t>
      </w:r>
      <w:r>
        <w:rPr>
          <w:spacing w:val="-5"/>
          <w:sz w:val="24"/>
        </w:rPr>
        <w:t>la </w:t>
      </w:r>
      <w:r>
        <w:rPr>
          <w:sz w:val="24"/>
        </w:rPr>
        <w:t>liste de tous </w:t>
      </w:r>
      <w:r>
        <w:rPr>
          <w:spacing w:val="-4"/>
          <w:sz w:val="24"/>
        </w:rPr>
        <w:t>les </w:t>
      </w:r>
      <w:r>
        <w:rPr>
          <w:sz w:val="24"/>
        </w:rPr>
        <w:t>salariés</w:t>
      </w:r>
      <w:r>
        <w:rPr>
          <w:spacing w:val="36"/>
          <w:sz w:val="24"/>
        </w:rPr>
        <w:t> </w:t>
      </w:r>
      <w:r>
        <w:rPr>
          <w:sz w:val="24"/>
        </w:rPr>
        <w:t>;</w:t>
      </w:r>
    </w:p>
    <w:p>
      <w:pPr>
        <w:pStyle w:val="ListParagraph"/>
        <w:numPr>
          <w:ilvl w:val="0"/>
          <w:numId w:val="17"/>
        </w:numPr>
        <w:tabs>
          <w:tab w:pos="1420" w:val="left" w:leader="none"/>
          <w:tab w:pos="1421" w:val="left" w:leader="none"/>
        </w:tabs>
        <w:spacing w:line="352" w:lineRule="auto" w:before="130" w:after="0"/>
        <w:ind w:left="1420" w:right="320" w:hanging="360"/>
        <w:jc w:val="left"/>
        <w:rPr>
          <w:sz w:val="24"/>
        </w:rPr>
      </w:pPr>
      <w:r>
        <w:rPr>
          <w:sz w:val="24"/>
        </w:rPr>
        <w:t>Et/ou automatique : échange de données informatisées en envoyant un fichier</w:t>
      </w:r>
      <w:r>
        <w:rPr>
          <w:spacing w:val="-32"/>
          <w:sz w:val="24"/>
        </w:rPr>
        <w:t> </w:t>
      </w:r>
      <w:r>
        <w:rPr>
          <w:sz w:val="24"/>
        </w:rPr>
        <w:t>électronique normalisé.</w:t>
      </w:r>
    </w:p>
    <w:p>
      <w:pPr>
        <w:pStyle w:val="Heading5"/>
        <w:numPr>
          <w:ilvl w:val="0"/>
          <w:numId w:val="16"/>
        </w:numPr>
        <w:tabs>
          <w:tab w:pos="1421" w:val="left" w:leader="none"/>
        </w:tabs>
        <w:spacing w:line="240" w:lineRule="auto" w:before="16" w:after="0"/>
        <w:ind w:left="1420" w:right="0" w:hanging="361"/>
        <w:jc w:val="left"/>
      </w:pPr>
      <w:r>
        <w:rPr/>
        <w:t>Prélèvement sur </w:t>
      </w:r>
      <w:r>
        <w:rPr>
          <w:spacing w:val="-3"/>
        </w:rPr>
        <w:t>le </w:t>
      </w:r>
      <w:r>
        <w:rPr/>
        <w:t>compte CCP avec</w:t>
      </w:r>
      <w:r>
        <w:rPr>
          <w:spacing w:val="7"/>
        </w:rPr>
        <w:t> </w:t>
      </w:r>
      <w:r>
        <w:rPr/>
        <w:t>balayage</w:t>
      </w:r>
    </w:p>
    <w:p>
      <w:pPr>
        <w:pStyle w:val="BodyText"/>
        <w:spacing w:before="1"/>
        <w:rPr>
          <w:b/>
          <w:sz w:val="29"/>
        </w:rPr>
      </w:pPr>
    </w:p>
    <w:p>
      <w:pPr>
        <w:pStyle w:val="BodyText"/>
        <w:spacing w:line="362" w:lineRule="auto"/>
        <w:ind w:left="699" w:right="327" w:firstLine="360"/>
        <w:jc w:val="both"/>
      </w:pPr>
      <w:r>
        <w:rPr/>
        <w:t>Cette</w:t>
      </w:r>
      <w:r>
        <w:rPr>
          <w:spacing w:val="-9"/>
        </w:rPr>
        <w:t> </w:t>
      </w:r>
      <w:r>
        <w:rPr/>
        <w:t>prestation</w:t>
      </w:r>
      <w:r>
        <w:rPr>
          <w:spacing w:val="-12"/>
        </w:rPr>
        <w:t> </w:t>
      </w:r>
      <w:r>
        <w:rPr/>
        <w:t>consiste</w:t>
      </w:r>
      <w:r>
        <w:rPr>
          <w:spacing w:val="-9"/>
        </w:rPr>
        <w:t> </w:t>
      </w:r>
      <w:r>
        <w:rPr/>
        <w:t>à</w:t>
      </w:r>
      <w:r>
        <w:rPr>
          <w:spacing w:val="-9"/>
        </w:rPr>
        <w:t> </w:t>
      </w:r>
      <w:r>
        <w:rPr/>
        <w:t>assurer</w:t>
      </w:r>
      <w:r>
        <w:rPr>
          <w:spacing w:val="-6"/>
        </w:rPr>
        <w:t> </w:t>
      </w:r>
      <w:r>
        <w:rPr/>
        <w:t>des</w:t>
      </w:r>
      <w:r>
        <w:rPr>
          <w:spacing w:val="-9"/>
        </w:rPr>
        <w:t> </w:t>
      </w:r>
      <w:r>
        <w:rPr/>
        <w:t>prélèvements</w:t>
      </w:r>
      <w:r>
        <w:rPr>
          <w:spacing w:val="-10"/>
        </w:rPr>
        <w:t> </w:t>
      </w:r>
      <w:r>
        <w:rPr/>
        <w:t>automatiques</w:t>
      </w:r>
      <w:r>
        <w:rPr>
          <w:spacing w:val="-9"/>
        </w:rPr>
        <w:t> </w:t>
      </w:r>
      <w:r>
        <w:rPr/>
        <w:t>des</w:t>
      </w:r>
      <w:r>
        <w:rPr>
          <w:spacing w:val="-5"/>
        </w:rPr>
        <w:t> </w:t>
      </w:r>
      <w:r>
        <w:rPr/>
        <w:t>montants</w:t>
      </w:r>
      <w:r>
        <w:rPr>
          <w:spacing w:val="-10"/>
        </w:rPr>
        <w:t> </w:t>
      </w:r>
      <w:r>
        <w:rPr/>
        <w:t>des</w:t>
      </w:r>
      <w:r>
        <w:rPr>
          <w:spacing w:val="-9"/>
        </w:rPr>
        <w:t> </w:t>
      </w:r>
      <w:r>
        <w:rPr/>
        <w:t>échéances, sur les courants postaux de leurs clients bénéficiaires des crédits accordés par nos</w:t>
      </w:r>
      <w:r>
        <w:rPr>
          <w:spacing w:val="-23"/>
        </w:rPr>
        <w:t> </w:t>
      </w:r>
      <w:r>
        <w:rPr/>
        <w:t>partenaires.</w:t>
      </w:r>
    </w:p>
    <w:p>
      <w:pPr>
        <w:pStyle w:val="BodyText"/>
        <w:spacing w:line="360" w:lineRule="auto" w:before="155"/>
        <w:ind w:left="699" w:right="320" w:firstLine="360"/>
        <w:jc w:val="both"/>
      </w:pPr>
      <w:r>
        <w:rPr/>
        <w:t>C’est une prestation dédiée aux entreprises, banques et commerçants, qui offrent des crédits à leurs</w:t>
      </w:r>
      <w:r>
        <w:rPr>
          <w:spacing w:val="-9"/>
        </w:rPr>
        <w:t> </w:t>
      </w:r>
      <w:r>
        <w:rPr/>
        <w:t>clients</w:t>
      </w:r>
      <w:r>
        <w:rPr>
          <w:spacing w:val="-9"/>
        </w:rPr>
        <w:t> </w:t>
      </w:r>
      <w:r>
        <w:rPr/>
        <w:t>détenteurs</w:t>
      </w:r>
      <w:r>
        <w:rPr>
          <w:spacing w:val="-13"/>
        </w:rPr>
        <w:t> </w:t>
      </w:r>
      <w:r>
        <w:rPr/>
        <w:t>de</w:t>
      </w:r>
      <w:r>
        <w:rPr>
          <w:spacing w:val="-13"/>
        </w:rPr>
        <w:t> </w:t>
      </w:r>
      <w:r>
        <w:rPr/>
        <w:t>comptes</w:t>
      </w:r>
      <w:r>
        <w:rPr>
          <w:spacing w:val="-9"/>
        </w:rPr>
        <w:t> </w:t>
      </w:r>
      <w:r>
        <w:rPr/>
        <w:t>CCP</w:t>
      </w:r>
      <w:r>
        <w:rPr>
          <w:spacing w:val="-6"/>
        </w:rPr>
        <w:t> </w:t>
      </w:r>
      <w:r>
        <w:rPr/>
        <w:t>pour</w:t>
      </w:r>
      <w:r>
        <w:rPr>
          <w:spacing w:val="-9"/>
        </w:rPr>
        <w:t> </w:t>
      </w:r>
      <w:r>
        <w:rPr/>
        <w:t>l’acquisition</w:t>
      </w:r>
      <w:r>
        <w:rPr>
          <w:spacing w:val="-12"/>
        </w:rPr>
        <w:t> </w:t>
      </w:r>
      <w:r>
        <w:rPr/>
        <w:t>de</w:t>
      </w:r>
      <w:r>
        <w:rPr>
          <w:spacing w:val="-8"/>
        </w:rPr>
        <w:t> </w:t>
      </w:r>
      <w:r>
        <w:rPr/>
        <w:t>biens</w:t>
      </w:r>
      <w:r>
        <w:rPr>
          <w:spacing w:val="-8"/>
        </w:rPr>
        <w:t> </w:t>
      </w:r>
      <w:r>
        <w:rPr/>
        <w:t>et</w:t>
      </w:r>
      <w:r>
        <w:rPr>
          <w:spacing w:val="-6"/>
        </w:rPr>
        <w:t> </w:t>
      </w:r>
      <w:r>
        <w:rPr/>
        <w:t>de</w:t>
      </w:r>
      <w:r>
        <w:rPr>
          <w:spacing w:val="-13"/>
        </w:rPr>
        <w:t> </w:t>
      </w:r>
      <w:r>
        <w:rPr/>
        <w:t>services</w:t>
      </w:r>
      <w:r>
        <w:rPr>
          <w:spacing w:val="-9"/>
        </w:rPr>
        <w:t> </w:t>
      </w:r>
      <w:r>
        <w:rPr/>
        <w:t>afin</w:t>
      </w:r>
      <w:r>
        <w:rPr>
          <w:spacing w:val="-11"/>
        </w:rPr>
        <w:t> </w:t>
      </w:r>
      <w:r>
        <w:rPr/>
        <w:t>de</w:t>
      </w:r>
      <w:r>
        <w:rPr>
          <w:spacing w:val="-8"/>
        </w:rPr>
        <w:t> </w:t>
      </w:r>
      <w:r>
        <w:rPr/>
        <w:t>récupérer les</w:t>
      </w:r>
      <w:r>
        <w:rPr>
          <w:spacing w:val="-3"/>
        </w:rPr>
        <w:t> </w:t>
      </w:r>
      <w:r>
        <w:rPr/>
        <w:t>mensualités</w:t>
      </w:r>
      <w:r>
        <w:rPr>
          <w:spacing w:val="-7"/>
        </w:rPr>
        <w:t> </w:t>
      </w:r>
      <w:r>
        <w:rPr/>
        <w:t>des</w:t>
      </w:r>
      <w:r>
        <w:rPr>
          <w:spacing w:val="-7"/>
        </w:rPr>
        <w:t> </w:t>
      </w:r>
      <w:r>
        <w:rPr/>
        <w:t>crédits accordés.</w:t>
      </w:r>
      <w:r>
        <w:rPr>
          <w:spacing w:val="-3"/>
        </w:rPr>
        <w:t> Elle</w:t>
      </w:r>
      <w:r>
        <w:rPr>
          <w:spacing w:val="-6"/>
        </w:rPr>
        <w:t> </w:t>
      </w:r>
      <w:r>
        <w:rPr/>
        <w:t>concerne</w:t>
      </w:r>
      <w:r>
        <w:rPr>
          <w:spacing w:val="-2"/>
        </w:rPr>
        <w:t> </w:t>
      </w:r>
      <w:r>
        <w:rPr/>
        <w:t>aussi</w:t>
      </w:r>
      <w:r>
        <w:rPr>
          <w:spacing w:val="-5"/>
        </w:rPr>
        <w:t> </w:t>
      </w:r>
      <w:r>
        <w:rPr/>
        <w:t>les</w:t>
      </w:r>
      <w:r>
        <w:rPr>
          <w:spacing w:val="-3"/>
        </w:rPr>
        <w:t> </w:t>
      </w:r>
      <w:r>
        <w:rPr/>
        <w:t>coopératives</w:t>
      </w:r>
      <w:r>
        <w:rPr>
          <w:spacing w:val="-7"/>
        </w:rPr>
        <w:t> </w:t>
      </w:r>
      <w:r>
        <w:rPr/>
        <w:t>et organismes</w:t>
      </w:r>
      <w:r>
        <w:rPr>
          <w:spacing w:val="-7"/>
        </w:rPr>
        <w:t> </w:t>
      </w:r>
      <w:r>
        <w:rPr/>
        <w:t>de</w:t>
      </w:r>
      <w:r>
        <w:rPr>
          <w:spacing w:val="-7"/>
        </w:rPr>
        <w:t> </w:t>
      </w:r>
      <w:r>
        <w:rPr/>
        <w:t>gestion des œuvres sociales des différents</w:t>
      </w:r>
      <w:r>
        <w:rPr>
          <w:spacing w:val="-6"/>
        </w:rPr>
        <w:t> </w:t>
      </w:r>
      <w:r>
        <w:rPr/>
        <w:t>secteurs.</w:t>
      </w:r>
    </w:p>
    <w:p>
      <w:pPr>
        <w:pStyle w:val="BodyText"/>
        <w:spacing w:line="362" w:lineRule="auto" w:before="159"/>
        <w:ind w:left="699" w:right="318" w:firstLine="360"/>
        <w:jc w:val="both"/>
      </w:pPr>
      <w:r>
        <w:rPr/>
        <w:t>En plus des opérations de prélèvement, un autre service supplémentaire de balayage (passage) quotidien sera également effectué sur les comptes courants postaux des titulaires CCP si un prélèvement n’est pas effectué à la date d’échéance pour essayer l’opération à nouveau.</w:t>
      </w:r>
    </w:p>
    <w:p>
      <w:pPr>
        <w:pStyle w:val="BodyText"/>
        <w:spacing w:before="8"/>
        <w:rPr>
          <w:sz w:val="20"/>
        </w:rPr>
      </w:pPr>
    </w:p>
    <w:p>
      <w:pPr>
        <w:pStyle w:val="Heading5"/>
        <w:numPr>
          <w:ilvl w:val="0"/>
          <w:numId w:val="16"/>
        </w:numPr>
        <w:tabs>
          <w:tab w:pos="1421" w:val="left" w:leader="none"/>
        </w:tabs>
        <w:spacing w:line="240" w:lineRule="auto" w:before="0" w:after="0"/>
        <w:ind w:left="1420" w:right="0" w:hanging="361"/>
        <w:jc w:val="left"/>
      </w:pPr>
      <w:r>
        <w:rPr/>
        <w:t>Retraits de fonds</w:t>
      </w:r>
    </w:p>
    <w:p>
      <w:pPr>
        <w:pStyle w:val="BodyText"/>
        <w:spacing w:before="1"/>
        <w:rPr>
          <w:b/>
          <w:sz w:val="29"/>
        </w:rPr>
      </w:pPr>
    </w:p>
    <w:p>
      <w:pPr>
        <w:pStyle w:val="BodyText"/>
        <w:spacing w:line="360" w:lineRule="auto"/>
        <w:ind w:left="699" w:right="327" w:firstLine="360"/>
        <w:jc w:val="both"/>
      </w:pPr>
      <w:r>
        <w:rPr/>
        <w:t>Les entreprises peuvent retirer leurs fonds, en envoyant leurs personnels désignés, au niveau des établissements postaux (dont la liste est reprise sur le site www.poste .dz) répartis sur l’ensemble du territoire national, en remettant en contrepartie des chèques normalisés et sans aucune limite de montants à condition d’avoir un solde suffisant.</w:t>
      </w:r>
    </w:p>
    <w:p>
      <w:pPr>
        <w:spacing w:after="0" w:line="360" w:lineRule="auto"/>
        <w:jc w:val="both"/>
        <w:sectPr>
          <w:pgSz w:w="12240" w:h="15840"/>
          <w:pgMar w:header="723" w:footer="850" w:top="1080" w:bottom="1040" w:left="1000" w:right="820"/>
        </w:sectPr>
      </w:pPr>
    </w:p>
    <w:p>
      <w:pPr>
        <w:pStyle w:val="BodyText"/>
        <w:spacing w:before="10"/>
        <w:rPr>
          <w:sz w:val="19"/>
        </w:rPr>
      </w:pPr>
    </w:p>
    <w:p>
      <w:pPr>
        <w:pStyle w:val="Heading5"/>
        <w:numPr>
          <w:ilvl w:val="0"/>
          <w:numId w:val="16"/>
        </w:numPr>
        <w:tabs>
          <w:tab w:pos="1421" w:val="left" w:leader="none"/>
        </w:tabs>
        <w:spacing w:line="240" w:lineRule="auto" w:before="90" w:after="0"/>
        <w:ind w:left="1420" w:right="0" w:hanging="361"/>
        <w:jc w:val="left"/>
      </w:pPr>
      <w:r>
        <w:rPr/>
        <w:t>Web Marchand :</w:t>
      </w:r>
      <w:r>
        <w:rPr>
          <w:spacing w:val="4"/>
        </w:rPr>
        <w:t> </w:t>
      </w:r>
      <w:r>
        <w:rPr/>
        <w:t>E-Paiement</w:t>
      </w:r>
    </w:p>
    <w:p>
      <w:pPr>
        <w:pStyle w:val="BodyText"/>
        <w:rPr>
          <w:b/>
          <w:sz w:val="29"/>
        </w:rPr>
      </w:pPr>
    </w:p>
    <w:p>
      <w:pPr>
        <w:pStyle w:val="BodyText"/>
        <w:spacing w:line="362" w:lineRule="auto" w:before="1"/>
        <w:ind w:left="699" w:right="313" w:firstLine="360"/>
        <w:jc w:val="both"/>
      </w:pPr>
      <w:r>
        <w:rPr/>
        <w:t>Algérie</w:t>
      </w:r>
      <w:r>
        <w:rPr>
          <w:spacing w:val="-9"/>
        </w:rPr>
        <w:t> </w:t>
      </w:r>
      <w:r>
        <w:rPr/>
        <w:t>poste</w:t>
      </w:r>
      <w:r>
        <w:rPr>
          <w:spacing w:val="-8"/>
        </w:rPr>
        <w:t> </w:t>
      </w:r>
      <w:r>
        <w:rPr/>
        <w:t>autorise</w:t>
      </w:r>
      <w:r>
        <w:rPr>
          <w:spacing w:val="-9"/>
        </w:rPr>
        <w:t> </w:t>
      </w:r>
      <w:r>
        <w:rPr/>
        <w:t>d’utiliser</w:t>
      </w:r>
      <w:r>
        <w:rPr>
          <w:spacing w:val="-2"/>
        </w:rPr>
        <w:t> </w:t>
      </w:r>
      <w:r>
        <w:rPr/>
        <w:t>sa</w:t>
      </w:r>
      <w:r>
        <w:rPr>
          <w:spacing w:val="-8"/>
        </w:rPr>
        <w:t> </w:t>
      </w:r>
      <w:r>
        <w:rPr/>
        <w:t>plateforme</w:t>
      </w:r>
      <w:r>
        <w:rPr>
          <w:spacing w:val="-4"/>
        </w:rPr>
        <w:t> </w:t>
      </w:r>
      <w:r>
        <w:rPr/>
        <w:t>monétique</w:t>
      </w:r>
      <w:r>
        <w:rPr>
          <w:spacing w:val="-9"/>
        </w:rPr>
        <w:t> </w:t>
      </w:r>
      <w:r>
        <w:rPr/>
        <w:t>diversifiée</w:t>
      </w:r>
      <w:r>
        <w:rPr>
          <w:spacing w:val="-8"/>
        </w:rPr>
        <w:t> </w:t>
      </w:r>
      <w:r>
        <w:rPr/>
        <w:t>(multicanaux),</w:t>
      </w:r>
      <w:r>
        <w:rPr>
          <w:spacing w:val="-6"/>
        </w:rPr>
        <w:t> </w:t>
      </w:r>
      <w:r>
        <w:rPr/>
        <w:t>sécurisé</w:t>
      </w:r>
      <w:r>
        <w:rPr>
          <w:spacing w:val="-8"/>
        </w:rPr>
        <w:t> </w:t>
      </w:r>
      <w:r>
        <w:rPr/>
        <w:t>et conforme aux normes internationales (EMV et PCI DSS) pour vous permettre de créer des sites Web Marchand (e-commerce) afin de commercialiser vos produits et services en insérant un système de paiement </w:t>
      </w:r>
      <w:r>
        <w:rPr>
          <w:spacing w:val="-4"/>
        </w:rPr>
        <w:t>via </w:t>
      </w:r>
      <w:r>
        <w:rPr/>
        <w:t>cartes</w:t>
      </w:r>
      <w:r>
        <w:rPr>
          <w:spacing w:val="12"/>
        </w:rPr>
        <w:t> </w:t>
      </w:r>
      <w:r>
        <w:rPr/>
        <w:t>monétiques.</w:t>
      </w:r>
    </w:p>
    <w:p>
      <w:pPr>
        <w:pStyle w:val="Heading5"/>
        <w:numPr>
          <w:ilvl w:val="0"/>
          <w:numId w:val="16"/>
        </w:numPr>
        <w:tabs>
          <w:tab w:pos="1421" w:val="left" w:leader="none"/>
        </w:tabs>
        <w:spacing w:line="240" w:lineRule="auto" w:before="157" w:after="0"/>
        <w:ind w:left="1420" w:right="0" w:hanging="361"/>
        <w:jc w:val="left"/>
      </w:pPr>
      <w:bookmarkStart w:name="F. Paiement par TPE" w:id="136"/>
      <w:bookmarkEnd w:id="136"/>
      <w:r>
        <w:rPr>
          <w:b w:val="0"/>
        </w:rPr>
      </w:r>
      <w:bookmarkStart w:name="F. Paiement par TPE" w:id="137"/>
      <w:bookmarkEnd w:id="137"/>
      <w:r>
        <w:rPr/>
        <w:t>P</w:t>
      </w:r>
      <w:r>
        <w:rPr/>
        <w:t>aiement par</w:t>
      </w:r>
      <w:r>
        <w:rPr>
          <w:spacing w:val="-2"/>
        </w:rPr>
        <w:t> </w:t>
      </w:r>
      <w:r>
        <w:rPr/>
        <w:t>TPE</w:t>
      </w:r>
    </w:p>
    <w:p>
      <w:pPr>
        <w:pStyle w:val="BodyText"/>
        <w:spacing w:before="4"/>
        <w:rPr>
          <w:b/>
          <w:sz w:val="32"/>
        </w:rPr>
      </w:pPr>
    </w:p>
    <w:p>
      <w:pPr>
        <w:pStyle w:val="BodyText"/>
        <w:spacing w:line="360" w:lineRule="auto" w:before="1"/>
        <w:ind w:left="699" w:right="320" w:firstLine="360"/>
        <w:jc w:val="both"/>
      </w:pPr>
      <w:r>
        <w:rPr/>
        <w:t>Un moyen de paiement électronique offrant plus d’avantages et interopérable avec la SATIM qui est destiné aux entreprises, commerçants, artisans et tout autre acteur de profession libérale qu’ils soient publics ou privées.</w:t>
      </w:r>
    </w:p>
    <w:p>
      <w:pPr>
        <w:pStyle w:val="Heading5"/>
        <w:numPr>
          <w:ilvl w:val="2"/>
          <w:numId w:val="15"/>
        </w:numPr>
        <w:tabs>
          <w:tab w:pos="2141" w:val="left" w:leader="none"/>
        </w:tabs>
        <w:spacing w:line="240" w:lineRule="auto" w:before="165" w:after="0"/>
        <w:ind w:left="2140" w:right="0" w:hanging="721"/>
        <w:jc w:val="both"/>
      </w:pPr>
      <w:bookmarkStart w:name="1.5.2 Services monétiques (Edahabia)" w:id="138"/>
      <w:bookmarkEnd w:id="138"/>
      <w:r>
        <w:rPr>
          <w:b w:val="0"/>
        </w:rPr>
      </w:r>
      <w:bookmarkStart w:name="1.5.2 Services monétiques (Edahabia)" w:id="139"/>
      <w:bookmarkEnd w:id="139"/>
      <w:r>
        <w:rPr/>
        <w:t>S</w:t>
      </w:r>
      <w:r>
        <w:rPr/>
        <w:t>ervices monétiques</w:t>
      </w:r>
      <w:r>
        <w:rPr>
          <w:spacing w:val="-1"/>
        </w:rPr>
        <w:t> </w:t>
      </w:r>
      <w:r>
        <w:rPr/>
        <w:t>(Edahabia)</w:t>
      </w:r>
    </w:p>
    <w:p>
      <w:pPr>
        <w:pStyle w:val="BodyText"/>
        <w:spacing w:before="5"/>
        <w:rPr>
          <w:b/>
          <w:sz w:val="22"/>
        </w:rPr>
      </w:pPr>
    </w:p>
    <w:p>
      <w:pPr>
        <w:pStyle w:val="ListParagraph"/>
        <w:numPr>
          <w:ilvl w:val="0"/>
          <w:numId w:val="18"/>
        </w:numPr>
        <w:tabs>
          <w:tab w:pos="1420" w:val="left" w:leader="none"/>
          <w:tab w:pos="1421" w:val="left" w:leader="none"/>
        </w:tabs>
        <w:spacing w:line="240" w:lineRule="auto" w:before="1" w:after="0"/>
        <w:ind w:left="1420" w:right="0" w:hanging="361"/>
        <w:jc w:val="left"/>
        <w:rPr>
          <w:sz w:val="16"/>
        </w:rPr>
      </w:pPr>
      <w:r>
        <w:rPr>
          <w:sz w:val="24"/>
        </w:rPr>
        <w:t>Commander une carte</w:t>
      </w:r>
      <w:r>
        <w:rPr>
          <w:spacing w:val="3"/>
          <w:sz w:val="24"/>
        </w:rPr>
        <w:t> </w:t>
      </w:r>
      <w:r>
        <w:rPr>
          <w:sz w:val="24"/>
        </w:rPr>
        <w:t>Edahabia</w:t>
      </w:r>
      <w:r>
        <w:rPr>
          <w:position w:val="9"/>
          <w:sz w:val="16"/>
        </w:rPr>
        <w:t>1</w:t>
      </w:r>
    </w:p>
    <w:p>
      <w:pPr>
        <w:pStyle w:val="ListParagraph"/>
        <w:numPr>
          <w:ilvl w:val="0"/>
          <w:numId w:val="18"/>
        </w:numPr>
        <w:tabs>
          <w:tab w:pos="1420" w:val="left" w:leader="none"/>
          <w:tab w:pos="1421" w:val="left" w:leader="none"/>
        </w:tabs>
        <w:spacing w:line="240" w:lineRule="auto" w:before="138" w:after="0"/>
        <w:ind w:left="1420" w:right="0" w:hanging="361"/>
        <w:jc w:val="left"/>
        <w:rPr>
          <w:sz w:val="16"/>
        </w:rPr>
      </w:pPr>
      <w:r>
        <w:rPr>
          <w:sz w:val="24"/>
        </w:rPr>
        <w:t>Informations utiles de votre carte Edahabia</w:t>
      </w:r>
      <w:r>
        <w:rPr>
          <w:spacing w:val="6"/>
          <w:sz w:val="24"/>
        </w:rPr>
        <w:t> </w:t>
      </w:r>
      <w:r>
        <w:rPr>
          <w:position w:val="9"/>
          <w:sz w:val="16"/>
        </w:rPr>
        <w:t>2</w:t>
      </w:r>
    </w:p>
    <w:p>
      <w:pPr>
        <w:pStyle w:val="ListParagraph"/>
        <w:numPr>
          <w:ilvl w:val="0"/>
          <w:numId w:val="18"/>
        </w:numPr>
        <w:tabs>
          <w:tab w:pos="1420" w:val="left" w:leader="none"/>
          <w:tab w:pos="1421" w:val="left" w:leader="none"/>
        </w:tabs>
        <w:spacing w:line="240" w:lineRule="auto" w:before="138" w:after="0"/>
        <w:ind w:left="1420" w:right="0" w:hanging="361"/>
        <w:jc w:val="left"/>
        <w:rPr>
          <w:sz w:val="16"/>
        </w:rPr>
      </w:pPr>
      <w:r>
        <w:rPr>
          <w:sz w:val="24"/>
        </w:rPr>
        <w:t>Conseils d’utilisation de votre carte</w:t>
      </w:r>
      <w:r>
        <w:rPr>
          <w:spacing w:val="3"/>
          <w:sz w:val="24"/>
        </w:rPr>
        <w:t> </w:t>
      </w:r>
      <w:r>
        <w:rPr>
          <w:sz w:val="24"/>
        </w:rPr>
        <w:t>Edahabia</w:t>
      </w:r>
      <w:r>
        <w:rPr>
          <w:position w:val="9"/>
          <w:sz w:val="16"/>
        </w:rPr>
        <w:t>3</w:t>
      </w:r>
    </w:p>
    <w:p>
      <w:pPr>
        <w:pStyle w:val="ListParagraph"/>
        <w:numPr>
          <w:ilvl w:val="0"/>
          <w:numId w:val="18"/>
        </w:numPr>
        <w:tabs>
          <w:tab w:pos="1420" w:val="left" w:leader="none"/>
          <w:tab w:pos="1421" w:val="left" w:leader="none"/>
        </w:tabs>
        <w:spacing w:line="240" w:lineRule="auto" w:before="133" w:after="0"/>
        <w:ind w:left="1420" w:right="0" w:hanging="361"/>
        <w:jc w:val="left"/>
        <w:rPr>
          <w:sz w:val="16"/>
        </w:rPr>
      </w:pPr>
      <w:r>
        <w:rPr>
          <w:sz w:val="24"/>
        </w:rPr>
        <w:t>Services OFFERTS PAR LA CARTE MONETIQUE EDAHABIA cardless</w:t>
      </w:r>
      <w:r>
        <w:rPr>
          <w:spacing w:val="3"/>
          <w:sz w:val="24"/>
        </w:rPr>
        <w:t> </w:t>
      </w:r>
      <w:r>
        <w:rPr>
          <w:position w:val="9"/>
          <w:sz w:val="16"/>
        </w:rPr>
        <w:t>4</w:t>
      </w:r>
    </w:p>
    <w:p>
      <w:pPr>
        <w:pStyle w:val="ListParagraph"/>
        <w:numPr>
          <w:ilvl w:val="0"/>
          <w:numId w:val="18"/>
        </w:numPr>
        <w:tabs>
          <w:tab w:pos="1420" w:val="left" w:leader="none"/>
          <w:tab w:pos="1421" w:val="left" w:leader="none"/>
        </w:tabs>
        <w:spacing w:line="240" w:lineRule="auto" w:before="138" w:after="0"/>
        <w:ind w:left="1420" w:right="0" w:hanging="361"/>
        <w:jc w:val="left"/>
        <w:rPr>
          <w:sz w:val="16"/>
        </w:rPr>
      </w:pPr>
      <w:r>
        <w:rPr>
          <w:sz w:val="24"/>
        </w:rPr>
        <w:t>Service de distribution postale accélérée : Service Prémium</w:t>
      </w:r>
      <w:r>
        <w:rPr>
          <w:position w:val="9"/>
          <w:sz w:val="16"/>
        </w:rPr>
        <w:t>5</w:t>
      </w:r>
    </w:p>
    <w:p>
      <w:pPr>
        <w:pStyle w:val="Heading5"/>
        <w:numPr>
          <w:ilvl w:val="2"/>
          <w:numId w:val="15"/>
        </w:numPr>
        <w:tabs>
          <w:tab w:pos="2141" w:val="left" w:leader="none"/>
        </w:tabs>
        <w:spacing w:line="240" w:lineRule="auto" w:before="179" w:after="0"/>
        <w:ind w:left="2140" w:right="0" w:hanging="721"/>
        <w:jc w:val="both"/>
      </w:pPr>
      <w:bookmarkStart w:name="1.5.3 Services postaux :" w:id="140"/>
      <w:bookmarkEnd w:id="140"/>
      <w:r>
        <w:rPr>
          <w:b w:val="0"/>
        </w:rPr>
      </w:r>
      <w:bookmarkStart w:name="1.5.3 Services postaux :" w:id="141"/>
      <w:bookmarkEnd w:id="141"/>
      <w:r>
        <w:rPr/>
        <w:t>S</w:t>
      </w:r>
      <w:r>
        <w:rPr/>
        <w:t>ervices postaux</w:t>
      </w:r>
      <w:r>
        <w:rPr>
          <w:spacing w:val="-3"/>
        </w:rPr>
        <w:t> </w:t>
      </w:r>
      <w:r>
        <w:rPr/>
        <w:t>:</w:t>
      </w:r>
    </w:p>
    <w:p>
      <w:pPr>
        <w:pStyle w:val="BodyText"/>
        <w:spacing w:before="10"/>
        <w:rPr>
          <w:b/>
          <w:sz w:val="21"/>
        </w:rPr>
      </w:pPr>
    </w:p>
    <w:p>
      <w:pPr>
        <w:pStyle w:val="BodyText"/>
        <w:ind w:left="699"/>
        <w:rPr>
          <w:sz w:val="16"/>
        </w:rPr>
      </w:pPr>
      <w:r>
        <w:rPr/>
        <w:t>Algérie poste offre un pack de service postaux :</w:t>
      </w:r>
      <w:r>
        <w:rPr>
          <w:position w:val="9"/>
          <w:sz w:val="16"/>
        </w:rPr>
        <w:t>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r>
        <w:rPr/>
        <w:pict>
          <v:shape style="position:absolute;margin-left:84.984001pt;margin-top:13.353559pt;width:144.1pt;height:.1pt;mso-position-horizontal-relative:page;mso-position-vertical-relative:paragraph;z-index:-251629568;mso-wrap-distance-left:0;mso-wrap-distance-right:0" coordorigin="1700,267" coordsize="2882,0" path="m1700,267l4581,267e" filled="false" stroked="true" strokeweight=".71997pt" strokecolor="#000000">
            <v:path arrowok="t"/>
            <v:stroke dashstyle="solid"/>
            <w10:wrap type="topAndBottom"/>
          </v:shape>
        </w:pict>
      </w:r>
    </w:p>
    <w:p>
      <w:pPr>
        <w:spacing w:line="235" w:lineRule="auto" w:before="65"/>
        <w:ind w:left="699" w:right="3611" w:firstLine="0"/>
        <w:jc w:val="left"/>
        <w:rPr>
          <w:i/>
          <w:sz w:val="20"/>
        </w:rPr>
      </w:pPr>
      <w:r>
        <w:rPr>
          <w:i/>
          <w:position w:val="7"/>
          <w:sz w:val="13"/>
        </w:rPr>
        <w:t>1</w:t>
      </w:r>
      <w:r>
        <w:rPr>
          <w:i/>
          <w:sz w:val="20"/>
        </w:rPr>
        <w:t>Algérie Poste, carte, Site officiel Algérie Poste, Algérie Poste, Alger </w:t>
      </w:r>
      <w:hyperlink r:id="rId48">
        <w:r>
          <w:rPr>
            <w:i/>
            <w:color w:val="0462C1"/>
            <w:sz w:val="20"/>
            <w:u w:val="single" w:color="0462C1"/>
          </w:rPr>
          <w:t>https://www.poste.dz/services/particular/carte</w:t>
        </w:r>
        <w:r>
          <w:rPr>
            <w:i/>
            <w:sz w:val="20"/>
          </w:rPr>
          <w:t>,</w:t>
        </w:r>
      </w:hyperlink>
      <w:r>
        <w:rPr>
          <w:i/>
          <w:sz w:val="20"/>
        </w:rPr>
        <w:t> [consulté le 26avril à 9h38] </w:t>
      </w:r>
      <w:r>
        <w:rPr>
          <w:i/>
          <w:position w:val="7"/>
          <w:sz w:val="13"/>
        </w:rPr>
        <w:t>2 </w:t>
      </w:r>
      <w:r>
        <w:rPr>
          <w:i/>
          <w:sz w:val="20"/>
        </w:rPr>
        <w:t>Algérie Poste, Info carte, Site officiel Algérie Poste, Algérie Poste,</w:t>
      </w:r>
      <w:r>
        <w:rPr>
          <w:i/>
          <w:spacing w:val="-6"/>
          <w:sz w:val="20"/>
        </w:rPr>
        <w:t> </w:t>
      </w:r>
      <w:r>
        <w:rPr>
          <w:i/>
          <w:sz w:val="20"/>
        </w:rPr>
        <w:t>Alger,</w:t>
      </w:r>
    </w:p>
    <w:p>
      <w:pPr>
        <w:spacing w:line="228" w:lineRule="exact" w:before="3"/>
        <w:ind w:left="752" w:right="0" w:firstLine="0"/>
        <w:jc w:val="left"/>
        <w:rPr>
          <w:i/>
          <w:sz w:val="20"/>
        </w:rPr>
      </w:pPr>
      <w:hyperlink r:id="rId49">
        <w:r>
          <w:rPr>
            <w:i/>
            <w:color w:val="0462C1"/>
            <w:sz w:val="20"/>
            <w:u w:val="single" w:color="0462C1"/>
          </w:rPr>
          <w:t>https://www.poste.dz/services/particular/info-carte</w:t>
        </w:r>
      </w:hyperlink>
      <w:r>
        <w:rPr>
          <w:i/>
          <w:color w:val="0462C1"/>
          <w:sz w:val="20"/>
        </w:rPr>
        <w:t> </w:t>
      </w:r>
      <w:r>
        <w:rPr>
          <w:i/>
          <w:sz w:val="20"/>
        </w:rPr>
        <w:t>,[consulté le 26 avril 2025 à 09h39]</w:t>
      </w:r>
    </w:p>
    <w:p>
      <w:pPr>
        <w:spacing w:line="240" w:lineRule="auto" w:before="0"/>
        <w:ind w:left="699" w:right="2392" w:firstLine="0"/>
        <w:jc w:val="left"/>
        <w:rPr>
          <w:i/>
          <w:sz w:val="20"/>
        </w:rPr>
      </w:pPr>
      <w:r>
        <w:rPr>
          <w:i/>
          <w:position w:val="7"/>
          <w:sz w:val="13"/>
        </w:rPr>
        <w:t>3 </w:t>
      </w:r>
      <w:r>
        <w:rPr>
          <w:i/>
          <w:sz w:val="20"/>
        </w:rPr>
        <w:t>Algérie Poste, Conseil carte, Site officiel Algérie Poste, Algérie Poste, Alger, </w:t>
      </w:r>
      <w:hyperlink r:id="rId50">
        <w:r>
          <w:rPr>
            <w:i/>
            <w:color w:val="0462C1"/>
            <w:sz w:val="20"/>
            <w:u w:val="single" w:color="0462C1"/>
          </w:rPr>
          <w:t>https://www.poste.dz/services/particular/conseil-carte</w:t>
        </w:r>
        <w:r>
          <w:rPr>
            <w:i/>
            <w:color w:val="0462C1"/>
            <w:sz w:val="20"/>
          </w:rPr>
          <w:t> </w:t>
        </w:r>
      </w:hyperlink>
      <w:r>
        <w:rPr>
          <w:i/>
          <w:sz w:val="20"/>
        </w:rPr>
        <w:t>,[ consulté le 26 avril 2025 à 09h39] </w:t>
      </w:r>
      <w:r>
        <w:rPr>
          <w:i/>
          <w:position w:val="7"/>
          <w:sz w:val="13"/>
        </w:rPr>
        <w:t>4 </w:t>
      </w:r>
      <w:r>
        <w:rPr>
          <w:i/>
          <w:sz w:val="20"/>
        </w:rPr>
        <w:t>Algérie Poste, Cardless, Site officiel Algérie Poste, Algérie Poste, Alger, </w:t>
      </w:r>
      <w:hyperlink r:id="rId51">
        <w:r>
          <w:rPr>
            <w:i/>
            <w:color w:val="0462C1"/>
            <w:sz w:val="20"/>
            <w:u w:val="single" w:color="0462C1"/>
          </w:rPr>
          <w:t>https://www.poste.dz/services/particular/cardless</w:t>
        </w:r>
        <w:r>
          <w:rPr>
            <w:i/>
            <w:sz w:val="20"/>
          </w:rPr>
          <w:t>, </w:t>
        </w:r>
      </w:hyperlink>
      <w:r>
        <w:rPr>
          <w:i/>
          <w:sz w:val="20"/>
        </w:rPr>
        <w:t>[consulté le 26 avril 2025 à 09h40]</w:t>
      </w:r>
    </w:p>
    <w:p>
      <w:pPr>
        <w:spacing w:line="240" w:lineRule="auto" w:before="0"/>
        <w:ind w:left="699" w:right="2756" w:firstLine="0"/>
        <w:jc w:val="left"/>
        <w:rPr>
          <w:i/>
          <w:sz w:val="20"/>
        </w:rPr>
      </w:pPr>
      <w:r>
        <w:rPr>
          <w:i/>
          <w:position w:val="7"/>
          <w:sz w:val="13"/>
        </w:rPr>
        <w:t>5 </w:t>
      </w:r>
      <w:r>
        <w:rPr>
          <w:i/>
          <w:sz w:val="20"/>
        </w:rPr>
        <w:t>Algérie Poste, Premium, Site officiel Algérie Poste, Algérie Poste, Alger, </w:t>
      </w:r>
      <w:hyperlink r:id="rId52">
        <w:r>
          <w:rPr>
            <w:i/>
            <w:color w:val="0462C1"/>
            <w:sz w:val="20"/>
            <w:u w:val="single" w:color="0462C1"/>
          </w:rPr>
          <w:t>https://www.poste.dz/services/particular/premium</w:t>
        </w:r>
        <w:r>
          <w:rPr>
            <w:i/>
            <w:sz w:val="20"/>
          </w:rPr>
          <w:t>,</w:t>
        </w:r>
      </w:hyperlink>
      <w:r>
        <w:rPr>
          <w:i/>
          <w:sz w:val="20"/>
        </w:rPr>
        <w:t>[ consulté le 26 avril 2025 à 09h41]</w:t>
      </w:r>
    </w:p>
    <w:p>
      <w:pPr>
        <w:spacing w:line="240" w:lineRule="auto" w:before="0"/>
        <w:ind w:left="699" w:right="2372" w:firstLine="0"/>
        <w:jc w:val="left"/>
        <w:rPr>
          <w:i/>
          <w:sz w:val="20"/>
        </w:rPr>
      </w:pPr>
      <w:r>
        <w:rPr>
          <w:i/>
          <w:position w:val="7"/>
          <w:sz w:val="13"/>
        </w:rPr>
        <w:t>6 </w:t>
      </w:r>
      <w:r>
        <w:rPr>
          <w:i/>
          <w:sz w:val="20"/>
        </w:rPr>
        <w:t>Algérie Poste, Services postaux corporate, Site officiel Algérie Poste, Algérie Poste, Alger </w:t>
      </w:r>
      <w:hyperlink r:id="rId53">
        <w:r>
          <w:rPr>
            <w:i/>
            <w:color w:val="0462C1"/>
            <w:sz w:val="20"/>
            <w:u w:val="single" w:color="0462C1"/>
          </w:rPr>
          <w:t>https://www.poste.dz/services/corporate/cor-postaux</w:t>
        </w:r>
        <w:r>
          <w:rPr>
            <w:i/>
            <w:sz w:val="20"/>
          </w:rPr>
          <w:t>, </w:t>
        </w:r>
      </w:hyperlink>
      <w:r>
        <w:rPr>
          <w:i/>
          <w:sz w:val="20"/>
        </w:rPr>
        <w:t>,[consulté le 22 mars 2025 à 14h28]</w:t>
      </w:r>
    </w:p>
    <w:p>
      <w:pPr>
        <w:spacing w:after="0" w:line="240" w:lineRule="auto"/>
        <w:jc w:val="left"/>
        <w:rPr>
          <w:sz w:val="20"/>
        </w:rPr>
        <w:sectPr>
          <w:pgSz w:w="12240" w:h="15840"/>
          <w:pgMar w:header="723" w:footer="850" w:top="1080" w:bottom="1040" w:left="1000" w:right="820"/>
        </w:sectPr>
      </w:pPr>
    </w:p>
    <w:p>
      <w:pPr>
        <w:pStyle w:val="BodyText"/>
        <w:spacing w:before="10"/>
        <w:rPr>
          <w:i/>
          <w:sz w:val="19"/>
        </w:rPr>
      </w:pPr>
    </w:p>
    <w:p>
      <w:pPr>
        <w:pStyle w:val="Heading5"/>
        <w:numPr>
          <w:ilvl w:val="0"/>
          <w:numId w:val="19"/>
        </w:numPr>
        <w:tabs>
          <w:tab w:pos="1421" w:val="left" w:leader="none"/>
        </w:tabs>
        <w:spacing w:line="240" w:lineRule="auto" w:before="90" w:after="0"/>
        <w:ind w:left="1420" w:right="0" w:hanging="361"/>
        <w:jc w:val="both"/>
      </w:pPr>
      <w:bookmarkStart w:name="A. Dépôt en nombre de courrier et de paq" w:id="142"/>
      <w:bookmarkEnd w:id="142"/>
      <w:r>
        <w:rPr>
          <w:b w:val="0"/>
        </w:rPr>
      </w:r>
      <w:bookmarkStart w:name="A. Dépôt en nombre de courrier et de paq" w:id="143"/>
      <w:bookmarkEnd w:id="143"/>
      <w:r>
        <w:rPr/>
        <w:t>D</w:t>
      </w:r>
      <w:r>
        <w:rPr/>
        <w:t>épôt en nombre de courrier et de</w:t>
      </w:r>
      <w:r>
        <w:rPr>
          <w:spacing w:val="5"/>
        </w:rPr>
        <w:t> </w:t>
      </w:r>
      <w:r>
        <w:rPr/>
        <w:t>paquets</w:t>
      </w:r>
    </w:p>
    <w:p>
      <w:pPr>
        <w:pStyle w:val="BodyText"/>
        <w:spacing w:before="4"/>
        <w:rPr>
          <w:b/>
          <w:sz w:val="22"/>
        </w:rPr>
      </w:pPr>
    </w:p>
    <w:p>
      <w:pPr>
        <w:pStyle w:val="BodyText"/>
        <w:spacing w:line="362" w:lineRule="auto"/>
        <w:ind w:left="699" w:right="319" w:firstLine="360"/>
        <w:jc w:val="both"/>
      </w:pPr>
      <w:r>
        <w:rPr/>
        <w:t>Un</w:t>
      </w:r>
      <w:r>
        <w:rPr>
          <w:spacing w:val="-9"/>
        </w:rPr>
        <w:t> </w:t>
      </w:r>
      <w:r>
        <w:rPr/>
        <w:t>service</w:t>
      </w:r>
      <w:r>
        <w:rPr>
          <w:spacing w:val="-5"/>
        </w:rPr>
        <w:t> </w:t>
      </w:r>
      <w:r>
        <w:rPr/>
        <w:t>pour</w:t>
      </w:r>
      <w:r>
        <w:rPr>
          <w:spacing w:val="-1"/>
        </w:rPr>
        <w:t> </w:t>
      </w:r>
      <w:r>
        <w:rPr>
          <w:spacing w:val="-4"/>
        </w:rPr>
        <w:t>les</w:t>
      </w:r>
      <w:r>
        <w:rPr>
          <w:spacing w:val="-5"/>
        </w:rPr>
        <w:t> </w:t>
      </w:r>
      <w:r>
        <w:rPr/>
        <w:t>entreprises</w:t>
      </w:r>
      <w:r>
        <w:rPr>
          <w:spacing w:val="-6"/>
        </w:rPr>
        <w:t> </w:t>
      </w:r>
      <w:r>
        <w:rPr/>
        <w:t>qui</w:t>
      </w:r>
      <w:r>
        <w:rPr>
          <w:spacing w:val="-12"/>
        </w:rPr>
        <w:t> </w:t>
      </w:r>
      <w:r>
        <w:rPr/>
        <w:t>ont</w:t>
      </w:r>
      <w:r>
        <w:rPr>
          <w:spacing w:val="1"/>
        </w:rPr>
        <w:t> </w:t>
      </w:r>
      <w:r>
        <w:rPr/>
        <w:t>beaucoup</w:t>
      </w:r>
      <w:r>
        <w:rPr>
          <w:spacing w:val="-4"/>
        </w:rPr>
        <w:t> </w:t>
      </w:r>
      <w:r>
        <w:rPr/>
        <w:t>de</w:t>
      </w:r>
      <w:r>
        <w:rPr>
          <w:spacing w:val="-4"/>
        </w:rPr>
        <w:t> </w:t>
      </w:r>
      <w:r>
        <w:rPr/>
        <w:t>courrier</w:t>
      </w:r>
      <w:r>
        <w:rPr>
          <w:spacing w:val="-2"/>
        </w:rPr>
        <w:t> </w:t>
      </w:r>
      <w:r>
        <w:rPr/>
        <w:t>à</w:t>
      </w:r>
      <w:r>
        <w:rPr>
          <w:spacing w:val="-5"/>
        </w:rPr>
        <w:t> </w:t>
      </w:r>
      <w:r>
        <w:rPr/>
        <w:t>déposer,</w:t>
      </w:r>
      <w:r>
        <w:rPr>
          <w:spacing w:val="-1"/>
        </w:rPr>
        <w:t> </w:t>
      </w:r>
      <w:r>
        <w:rPr>
          <w:spacing w:val="-3"/>
        </w:rPr>
        <w:t>Algérie</w:t>
      </w:r>
      <w:r>
        <w:rPr>
          <w:spacing w:val="-5"/>
        </w:rPr>
        <w:t> </w:t>
      </w:r>
      <w:r>
        <w:rPr/>
        <w:t>poste</w:t>
      </w:r>
      <w:r>
        <w:rPr>
          <w:spacing w:val="-5"/>
        </w:rPr>
        <w:t> </w:t>
      </w:r>
      <w:r>
        <w:rPr>
          <w:spacing w:val="-3"/>
        </w:rPr>
        <w:t>leur</w:t>
      </w:r>
      <w:r>
        <w:rPr>
          <w:spacing w:val="-1"/>
        </w:rPr>
        <w:t> </w:t>
      </w:r>
      <w:r>
        <w:rPr/>
        <w:t>offre </w:t>
      </w:r>
      <w:r>
        <w:rPr>
          <w:spacing w:val="-3"/>
        </w:rPr>
        <w:t>la </w:t>
      </w:r>
      <w:r>
        <w:rPr/>
        <w:t>possibilité d’un traitement particulier et prioritaire de leurs envois dans </w:t>
      </w:r>
      <w:r>
        <w:rPr>
          <w:spacing w:val="-5"/>
        </w:rPr>
        <w:t>le </w:t>
      </w:r>
      <w:r>
        <w:rPr/>
        <w:t>bureau de poste ou dans </w:t>
      </w:r>
      <w:r>
        <w:rPr>
          <w:spacing w:val="-5"/>
        </w:rPr>
        <w:t>le </w:t>
      </w:r>
      <w:r>
        <w:rPr/>
        <w:t>siège de leurs</w:t>
      </w:r>
      <w:r>
        <w:rPr>
          <w:spacing w:val="16"/>
        </w:rPr>
        <w:t> </w:t>
      </w:r>
      <w:r>
        <w:rPr/>
        <w:t>entreprises.</w:t>
      </w:r>
    </w:p>
    <w:p>
      <w:pPr>
        <w:pStyle w:val="Heading5"/>
        <w:numPr>
          <w:ilvl w:val="0"/>
          <w:numId w:val="19"/>
        </w:numPr>
        <w:tabs>
          <w:tab w:pos="1421" w:val="left" w:leader="none"/>
        </w:tabs>
        <w:spacing w:line="240" w:lineRule="auto" w:before="162" w:after="0"/>
        <w:ind w:left="1420" w:right="0" w:hanging="361"/>
        <w:jc w:val="both"/>
      </w:pPr>
      <w:bookmarkStart w:name="B. Location de machines à affranchir" w:id="144"/>
      <w:bookmarkEnd w:id="144"/>
      <w:r>
        <w:rPr>
          <w:b w:val="0"/>
        </w:rPr>
      </w:r>
      <w:bookmarkStart w:name="B. Location de machines à affranchir" w:id="145"/>
      <w:bookmarkEnd w:id="145"/>
      <w:r>
        <w:rPr/>
        <w:t>L</w:t>
      </w:r>
      <w:r>
        <w:rPr/>
        <w:t>ocation de machines à</w:t>
      </w:r>
      <w:r>
        <w:rPr>
          <w:spacing w:val="5"/>
        </w:rPr>
        <w:t> </w:t>
      </w:r>
      <w:r>
        <w:rPr/>
        <w:t>affranchir</w:t>
      </w:r>
    </w:p>
    <w:p>
      <w:pPr>
        <w:pStyle w:val="BodyText"/>
        <w:spacing w:before="3"/>
        <w:rPr>
          <w:b/>
          <w:sz w:val="22"/>
        </w:rPr>
      </w:pPr>
    </w:p>
    <w:p>
      <w:pPr>
        <w:pStyle w:val="BodyText"/>
        <w:spacing w:line="362" w:lineRule="auto" w:before="1"/>
        <w:ind w:left="699" w:right="325" w:firstLine="360"/>
        <w:jc w:val="both"/>
      </w:pPr>
      <w:r>
        <w:rPr/>
        <w:t>C’est une prestation destinée aux entreprises qui mit à leur disposition des machines d’affranchissement intelligentes afin de rendre les opérations de calcul de frais pour envoyer un colis ou un courrier automatique</w:t>
      </w:r>
    </w:p>
    <w:p>
      <w:pPr>
        <w:pStyle w:val="Heading5"/>
        <w:numPr>
          <w:ilvl w:val="0"/>
          <w:numId w:val="19"/>
        </w:numPr>
        <w:tabs>
          <w:tab w:pos="1421" w:val="left" w:leader="none"/>
        </w:tabs>
        <w:spacing w:line="240" w:lineRule="auto" w:before="156" w:after="0"/>
        <w:ind w:left="1420" w:right="0" w:hanging="361"/>
        <w:jc w:val="both"/>
      </w:pPr>
      <w:bookmarkStart w:name="C. Ramassage du courrier sur site" w:id="146"/>
      <w:bookmarkEnd w:id="146"/>
      <w:r>
        <w:rPr>
          <w:b w:val="0"/>
        </w:rPr>
      </w:r>
      <w:bookmarkStart w:name="C. Ramassage du courrier sur site" w:id="147"/>
      <w:bookmarkEnd w:id="147"/>
      <w:r>
        <w:rPr/>
        <w:t>Ra</w:t>
      </w:r>
      <w:r>
        <w:rPr/>
        <w:t>massage du courrier sur</w:t>
      </w:r>
      <w:r>
        <w:rPr>
          <w:spacing w:val="-6"/>
        </w:rPr>
        <w:t> </w:t>
      </w:r>
      <w:r>
        <w:rPr/>
        <w:t>site</w:t>
      </w:r>
    </w:p>
    <w:p>
      <w:pPr>
        <w:pStyle w:val="BodyText"/>
        <w:spacing w:before="5"/>
        <w:rPr>
          <w:b/>
          <w:sz w:val="22"/>
        </w:rPr>
      </w:pPr>
    </w:p>
    <w:p>
      <w:pPr>
        <w:pStyle w:val="BodyText"/>
        <w:spacing w:line="362" w:lineRule="auto"/>
        <w:ind w:left="699" w:right="320" w:firstLine="360"/>
        <w:jc w:val="both"/>
      </w:pPr>
      <w:r>
        <w:rPr/>
        <w:t>Algérie poste met à votre disposition un service de Collecte du courrier directement sur vos locaux par un postier afin de les déposer dans le réseau postal.</w:t>
      </w:r>
    </w:p>
    <w:p>
      <w:pPr>
        <w:pStyle w:val="BodyText"/>
        <w:spacing w:before="7"/>
        <w:rPr>
          <w:sz w:val="20"/>
        </w:rPr>
      </w:pPr>
    </w:p>
    <w:p>
      <w:pPr>
        <w:pStyle w:val="Heading5"/>
        <w:numPr>
          <w:ilvl w:val="0"/>
          <w:numId w:val="19"/>
        </w:numPr>
        <w:tabs>
          <w:tab w:pos="1421" w:val="left" w:leader="none"/>
        </w:tabs>
        <w:spacing w:line="240" w:lineRule="auto" w:before="0" w:after="0"/>
        <w:ind w:left="1420" w:right="0" w:hanging="361"/>
        <w:jc w:val="both"/>
      </w:pPr>
      <w:r>
        <w:rPr/>
        <w:t>Courier</w:t>
      </w:r>
      <w:r>
        <w:rPr>
          <w:spacing w:val="-5"/>
        </w:rPr>
        <w:t> </w:t>
      </w:r>
      <w:r>
        <w:rPr/>
        <w:t>hybride</w:t>
      </w:r>
    </w:p>
    <w:p>
      <w:pPr>
        <w:pStyle w:val="BodyText"/>
        <w:rPr>
          <w:b/>
          <w:sz w:val="29"/>
        </w:rPr>
      </w:pPr>
    </w:p>
    <w:p>
      <w:pPr>
        <w:pStyle w:val="BodyText"/>
        <w:spacing w:line="362" w:lineRule="auto"/>
        <w:ind w:left="699" w:right="318" w:firstLine="360"/>
        <w:jc w:val="both"/>
      </w:pPr>
      <w:r>
        <w:rPr/>
        <w:t>C’est une prestation de traitement de données électroniques et </w:t>
      </w:r>
      <w:r>
        <w:rPr>
          <w:spacing w:val="-5"/>
        </w:rPr>
        <w:t>la </w:t>
      </w:r>
      <w:r>
        <w:rPr/>
        <w:t>distribution physique des documents</w:t>
      </w:r>
      <w:r>
        <w:rPr>
          <w:spacing w:val="-13"/>
        </w:rPr>
        <w:t> </w:t>
      </w:r>
      <w:r>
        <w:rPr/>
        <w:t>qui</w:t>
      </w:r>
      <w:r>
        <w:rPr>
          <w:spacing w:val="-14"/>
        </w:rPr>
        <w:t> </w:t>
      </w:r>
      <w:r>
        <w:rPr/>
        <w:t>les</w:t>
      </w:r>
      <w:r>
        <w:rPr>
          <w:spacing w:val="-8"/>
        </w:rPr>
        <w:t> </w:t>
      </w:r>
      <w:r>
        <w:rPr/>
        <w:t>matérialisent</w:t>
      </w:r>
      <w:r>
        <w:rPr>
          <w:spacing w:val="-6"/>
        </w:rPr>
        <w:t> </w:t>
      </w:r>
      <w:r>
        <w:rPr/>
        <w:t>(tels</w:t>
      </w:r>
      <w:r>
        <w:rPr>
          <w:spacing w:val="-13"/>
        </w:rPr>
        <w:t> </w:t>
      </w:r>
      <w:r>
        <w:rPr/>
        <w:t>que</w:t>
      </w:r>
      <w:r>
        <w:rPr>
          <w:spacing w:val="-6"/>
        </w:rPr>
        <w:t> </w:t>
      </w:r>
      <w:r>
        <w:rPr>
          <w:spacing w:val="-3"/>
        </w:rPr>
        <w:t>les</w:t>
      </w:r>
      <w:r>
        <w:rPr>
          <w:spacing w:val="-13"/>
        </w:rPr>
        <w:t> </w:t>
      </w:r>
      <w:r>
        <w:rPr/>
        <w:t>convocations,</w:t>
      </w:r>
      <w:r>
        <w:rPr>
          <w:spacing w:val="-4"/>
        </w:rPr>
        <w:t> les</w:t>
      </w:r>
      <w:r>
        <w:rPr>
          <w:spacing w:val="-12"/>
        </w:rPr>
        <w:t> </w:t>
      </w:r>
      <w:r>
        <w:rPr/>
        <w:t>avis,</w:t>
      </w:r>
      <w:r>
        <w:rPr>
          <w:spacing w:val="-4"/>
        </w:rPr>
        <w:t> </w:t>
      </w:r>
      <w:r>
        <w:rPr/>
        <w:t>les</w:t>
      </w:r>
      <w:r>
        <w:rPr>
          <w:spacing w:val="-8"/>
        </w:rPr>
        <w:t> </w:t>
      </w:r>
      <w:r>
        <w:rPr/>
        <w:t>bulletins</w:t>
      </w:r>
      <w:r>
        <w:rPr>
          <w:spacing w:val="-12"/>
        </w:rPr>
        <w:t> </w:t>
      </w:r>
      <w:r>
        <w:rPr/>
        <w:t>de</w:t>
      </w:r>
      <w:r>
        <w:rPr>
          <w:spacing w:val="-12"/>
        </w:rPr>
        <w:t> </w:t>
      </w:r>
      <w:r>
        <w:rPr/>
        <w:t>paie</w:t>
      </w:r>
      <w:r>
        <w:rPr>
          <w:spacing w:val="-12"/>
        </w:rPr>
        <w:t> </w:t>
      </w:r>
      <w:r>
        <w:rPr/>
        <w:t>des</w:t>
      </w:r>
      <w:r>
        <w:rPr>
          <w:spacing w:val="-12"/>
        </w:rPr>
        <w:t> </w:t>
      </w:r>
      <w:r>
        <w:rPr/>
        <w:t>carnets de chèques normalisés…) Tout en bénéficiant de tarifs avantageux et d’un paiement après un certain</w:t>
      </w:r>
      <w:r>
        <w:rPr>
          <w:spacing w:val="-3"/>
        </w:rPr>
        <w:t> </w:t>
      </w:r>
      <w:r>
        <w:rPr/>
        <w:t>délai</w:t>
      </w:r>
    </w:p>
    <w:p>
      <w:pPr>
        <w:pStyle w:val="BodyText"/>
        <w:spacing w:line="367" w:lineRule="auto" w:before="148"/>
        <w:ind w:left="699" w:right="323" w:firstLine="360"/>
        <w:jc w:val="both"/>
      </w:pPr>
      <w:r>
        <w:rPr/>
        <w:t>A</w:t>
      </w:r>
      <w:r>
        <w:rPr>
          <w:spacing w:val="-16"/>
        </w:rPr>
        <w:t> </w:t>
      </w:r>
      <w:r>
        <w:rPr/>
        <w:t>travers</w:t>
      </w:r>
      <w:r>
        <w:rPr>
          <w:spacing w:val="-13"/>
        </w:rPr>
        <w:t> </w:t>
      </w:r>
      <w:r>
        <w:rPr/>
        <w:t>cette</w:t>
      </w:r>
      <w:r>
        <w:rPr>
          <w:spacing w:val="-16"/>
        </w:rPr>
        <w:t> </w:t>
      </w:r>
      <w:r>
        <w:rPr/>
        <w:t>prestation,</w:t>
      </w:r>
      <w:r>
        <w:rPr>
          <w:spacing w:val="-9"/>
        </w:rPr>
        <w:t> </w:t>
      </w:r>
      <w:r>
        <w:rPr/>
        <w:t>Algérie</w:t>
      </w:r>
      <w:r>
        <w:rPr>
          <w:spacing w:val="-12"/>
        </w:rPr>
        <w:t> </w:t>
      </w:r>
      <w:r>
        <w:rPr/>
        <w:t>Poste</w:t>
      </w:r>
      <w:r>
        <w:rPr>
          <w:spacing w:val="-11"/>
        </w:rPr>
        <w:t> </w:t>
      </w:r>
      <w:r>
        <w:rPr/>
        <w:t>prend</w:t>
      </w:r>
      <w:r>
        <w:rPr>
          <w:spacing w:val="-11"/>
        </w:rPr>
        <w:t> </w:t>
      </w:r>
      <w:r>
        <w:rPr/>
        <w:t>en</w:t>
      </w:r>
      <w:r>
        <w:rPr>
          <w:spacing w:val="-15"/>
        </w:rPr>
        <w:t> </w:t>
      </w:r>
      <w:r>
        <w:rPr/>
        <w:t>charge</w:t>
      </w:r>
      <w:r>
        <w:rPr>
          <w:spacing w:val="-7"/>
        </w:rPr>
        <w:t> </w:t>
      </w:r>
      <w:r>
        <w:rPr>
          <w:spacing w:val="-5"/>
        </w:rPr>
        <w:t>le</w:t>
      </w:r>
      <w:r>
        <w:rPr>
          <w:spacing w:val="-12"/>
        </w:rPr>
        <w:t> </w:t>
      </w:r>
      <w:r>
        <w:rPr/>
        <w:t>processus</w:t>
      </w:r>
      <w:r>
        <w:rPr>
          <w:spacing w:val="-13"/>
        </w:rPr>
        <w:t> </w:t>
      </w:r>
      <w:r>
        <w:rPr/>
        <w:t>de</w:t>
      </w:r>
      <w:r>
        <w:rPr>
          <w:spacing w:val="-12"/>
        </w:rPr>
        <w:t> </w:t>
      </w:r>
      <w:r>
        <w:rPr>
          <w:spacing w:val="-3"/>
        </w:rPr>
        <w:t>la</w:t>
      </w:r>
      <w:r>
        <w:rPr>
          <w:spacing w:val="-12"/>
        </w:rPr>
        <w:t> </w:t>
      </w:r>
      <w:r>
        <w:rPr/>
        <w:t>gestion</w:t>
      </w:r>
      <w:r>
        <w:rPr>
          <w:spacing w:val="-14"/>
        </w:rPr>
        <w:t> </w:t>
      </w:r>
      <w:r>
        <w:rPr/>
        <w:t>des</w:t>
      </w:r>
      <w:r>
        <w:rPr>
          <w:spacing w:val="-13"/>
        </w:rPr>
        <w:t> </w:t>
      </w:r>
      <w:r>
        <w:rPr/>
        <w:t>courriers du début à </w:t>
      </w:r>
      <w:r>
        <w:rPr>
          <w:spacing w:val="-5"/>
        </w:rPr>
        <w:t>la </w:t>
      </w:r>
      <w:r>
        <w:rPr>
          <w:spacing w:val="-3"/>
        </w:rPr>
        <w:t>fin </w:t>
      </w:r>
      <w:r>
        <w:rPr/>
        <w:t>à savoir</w:t>
      </w:r>
      <w:r>
        <w:rPr>
          <w:spacing w:val="32"/>
        </w:rPr>
        <w:t> </w:t>
      </w:r>
      <w:r>
        <w:rPr/>
        <w:t>:</w:t>
      </w:r>
    </w:p>
    <w:p>
      <w:pPr>
        <w:pStyle w:val="ListParagraph"/>
        <w:numPr>
          <w:ilvl w:val="0"/>
          <w:numId w:val="18"/>
        </w:numPr>
        <w:tabs>
          <w:tab w:pos="1420" w:val="left" w:leader="none"/>
          <w:tab w:pos="1421" w:val="left" w:leader="none"/>
        </w:tabs>
        <w:spacing w:line="240" w:lineRule="auto" w:before="146" w:after="0"/>
        <w:ind w:left="1420" w:right="0" w:hanging="361"/>
        <w:jc w:val="left"/>
        <w:rPr>
          <w:sz w:val="24"/>
        </w:rPr>
      </w:pPr>
      <w:r>
        <w:rPr>
          <w:sz w:val="24"/>
        </w:rPr>
        <w:t>Réception électronique sécurisée à partir de sites distants ;</w:t>
      </w:r>
    </w:p>
    <w:p>
      <w:pPr>
        <w:pStyle w:val="ListParagraph"/>
        <w:numPr>
          <w:ilvl w:val="0"/>
          <w:numId w:val="18"/>
        </w:numPr>
        <w:tabs>
          <w:tab w:pos="1420" w:val="left" w:leader="none"/>
          <w:tab w:pos="1421" w:val="left" w:leader="none"/>
        </w:tabs>
        <w:spacing w:line="240" w:lineRule="auto" w:before="139" w:after="0"/>
        <w:ind w:left="1420" w:right="0" w:hanging="361"/>
        <w:jc w:val="left"/>
        <w:rPr>
          <w:sz w:val="24"/>
        </w:rPr>
      </w:pPr>
      <w:r>
        <w:rPr>
          <w:sz w:val="24"/>
        </w:rPr>
        <w:t>Maquettage, conception des pages/lettres </w:t>
      </w:r>
      <w:r>
        <w:rPr>
          <w:spacing w:val="-3"/>
          <w:sz w:val="24"/>
        </w:rPr>
        <w:t>et </w:t>
      </w:r>
      <w:r>
        <w:rPr>
          <w:sz w:val="24"/>
        </w:rPr>
        <w:t>impression</w:t>
      </w:r>
      <w:r>
        <w:rPr>
          <w:spacing w:val="10"/>
          <w:sz w:val="24"/>
        </w:rPr>
        <w:t> </w:t>
      </w:r>
      <w:r>
        <w:rPr>
          <w:sz w:val="24"/>
        </w:rPr>
        <w:t>;</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Mise sous enveloppes et affranchissement</w:t>
      </w:r>
      <w:r>
        <w:rPr>
          <w:spacing w:val="13"/>
          <w:sz w:val="24"/>
        </w:rPr>
        <w:t> </w:t>
      </w:r>
      <w:r>
        <w:rPr>
          <w:sz w:val="24"/>
        </w:rPr>
        <w:t>;</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Tri électronique</w:t>
      </w:r>
      <w:r>
        <w:rPr>
          <w:spacing w:val="-7"/>
          <w:sz w:val="24"/>
        </w:rPr>
        <w:t> </w:t>
      </w:r>
      <w:r>
        <w:rPr>
          <w:sz w:val="24"/>
        </w:rPr>
        <w:t>;</w:t>
      </w:r>
    </w:p>
    <w:p>
      <w:pPr>
        <w:pStyle w:val="ListParagraph"/>
        <w:numPr>
          <w:ilvl w:val="0"/>
          <w:numId w:val="18"/>
        </w:numPr>
        <w:tabs>
          <w:tab w:pos="1420" w:val="left" w:leader="none"/>
          <w:tab w:pos="1421" w:val="left" w:leader="none"/>
        </w:tabs>
        <w:spacing w:line="240" w:lineRule="auto" w:before="133" w:after="0"/>
        <w:ind w:left="1420" w:right="0" w:hanging="361"/>
        <w:jc w:val="left"/>
        <w:rPr>
          <w:sz w:val="24"/>
        </w:rPr>
      </w:pPr>
      <w:r>
        <w:rPr>
          <w:sz w:val="24"/>
        </w:rPr>
        <w:t>Stockage </w:t>
      </w:r>
      <w:r>
        <w:rPr>
          <w:spacing w:val="-3"/>
          <w:sz w:val="24"/>
        </w:rPr>
        <w:t>et </w:t>
      </w:r>
      <w:r>
        <w:rPr>
          <w:sz w:val="24"/>
        </w:rPr>
        <w:t>archivage</w:t>
      </w:r>
      <w:r>
        <w:rPr>
          <w:spacing w:val="6"/>
          <w:sz w:val="24"/>
        </w:rPr>
        <w:t> </w:t>
      </w:r>
      <w:r>
        <w:rPr>
          <w:sz w:val="24"/>
        </w:rPr>
        <w:t>;</w:t>
      </w:r>
    </w:p>
    <w:p>
      <w:pPr>
        <w:pStyle w:val="BodyText"/>
        <w:spacing w:before="9"/>
        <w:rPr>
          <w:sz w:val="29"/>
        </w:rPr>
      </w:pPr>
    </w:p>
    <w:p>
      <w:pPr>
        <w:pStyle w:val="Heading5"/>
        <w:numPr>
          <w:ilvl w:val="0"/>
          <w:numId w:val="19"/>
        </w:numPr>
        <w:tabs>
          <w:tab w:pos="1421" w:val="left" w:leader="none"/>
        </w:tabs>
        <w:spacing w:line="240" w:lineRule="auto" w:before="0" w:after="0"/>
        <w:ind w:left="1420" w:right="0" w:hanging="361"/>
        <w:jc w:val="left"/>
      </w:pPr>
      <w:bookmarkStart w:name="E. Mailing non adressé" w:id="148"/>
      <w:bookmarkEnd w:id="148"/>
      <w:r>
        <w:rPr>
          <w:b w:val="0"/>
        </w:rPr>
      </w:r>
      <w:bookmarkStart w:name="E. Mailing non adressé" w:id="149"/>
      <w:bookmarkEnd w:id="149"/>
      <w:r>
        <w:rPr/>
        <w:t>M</w:t>
      </w:r>
      <w:r>
        <w:rPr/>
        <w:t>ailing non</w:t>
      </w:r>
      <w:r>
        <w:rPr>
          <w:spacing w:val="-1"/>
        </w:rPr>
        <w:t> </w:t>
      </w:r>
      <w:r>
        <w:rPr/>
        <w:t>adressé</w:t>
      </w:r>
    </w:p>
    <w:p>
      <w:pPr>
        <w:pStyle w:val="BodyText"/>
        <w:spacing w:before="4"/>
        <w:rPr>
          <w:b/>
          <w:sz w:val="22"/>
        </w:rPr>
      </w:pPr>
    </w:p>
    <w:p>
      <w:pPr>
        <w:pStyle w:val="BodyText"/>
        <w:spacing w:line="362" w:lineRule="auto"/>
        <w:ind w:left="699" w:right="319" w:firstLine="360"/>
        <w:jc w:val="both"/>
      </w:pPr>
      <w:r>
        <w:rPr/>
        <w:t>Un service utilisé pour attirer de nouveaux clients, il permet la diffusion des documents publicitaires (Flyers, Coupons de réduction, Dépliants, Catalogues) en se focalisant sur une zone géographique précise (quartier, ville, cité, rue...) sur tout le territoire national et ce, en faveur du</w:t>
      </w:r>
    </w:p>
    <w:p>
      <w:pPr>
        <w:spacing w:after="0" w:line="362" w:lineRule="auto"/>
        <w:jc w:val="both"/>
        <w:sectPr>
          <w:pgSz w:w="12240" w:h="15840"/>
          <w:pgMar w:header="723" w:footer="850" w:top="1080" w:bottom="1040" w:left="1000" w:right="820"/>
        </w:sectPr>
      </w:pPr>
    </w:p>
    <w:p>
      <w:pPr>
        <w:pStyle w:val="BodyText"/>
        <w:spacing w:before="6"/>
        <w:rPr>
          <w:sz w:val="19"/>
        </w:rPr>
      </w:pPr>
    </w:p>
    <w:p>
      <w:pPr>
        <w:pStyle w:val="BodyText"/>
        <w:spacing w:line="367" w:lineRule="auto" w:before="90"/>
        <w:ind w:left="699" w:right="238"/>
      </w:pPr>
      <w:r>
        <w:rPr/>
        <w:t>professionnalisme et la très bonne connaissance du terrain des facteurs d’Algérie Poste, tout en bénéficiant de tarifs avantageux et d’un paiement après un certain délai.</w:t>
      </w:r>
    </w:p>
    <w:p>
      <w:pPr>
        <w:pStyle w:val="Heading5"/>
        <w:numPr>
          <w:ilvl w:val="0"/>
          <w:numId w:val="19"/>
        </w:numPr>
        <w:tabs>
          <w:tab w:pos="1421" w:val="left" w:leader="none"/>
        </w:tabs>
        <w:spacing w:line="240" w:lineRule="auto" w:before="149" w:after="0"/>
        <w:ind w:left="1420" w:right="0" w:hanging="361"/>
        <w:jc w:val="both"/>
      </w:pPr>
      <w:bookmarkStart w:name="F. Réexpédition définitive de votre cour" w:id="150"/>
      <w:bookmarkEnd w:id="150"/>
      <w:r>
        <w:rPr>
          <w:b w:val="0"/>
        </w:rPr>
      </w:r>
      <w:bookmarkStart w:name="F. Réexpédition définitive de votre cour" w:id="151"/>
      <w:bookmarkEnd w:id="151"/>
      <w:r>
        <w:rPr/>
        <w:t>R</w:t>
      </w:r>
      <w:r>
        <w:rPr/>
        <w:t>éexpédition définitive de votre</w:t>
      </w:r>
      <w:r>
        <w:rPr>
          <w:spacing w:val="5"/>
        </w:rPr>
        <w:t> </w:t>
      </w:r>
      <w:r>
        <w:rPr/>
        <w:t>courrier</w:t>
      </w:r>
    </w:p>
    <w:p>
      <w:pPr>
        <w:pStyle w:val="BodyText"/>
        <w:spacing w:before="4"/>
        <w:rPr>
          <w:b/>
          <w:sz w:val="22"/>
        </w:rPr>
      </w:pPr>
    </w:p>
    <w:p>
      <w:pPr>
        <w:pStyle w:val="BodyText"/>
        <w:spacing w:line="362" w:lineRule="auto"/>
        <w:ind w:left="699" w:right="317" w:firstLine="360"/>
        <w:jc w:val="both"/>
      </w:pPr>
      <w:r>
        <w:rPr/>
        <w:t>Une prestation de service qui fait suivre tous les courriers par Algérie Poste, c’est à dire que même s’il y’a un déménagement ou un changement d’adresse, ce service permet le renvoi des courriers à l’adresse nouvelle.</w:t>
      </w:r>
    </w:p>
    <w:p>
      <w:pPr>
        <w:pStyle w:val="Heading5"/>
        <w:numPr>
          <w:ilvl w:val="0"/>
          <w:numId w:val="19"/>
        </w:numPr>
        <w:tabs>
          <w:tab w:pos="1421" w:val="left" w:leader="none"/>
        </w:tabs>
        <w:spacing w:line="240" w:lineRule="auto" w:before="157" w:after="0"/>
        <w:ind w:left="1420" w:right="0" w:hanging="361"/>
        <w:jc w:val="both"/>
      </w:pPr>
      <w:bookmarkStart w:name="G. Garde du courrier" w:id="152"/>
      <w:bookmarkEnd w:id="152"/>
      <w:r>
        <w:rPr>
          <w:b w:val="0"/>
        </w:rPr>
      </w:r>
      <w:bookmarkStart w:name="G. Garde du courrier" w:id="153"/>
      <w:bookmarkEnd w:id="153"/>
      <w:r>
        <w:rPr/>
        <w:t>Ga</w:t>
      </w:r>
      <w:r>
        <w:rPr/>
        <w:t>rde du</w:t>
      </w:r>
      <w:r>
        <w:rPr>
          <w:spacing w:val="2"/>
        </w:rPr>
        <w:t> </w:t>
      </w:r>
      <w:r>
        <w:rPr/>
        <w:t>courrier</w:t>
      </w:r>
    </w:p>
    <w:p>
      <w:pPr>
        <w:pStyle w:val="BodyText"/>
        <w:spacing w:before="3"/>
        <w:rPr>
          <w:b/>
          <w:sz w:val="22"/>
        </w:rPr>
      </w:pPr>
    </w:p>
    <w:p>
      <w:pPr>
        <w:pStyle w:val="BodyText"/>
        <w:spacing w:line="367" w:lineRule="auto" w:before="1"/>
        <w:ind w:left="699" w:right="323" w:firstLine="360"/>
        <w:jc w:val="both"/>
      </w:pPr>
      <w:r>
        <w:rPr/>
        <w:t>Ce</w:t>
      </w:r>
      <w:r>
        <w:rPr>
          <w:spacing w:val="-8"/>
        </w:rPr>
        <w:t> </w:t>
      </w:r>
      <w:r>
        <w:rPr/>
        <w:t>service</w:t>
      </w:r>
      <w:r>
        <w:rPr>
          <w:spacing w:val="-8"/>
        </w:rPr>
        <w:t> </w:t>
      </w:r>
      <w:r>
        <w:rPr/>
        <w:t>permet</w:t>
      </w:r>
      <w:r>
        <w:rPr>
          <w:spacing w:val="3"/>
        </w:rPr>
        <w:t> </w:t>
      </w:r>
      <w:r>
        <w:rPr>
          <w:spacing w:val="-5"/>
        </w:rPr>
        <w:t>la</w:t>
      </w:r>
      <w:r>
        <w:rPr>
          <w:spacing w:val="-8"/>
        </w:rPr>
        <w:t> </w:t>
      </w:r>
      <w:r>
        <w:rPr/>
        <w:t>possibilité</w:t>
      </w:r>
      <w:r>
        <w:rPr>
          <w:spacing w:val="-7"/>
        </w:rPr>
        <w:t> </w:t>
      </w:r>
      <w:r>
        <w:rPr/>
        <w:t>de</w:t>
      </w:r>
      <w:r>
        <w:rPr>
          <w:spacing w:val="-8"/>
        </w:rPr>
        <w:t> </w:t>
      </w:r>
      <w:r>
        <w:rPr/>
        <w:t>garder</w:t>
      </w:r>
      <w:r>
        <w:rPr>
          <w:spacing w:val="-1"/>
        </w:rPr>
        <w:t> </w:t>
      </w:r>
      <w:r>
        <w:rPr>
          <w:spacing w:val="-5"/>
        </w:rPr>
        <w:t>le</w:t>
      </w:r>
      <w:r>
        <w:rPr>
          <w:spacing w:val="-8"/>
        </w:rPr>
        <w:t> </w:t>
      </w:r>
      <w:r>
        <w:rPr/>
        <w:t>courrier</w:t>
      </w:r>
      <w:r>
        <w:rPr>
          <w:spacing w:val="-4"/>
        </w:rPr>
        <w:t> </w:t>
      </w:r>
      <w:r>
        <w:rPr/>
        <w:t>par</w:t>
      </w:r>
      <w:r>
        <w:rPr>
          <w:spacing w:val="-5"/>
        </w:rPr>
        <w:t> </w:t>
      </w:r>
      <w:r>
        <w:rPr/>
        <w:t>Algérie</w:t>
      </w:r>
      <w:r>
        <w:rPr>
          <w:spacing w:val="-8"/>
        </w:rPr>
        <w:t> </w:t>
      </w:r>
      <w:r>
        <w:rPr/>
        <w:t>Poste</w:t>
      </w:r>
      <w:r>
        <w:rPr>
          <w:spacing w:val="-7"/>
        </w:rPr>
        <w:t> </w:t>
      </w:r>
      <w:r>
        <w:rPr/>
        <w:t>pendant</w:t>
      </w:r>
      <w:r>
        <w:rPr>
          <w:spacing w:val="2"/>
        </w:rPr>
        <w:t> </w:t>
      </w:r>
      <w:r>
        <w:rPr/>
        <w:t>l’absence</w:t>
      </w:r>
      <w:r>
        <w:rPr>
          <w:spacing w:val="-7"/>
        </w:rPr>
        <w:t> </w:t>
      </w:r>
      <w:r>
        <w:rPr/>
        <w:t>et</w:t>
      </w:r>
      <w:r>
        <w:rPr>
          <w:spacing w:val="-2"/>
        </w:rPr>
        <w:t> </w:t>
      </w:r>
      <w:r>
        <w:rPr/>
        <w:t>ce, dans un délai de trois 3</w:t>
      </w:r>
      <w:r>
        <w:rPr>
          <w:spacing w:val="-3"/>
        </w:rPr>
        <w:t> mois.</w:t>
      </w:r>
    </w:p>
    <w:p>
      <w:pPr>
        <w:pStyle w:val="Heading5"/>
        <w:numPr>
          <w:ilvl w:val="0"/>
          <w:numId w:val="19"/>
        </w:numPr>
        <w:tabs>
          <w:tab w:pos="1421" w:val="left" w:leader="none"/>
        </w:tabs>
        <w:spacing w:line="240" w:lineRule="auto" w:before="149" w:after="0"/>
        <w:ind w:left="1420" w:right="0" w:hanging="361"/>
        <w:jc w:val="both"/>
      </w:pPr>
      <w:bookmarkStart w:name="H. Vente en gros d'imprimés de service" w:id="154"/>
      <w:bookmarkEnd w:id="154"/>
      <w:r>
        <w:rPr>
          <w:b w:val="0"/>
        </w:rPr>
      </w:r>
      <w:bookmarkStart w:name="H. Vente en gros d'imprimés de service" w:id="155"/>
      <w:bookmarkEnd w:id="155"/>
      <w:r>
        <w:rPr/>
        <w:t>V</w:t>
      </w:r>
      <w:r>
        <w:rPr/>
        <w:t>ente en gros d'imprimés de</w:t>
      </w:r>
      <w:r>
        <w:rPr>
          <w:spacing w:val="2"/>
        </w:rPr>
        <w:t> </w:t>
      </w:r>
      <w:r>
        <w:rPr/>
        <w:t>service</w:t>
      </w:r>
    </w:p>
    <w:p>
      <w:pPr>
        <w:pStyle w:val="BodyText"/>
        <w:spacing w:before="4"/>
        <w:rPr>
          <w:b/>
          <w:sz w:val="22"/>
        </w:rPr>
      </w:pPr>
    </w:p>
    <w:p>
      <w:pPr>
        <w:pStyle w:val="BodyText"/>
        <w:spacing w:line="360" w:lineRule="auto"/>
        <w:ind w:left="699" w:right="324" w:firstLine="360"/>
        <w:jc w:val="both"/>
      </w:pPr>
      <w:r>
        <w:rPr/>
        <w:t>A travers ce service Algérie poste permet de commander les différents imprimés de services postaux au niveau de tous les bureaux de poste et les recevoir en quelques jours comme</w:t>
      </w:r>
    </w:p>
    <w:p>
      <w:pPr>
        <w:pStyle w:val="BodyText"/>
        <w:spacing w:before="7"/>
        <w:ind w:left="699"/>
      </w:pPr>
      <w:r>
        <w:rPr/>
        <w:t>:(Recommandé, accusé de réception, mandats…).</w:t>
      </w:r>
    </w:p>
    <w:p>
      <w:pPr>
        <w:pStyle w:val="BodyText"/>
        <w:spacing w:before="8"/>
        <w:rPr>
          <w:sz w:val="25"/>
        </w:rPr>
      </w:pPr>
    </w:p>
    <w:p>
      <w:pPr>
        <w:pStyle w:val="Heading5"/>
        <w:numPr>
          <w:ilvl w:val="0"/>
          <w:numId w:val="19"/>
        </w:numPr>
        <w:tabs>
          <w:tab w:pos="1421" w:val="left" w:leader="none"/>
        </w:tabs>
        <w:spacing w:line="240" w:lineRule="auto" w:before="1" w:after="0"/>
        <w:ind w:left="1420" w:right="0" w:hanging="361"/>
        <w:jc w:val="both"/>
      </w:pPr>
      <w:bookmarkStart w:name="I. Envoi recommandé" w:id="156"/>
      <w:bookmarkEnd w:id="156"/>
      <w:r>
        <w:rPr>
          <w:b w:val="0"/>
        </w:rPr>
      </w:r>
      <w:bookmarkStart w:name="I. Envoi recommandé" w:id="157"/>
      <w:bookmarkEnd w:id="157"/>
      <w:r>
        <w:rPr/>
        <w:t>E</w:t>
      </w:r>
      <w:r>
        <w:rPr/>
        <w:t>nvoi</w:t>
      </w:r>
      <w:r>
        <w:rPr>
          <w:spacing w:val="1"/>
        </w:rPr>
        <w:t> </w:t>
      </w:r>
      <w:r>
        <w:rPr/>
        <w:t>recommandé</w:t>
      </w:r>
    </w:p>
    <w:p>
      <w:pPr>
        <w:pStyle w:val="BodyText"/>
        <w:spacing w:before="3"/>
        <w:rPr>
          <w:b/>
          <w:sz w:val="22"/>
        </w:rPr>
      </w:pPr>
    </w:p>
    <w:p>
      <w:pPr>
        <w:pStyle w:val="BodyText"/>
        <w:spacing w:line="367" w:lineRule="auto"/>
        <w:ind w:left="699" w:right="238" w:firstLine="360"/>
      </w:pPr>
      <w:r>
        <w:rPr/>
        <w:t>Avec la prestation Recommandé (R), la distribution des lettres commerciales se fait toujours contre signature ou autorisation de distribution d’une personne autorisée à prendre livraison.</w:t>
      </w:r>
    </w:p>
    <w:p>
      <w:pPr>
        <w:pStyle w:val="BodyText"/>
        <w:spacing w:line="362" w:lineRule="auto" w:before="145"/>
        <w:ind w:left="699" w:right="238" w:firstLine="360"/>
      </w:pPr>
      <w:r>
        <w:rPr/>
        <w:t>En cas de l’avarie ou de la distribution incorrecte des envois recommandés, Algérie Poste permet de bénéficier d’une garantie forfaitaire des dommages résultant de la perte.</w:t>
      </w:r>
    </w:p>
    <w:p>
      <w:pPr>
        <w:pStyle w:val="BodyText"/>
        <w:spacing w:line="364" w:lineRule="auto" w:before="155"/>
        <w:ind w:left="699" w:right="238" w:firstLine="360"/>
      </w:pPr>
      <w:r>
        <w:rPr/>
        <w:t>Grâce au suivi électronique des envois, il y a la possibilité de localiser l’envoi et savoir exactement où en est son traitement jusqu’à sa livraison.</w:t>
      </w:r>
    </w:p>
    <w:p>
      <w:pPr>
        <w:pStyle w:val="Heading5"/>
        <w:numPr>
          <w:ilvl w:val="0"/>
          <w:numId w:val="19"/>
        </w:numPr>
        <w:tabs>
          <w:tab w:pos="1421" w:val="left" w:leader="none"/>
        </w:tabs>
        <w:spacing w:line="240" w:lineRule="auto" w:before="156" w:after="0"/>
        <w:ind w:left="1420" w:right="0" w:hanging="361"/>
        <w:jc w:val="left"/>
      </w:pPr>
      <w:r>
        <w:rPr/>
        <w:t>Envoi avec valeur</w:t>
      </w:r>
      <w:r>
        <w:rPr>
          <w:spacing w:val="-2"/>
        </w:rPr>
        <w:t> </w:t>
      </w:r>
      <w:r>
        <w:rPr/>
        <w:t>déclarée</w:t>
      </w:r>
    </w:p>
    <w:p>
      <w:pPr>
        <w:pStyle w:val="BodyText"/>
        <w:rPr>
          <w:b/>
          <w:sz w:val="29"/>
        </w:rPr>
      </w:pPr>
    </w:p>
    <w:p>
      <w:pPr>
        <w:pStyle w:val="BodyText"/>
        <w:spacing w:line="360" w:lineRule="auto"/>
        <w:ind w:left="699" w:right="238"/>
      </w:pPr>
      <w:r>
        <w:rPr/>
        <w:t>C’est un service qui contribue, d’une manière efficace, à améliorer vos relations de confiance envers vos clients ou fournisseurs, et administrations. Cette prestation permet de bénéficier :</w:t>
      </w:r>
    </w:p>
    <w:p>
      <w:pPr>
        <w:pStyle w:val="ListParagraph"/>
        <w:numPr>
          <w:ilvl w:val="0"/>
          <w:numId w:val="18"/>
        </w:numPr>
        <w:tabs>
          <w:tab w:pos="1420" w:val="left" w:leader="none"/>
          <w:tab w:pos="1421" w:val="left" w:leader="none"/>
        </w:tabs>
        <w:spacing w:line="240" w:lineRule="auto" w:before="0" w:after="0"/>
        <w:ind w:left="1420" w:right="0" w:hanging="361"/>
        <w:jc w:val="left"/>
        <w:rPr>
          <w:sz w:val="24"/>
        </w:rPr>
      </w:pPr>
      <w:r>
        <w:rPr>
          <w:sz w:val="24"/>
        </w:rPr>
        <w:t>D’un transfert sécurisé de</w:t>
      </w:r>
      <w:r>
        <w:rPr>
          <w:spacing w:val="9"/>
          <w:sz w:val="24"/>
        </w:rPr>
        <w:t> </w:t>
      </w:r>
      <w:r>
        <w:rPr>
          <w:sz w:val="24"/>
        </w:rPr>
        <w:t>l’envoi,</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D’une remise contre signature au destinataire ou à son</w:t>
      </w:r>
      <w:r>
        <w:rPr>
          <w:spacing w:val="-8"/>
          <w:sz w:val="24"/>
        </w:rPr>
        <w:t> </w:t>
      </w:r>
      <w:r>
        <w:rPr>
          <w:sz w:val="24"/>
        </w:rPr>
        <w:t>représentant</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Une notification de</w:t>
      </w:r>
      <w:r>
        <w:rPr>
          <w:spacing w:val="3"/>
          <w:sz w:val="24"/>
        </w:rPr>
        <w:t> </w:t>
      </w:r>
      <w:r>
        <w:rPr>
          <w:sz w:val="24"/>
        </w:rPr>
        <w:t>réception,</w:t>
      </w:r>
    </w:p>
    <w:p>
      <w:pPr>
        <w:spacing w:after="0" w:line="240" w:lineRule="auto"/>
        <w:jc w:val="left"/>
        <w:rPr>
          <w:sz w:val="24"/>
        </w:rPr>
        <w:sectPr>
          <w:pgSz w:w="12240" w:h="15840"/>
          <w:pgMar w:header="723" w:footer="850" w:top="1080" w:bottom="1040" w:left="1000" w:right="820"/>
        </w:sectPr>
      </w:pPr>
    </w:p>
    <w:p>
      <w:pPr>
        <w:pStyle w:val="BodyText"/>
        <w:spacing w:before="9"/>
        <w:rPr>
          <w:sz w:val="18"/>
        </w:rPr>
      </w:pPr>
    </w:p>
    <w:p>
      <w:pPr>
        <w:pStyle w:val="ListParagraph"/>
        <w:numPr>
          <w:ilvl w:val="0"/>
          <w:numId w:val="18"/>
        </w:numPr>
        <w:tabs>
          <w:tab w:pos="1420" w:val="left" w:leader="none"/>
          <w:tab w:pos="1421" w:val="left" w:leader="none"/>
        </w:tabs>
        <w:spacing w:line="350" w:lineRule="auto" w:before="100" w:after="0"/>
        <w:ind w:left="1420" w:right="323" w:hanging="360"/>
        <w:jc w:val="left"/>
        <w:rPr>
          <w:sz w:val="24"/>
        </w:rPr>
      </w:pPr>
      <w:r>
        <w:rPr>
          <w:sz w:val="24"/>
        </w:rPr>
        <w:t>En cas de perte ou d'avarie, une compensation équivalente à </w:t>
      </w:r>
      <w:r>
        <w:rPr>
          <w:spacing w:val="-5"/>
          <w:sz w:val="24"/>
        </w:rPr>
        <w:t>la </w:t>
      </w:r>
      <w:r>
        <w:rPr>
          <w:sz w:val="24"/>
        </w:rPr>
        <w:t>valeur déclarée du contenu sera versée lors du</w:t>
      </w:r>
      <w:r>
        <w:rPr>
          <w:spacing w:val="8"/>
          <w:sz w:val="24"/>
        </w:rPr>
        <w:t> </w:t>
      </w:r>
      <w:r>
        <w:rPr>
          <w:sz w:val="24"/>
        </w:rPr>
        <w:t>dépôt.</w:t>
      </w:r>
    </w:p>
    <w:p>
      <w:pPr>
        <w:pStyle w:val="ListParagraph"/>
        <w:numPr>
          <w:ilvl w:val="0"/>
          <w:numId w:val="18"/>
        </w:numPr>
        <w:tabs>
          <w:tab w:pos="1421" w:val="left" w:leader="none"/>
        </w:tabs>
        <w:spacing w:line="240" w:lineRule="auto" w:before="8" w:after="0"/>
        <w:ind w:left="1420" w:right="0" w:hanging="361"/>
        <w:jc w:val="both"/>
        <w:rPr>
          <w:sz w:val="24"/>
        </w:rPr>
      </w:pPr>
      <w:r>
        <w:rPr>
          <w:sz w:val="24"/>
        </w:rPr>
        <w:t>D'une assistance continue en </w:t>
      </w:r>
      <w:r>
        <w:rPr>
          <w:spacing w:val="-3"/>
          <w:sz w:val="24"/>
        </w:rPr>
        <w:t>ligne </w:t>
      </w:r>
      <w:r>
        <w:rPr>
          <w:sz w:val="24"/>
        </w:rPr>
        <w:t>à tout</w:t>
      </w:r>
      <w:r>
        <w:rPr>
          <w:spacing w:val="10"/>
          <w:sz w:val="24"/>
        </w:rPr>
        <w:t> </w:t>
      </w:r>
      <w:r>
        <w:rPr>
          <w:sz w:val="24"/>
        </w:rPr>
        <w:t>instant.</w:t>
      </w:r>
    </w:p>
    <w:p>
      <w:pPr>
        <w:pStyle w:val="BodyText"/>
        <w:spacing w:before="2"/>
        <w:rPr>
          <w:sz w:val="30"/>
        </w:rPr>
      </w:pPr>
    </w:p>
    <w:p>
      <w:pPr>
        <w:pStyle w:val="Heading5"/>
        <w:numPr>
          <w:ilvl w:val="0"/>
          <w:numId w:val="19"/>
        </w:numPr>
        <w:tabs>
          <w:tab w:pos="1421" w:val="left" w:leader="none"/>
        </w:tabs>
        <w:spacing w:line="240" w:lineRule="auto" w:before="1" w:after="0"/>
        <w:ind w:left="1420" w:right="0" w:hanging="361"/>
        <w:jc w:val="both"/>
      </w:pPr>
      <w:bookmarkStart w:name="K. Objets de correspondance envoyés en c" w:id="158"/>
      <w:bookmarkEnd w:id="158"/>
      <w:r>
        <w:rPr>
          <w:b w:val="0"/>
        </w:rPr>
      </w:r>
      <w:bookmarkStart w:name="K. Objets de correspondance envoyés en c" w:id="159"/>
      <w:bookmarkEnd w:id="159"/>
      <w:r>
        <w:rPr/>
        <w:t>O</w:t>
      </w:r>
      <w:r>
        <w:rPr/>
        <w:t>bjets de correspondance envoyés en contre remboursement</w:t>
      </w:r>
      <w:r>
        <w:rPr>
          <w:spacing w:val="10"/>
        </w:rPr>
        <w:t> </w:t>
      </w:r>
      <w:r>
        <w:rPr/>
        <w:t>:</w:t>
      </w:r>
    </w:p>
    <w:p>
      <w:pPr>
        <w:pStyle w:val="BodyText"/>
        <w:spacing w:before="3"/>
        <w:rPr>
          <w:b/>
          <w:sz w:val="22"/>
        </w:rPr>
      </w:pPr>
    </w:p>
    <w:p>
      <w:pPr>
        <w:pStyle w:val="BodyText"/>
        <w:spacing w:line="362" w:lineRule="auto" w:before="1"/>
        <w:ind w:left="699" w:right="317" w:firstLine="360"/>
        <w:jc w:val="both"/>
      </w:pPr>
      <w:r>
        <w:rPr/>
        <w:t>C’est un service adressé aux entreprises qui travaillent dans </w:t>
      </w:r>
      <w:r>
        <w:rPr>
          <w:spacing w:val="-3"/>
        </w:rPr>
        <w:t>le </w:t>
      </w:r>
      <w:r>
        <w:rPr/>
        <w:t>domaine de </w:t>
      </w:r>
      <w:r>
        <w:rPr>
          <w:spacing w:val="-3"/>
        </w:rPr>
        <w:t>la </w:t>
      </w:r>
      <w:r>
        <w:rPr/>
        <w:t>vente de marchandises</w:t>
      </w:r>
      <w:r>
        <w:rPr>
          <w:spacing w:val="-7"/>
        </w:rPr>
        <w:t> </w:t>
      </w:r>
      <w:r>
        <w:rPr/>
        <w:t>à</w:t>
      </w:r>
      <w:r>
        <w:rPr>
          <w:spacing w:val="-5"/>
        </w:rPr>
        <w:t> </w:t>
      </w:r>
      <w:r>
        <w:rPr/>
        <w:t>distance.</w:t>
      </w:r>
      <w:r>
        <w:rPr>
          <w:spacing w:val="-2"/>
        </w:rPr>
        <w:t> </w:t>
      </w:r>
      <w:r>
        <w:rPr/>
        <w:t>L’entreprise</w:t>
      </w:r>
      <w:r>
        <w:rPr>
          <w:spacing w:val="-5"/>
        </w:rPr>
        <w:t> </w:t>
      </w:r>
      <w:r>
        <w:rPr/>
        <w:t>peut</w:t>
      </w:r>
      <w:r>
        <w:rPr>
          <w:spacing w:val="-4"/>
        </w:rPr>
        <w:t> </w:t>
      </w:r>
      <w:r>
        <w:rPr/>
        <w:t>envoyer</w:t>
      </w:r>
      <w:r>
        <w:rPr>
          <w:spacing w:val="-3"/>
        </w:rPr>
        <w:t> </w:t>
      </w:r>
      <w:r>
        <w:rPr/>
        <w:t>des</w:t>
      </w:r>
      <w:r>
        <w:rPr>
          <w:spacing w:val="-6"/>
        </w:rPr>
        <w:t> </w:t>
      </w:r>
      <w:r>
        <w:rPr/>
        <w:t>marchandises</w:t>
      </w:r>
      <w:r>
        <w:rPr>
          <w:spacing w:val="-7"/>
        </w:rPr>
        <w:t> </w:t>
      </w:r>
      <w:r>
        <w:rPr/>
        <w:t>et</w:t>
      </w:r>
      <w:r>
        <w:rPr>
          <w:spacing w:val="-4"/>
        </w:rPr>
        <w:t> </w:t>
      </w:r>
      <w:r>
        <w:rPr/>
        <w:t>demander</w:t>
      </w:r>
      <w:r>
        <w:rPr>
          <w:spacing w:val="-3"/>
        </w:rPr>
        <w:t> </w:t>
      </w:r>
      <w:r>
        <w:rPr/>
        <w:t>à</w:t>
      </w:r>
      <w:r>
        <w:rPr>
          <w:spacing w:val="-9"/>
        </w:rPr>
        <w:t> </w:t>
      </w:r>
      <w:r>
        <w:rPr/>
        <w:t>Algérie</w:t>
      </w:r>
      <w:r>
        <w:rPr>
          <w:spacing w:val="-5"/>
        </w:rPr>
        <w:t> </w:t>
      </w:r>
      <w:r>
        <w:rPr/>
        <w:t>Poste d’encaisser </w:t>
      </w:r>
      <w:r>
        <w:rPr>
          <w:spacing w:val="-5"/>
        </w:rPr>
        <w:t>le </w:t>
      </w:r>
      <w:r>
        <w:rPr/>
        <w:t>montant du bien au </w:t>
      </w:r>
      <w:r>
        <w:rPr>
          <w:spacing w:val="-3"/>
        </w:rPr>
        <w:t>moment </w:t>
      </w:r>
      <w:r>
        <w:rPr/>
        <w:t>de </w:t>
      </w:r>
      <w:r>
        <w:rPr>
          <w:spacing w:val="-3"/>
        </w:rPr>
        <w:t>leur </w:t>
      </w:r>
      <w:r>
        <w:rPr/>
        <w:t>livraison à leurs</w:t>
      </w:r>
      <w:r>
        <w:rPr>
          <w:spacing w:val="47"/>
        </w:rPr>
        <w:t> </w:t>
      </w:r>
      <w:r>
        <w:rPr/>
        <w:t>clients.</w:t>
      </w:r>
    </w:p>
    <w:p>
      <w:pPr>
        <w:pStyle w:val="Heading5"/>
        <w:numPr>
          <w:ilvl w:val="0"/>
          <w:numId w:val="19"/>
        </w:numPr>
        <w:tabs>
          <w:tab w:pos="1421" w:val="left" w:leader="none"/>
        </w:tabs>
        <w:spacing w:line="240" w:lineRule="auto" w:before="156" w:after="0"/>
        <w:ind w:left="1420" w:right="0" w:hanging="361"/>
        <w:jc w:val="both"/>
      </w:pPr>
      <w:bookmarkStart w:name="L. Télégramme en nombre « Barki@tic »" w:id="160"/>
      <w:bookmarkEnd w:id="160"/>
      <w:r>
        <w:rPr>
          <w:b w:val="0"/>
        </w:rPr>
      </w:r>
      <w:bookmarkStart w:name="L. Télégramme en nombre « Barki@tic »" w:id="161"/>
      <w:bookmarkEnd w:id="161"/>
      <w:r>
        <w:rPr/>
        <w:t>T</w:t>
      </w:r>
      <w:r>
        <w:rPr/>
        <w:t>élégramme en nombre « Barki@tic</w:t>
      </w:r>
      <w:r>
        <w:rPr>
          <w:spacing w:val="5"/>
        </w:rPr>
        <w:t> </w:t>
      </w:r>
      <w:r>
        <w:rPr/>
        <w:t>»</w:t>
      </w:r>
    </w:p>
    <w:p>
      <w:pPr>
        <w:pStyle w:val="BodyText"/>
        <w:spacing w:before="4"/>
        <w:rPr>
          <w:b/>
          <w:sz w:val="22"/>
        </w:rPr>
      </w:pPr>
    </w:p>
    <w:p>
      <w:pPr>
        <w:pStyle w:val="BodyText"/>
        <w:spacing w:line="362" w:lineRule="auto"/>
        <w:ind w:left="699" w:right="323" w:firstLine="360"/>
        <w:jc w:val="both"/>
      </w:pPr>
      <w:r>
        <w:rPr/>
        <w:t>C’est</w:t>
      </w:r>
      <w:r>
        <w:rPr>
          <w:spacing w:val="-8"/>
        </w:rPr>
        <w:t> </w:t>
      </w:r>
      <w:r>
        <w:rPr/>
        <w:t>un</w:t>
      </w:r>
      <w:r>
        <w:rPr>
          <w:spacing w:val="-16"/>
        </w:rPr>
        <w:t> </w:t>
      </w:r>
      <w:r>
        <w:rPr/>
        <w:t>service</w:t>
      </w:r>
      <w:r>
        <w:rPr>
          <w:spacing w:val="-13"/>
        </w:rPr>
        <w:t> </w:t>
      </w:r>
      <w:r>
        <w:rPr/>
        <w:t>qui</w:t>
      </w:r>
      <w:r>
        <w:rPr>
          <w:spacing w:val="-20"/>
        </w:rPr>
        <w:t> </w:t>
      </w:r>
      <w:r>
        <w:rPr/>
        <w:t>permet</w:t>
      </w:r>
      <w:r>
        <w:rPr>
          <w:spacing w:val="-7"/>
        </w:rPr>
        <w:t> </w:t>
      </w:r>
      <w:r>
        <w:rPr/>
        <w:t>l’envoi</w:t>
      </w:r>
      <w:r>
        <w:rPr>
          <w:spacing w:val="-21"/>
        </w:rPr>
        <w:t> </w:t>
      </w:r>
      <w:r>
        <w:rPr/>
        <w:t>et</w:t>
      </w:r>
      <w:r>
        <w:rPr>
          <w:spacing w:val="-11"/>
        </w:rPr>
        <w:t> </w:t>
      </w:r>
      <w:r>
        <w:rPr>
          <w:spacing w:val="-5"/>
        </w:rPr>
        <w:t>la</w:t>
      </w:r>
      <w:r>
        <w:rPr>
          <w:spacing w:val="-13"/>
        </w:rPr>
        <w:t> </w:t>
      </w:r>
      <w:r>
        <w:rPr/>
        <w:t>réception</w:t>
      </w:r>
      <w:r>
        <w:rPr>
          <w:spacing w:val="-15"/>
        </w:rPr>
        <w:t> </w:t>
      </w:r>
      <w:r>
        <w:rPr/>
        <w:t>des</w:t>
      </w:r>
      <w:r>
        <w:rPr>
          <w:spacing w:val="-10"/>
        </w:rPr>
        <w:t> </w:t>
      </w:r>
      <w:r>
        <w:rPr/>
        <w:t>messages</w:t>
      </w:r>
      <w:r>
        <w:rPr>
          <w:spacing w:val="-14"/>
        </w:rPr>
        <w:t> </w:t>
      </w:r>
      <w:r>
        <w:rPr/>
        <w:t>par</w:t>
      </w:r>
      <w:r>
        <w:rPr>
          <w:spacing w:val="-10"/>
        </w:rPr>
        <w:t> </w:t>
      </w:r>
      <w:r>
        <w:rPr>
          <w:spacing w:val="-3"/>
        </w:rPr>
        <w:t>voie</w:t>
      </w:r>
      <w:r>
        <w:rPr>
          <w:spacing w:val="-13"/>
        </w:rPr>
        <w:t> </w:t>
      </w:r>
      <w:r>
        <w:rPr/>
        <w:t>électronique</w:t>
      </w:r>
      <w:r>
        <w:rPr>
          <w:spacing w:val="-13"/>
        </w:rPr>
        <w:t> </w:t>
      </w:r>
      <w:r>
        <w:rPr/>
        <w:t>(Message de vœux ou de condoléances, convocations et invitations, mises en demeures…) via intranet et </w:t>
      </w:r>
      <w:r>
        <w:rPr>
          <w:spacing w:val="-5"/>
        </w:rPr>
        <w:t>la </w:t>
      </w:r>
      <w:r>
        <w:rPr/>
        <w:t>livraison de ces derniers sous format </w:t>
      </w:r>
      <w:r>
        <w:rPr>
          <w:spacing w:val="-2"/>
        </w:rPr>
        <w:t>papier </w:t>
      </w:r>
      <w:r>
        <w:rPr>
          <w:spacing w:val="-3"/>
        </w:rPr>
        <w:t>le </w:t>
      </w:r>
      <w:r>
        <w:rPr/>
        <w:t>jour</w:t>
      </w:r>
      <w:r>
        <w:rPr>
          <w:spacing w:val="22"/>
        </w:rPr>
        <w:t> </w:t>
      </w:r>
      <w:r>
        <w:rPr/>
        <w:t>même.</w:t>
      </w:r>
    </w:p>
    <w:p>
      <w:pPr>
        <w:pStyle w:val="BodyText"/>
        <w:spacing w:line="362" w:lineRule="auto" w:before="152"/>
        <w:ind w:left="699" w:right="326" w:firstLine="360"/>
        <w:jc w:val="both"/>
      </w:pPr>
      <w:r>
        <w:rPr/>
        <w:t>Il est dédié plus particulièrement aux administrations publiques, entreprises économiques, les PME, PMI, organismes financiers, bancaires et d’assurances et profession libérales.</w:t>
      </w:r>
    </w:p>
    <w:p>
      <w:pPr>
        <w:pStyle w:val="BodyText"/>
        <w:spacing w:line="362" w:lineRule="auto" w:before="156"/>
        <w:ind w:left="699" w:right="316" w:firstLine="360"/>
        <w:jc w:val="both"/>
      </w:pPr>
      <w:r>
        <w:rPr/>
        <w:t>Barki@tic offre l’avantage d’avoir un document qui confirme la livraison et un suivi en ligne des télégrammes et des tarifs adaptés selon les critères du message.</w:t>
      </w:r>
    </w:p>
    <w:p>
      <w:pPr>
        <w:pStyle w:val="BodyText"/>
        <w:spacing w:line="362" w:lineRule="auto" w:before="155"/>
        <w:ind w:left="699" w:right="317" w:firstLine="360"/>
        <w:jc w:val="both"/>
      </w:pPr>
      <w:r>
        <w:rPr/>
        <w:t>Algérie</w:t>
      </w:r>
      <w:r>
        <w:rPr>
          <w:spacing w:val="-12"/>
        </w:rPr>
        <w:t> </w:t>
      </w:r>
      <w:r>
        <w:rPr/>
        <w:t>poste</w:t>
      </w:r>
      <w:r>
        <w:rPr>
          <w:spacing w:val="-15"/>
        </w:rPr>
        <w:t> </w:t>
      </w:r>
      <w:r>
        <w:rPr/>
        <w:t>offre</w:t>
      </w:r>
      <w:r>
        <w:rPr>
          <w:spacing w:val="-12"/>
        </w:rPr>
        <w:t> </w:t>
      </w:r>
      <w:r>
        <w:rPr/>
        <w:t>aux</w:t>
      </w:r>
      <w:r>
        <w:rPr>
          <w:spacing w:val="-14"/>
        </w:rPr>
        <w:t> </w:t>
      </w:r>
      <w:r>
        <w:rPr/>
        <w:t>administrations</w:t>
      </w:r>
      <w:r>
        <w:rPr>
          <w:spacing w:val="-12"/>
        </w:rPr>
        <w:t> </w:t>
      </w:r>
      <w:r>
        <w:rPr/>
        <w:t>et</w:t>
      </w:r>
      <w:r>
        <w:rPr>
          <w:spacing w:val="-6"/>
        </w:rPr>
        <w:t> </w:t>
      </w:r>
      <w:r>
        <w:rPr/>
        <w:t>aux</w:t>
      </w:r>
      <w:r>
        <w:rPr>
          <w:spacing w:val="-15"/>
        </w:rPr>
        <w:t> </w:t>
      </w:r>
      <w:r>
        <w:rPr/>
        <w:t>opérateurs</w:t>
      </w:r>
      <w:r>
        <w:rPr>
          <w:spacing w:val="-12"/>
        </w:rPr>
        <w:t> </w:t>
      </w:r>
      <w:r>
        <w:rPr/>
        <w:t>économiques</w:t>
      </w:r>
      <w:r>
        <w:rPr>
          <w:spacing w:val="-8"/>
        </w:rPr>
        <w:t> </w:t>
      </w:r>
      <w:r>
        <w:rPr>
          <w:spacing w:val="-5"/>
        </w:rPr>
        <w:t>la</w:t>
      </w:r>
      <w:r>
        <w:rPr>
          <w:spacing w:val="-11"/>
        </w:rPr>
        <w:t> </w:t>
      </w:r>
      <w:r>
        <w:rPr/>
        <w:t>possibilité</w:t>
      </w:r>
      <w:r>
        <w:rPr>
          <w:spacing w:val="-12"/>
        </w:rPr>
        <w:t> </w:t>
      </w:r>
      <w:r>
        <w:rPr/>
        <w:t>de</w:t>
      </w:r>
      <w:r>
        <w:rPr>
          <w:spacing w:val="-11"/>
        </w:rPr>
        <w:t> </w:t>
      </w:r>
      <w:r>
        <w:rPr/>
        <w:t>déposer d’un nombre important des télégrammes au niveau des bureaux de poste sous format électronique (Fichier Excel</w:t>
      </w:r>
      <w:r>
        <w:rPr>
          <w:spacing w:val="-5"/>
        </w:rPr>
        <w:t> </w:t>
      </w:r>
      <w:r>
        <w:rPr/>
        <w:t>préformaté).</w:t>
      </w:r>
    </w:p>
    <w:p>
      <w:pPr>
        <w:pStyle w:val="Heading5"/>
        <w:numPr>
          <w:ilvl w:val="0"/>
          <w:numId w:val="19"/>
        </w:numPr>
        <w:tabs>
          <w:tab w:pos="1421" w:val="left" w:leader="none"/>
        </w:tabs>
        <w:spacing w:line="240" w:lineRule="auto" w:before="157" w:after="0"/>
        <w:ind w:left="1420" w:right="0" w:hanging="361"/>
        <w:jc w:val="both"/>
      </w:pPr>
      <w:bookmarkStart w:name="M. Télégramme « Barki@tic Pro »" w:id="162"/>
      <w:bookmarkEnd w:id="162"/>
      <w:r>
        <w:rPr>
          <w:b w:val="0"/>
        </w:rPr>
      </w:r>
      <w:bookmarkStart w:name="M. Télégramme « Barki@tic Pro »" w:id="163"/>
      <w:bookmarkEnd w:id="163"/>
      <w:r>
        <w:rPr/>
        <w:t>T</w:t>
      </w:r>
      <w:r>
        <w:rPr/>
        <w:t>élégramme « Barki@tic </w:t>
      </w:r>
      <w:r>
        <w:rPr>
          <w:spacing w:val="-3"/>
        </w:rPr>
        <w:t>Pro</w:t>
      </w:r>
      <w:r>
        <w:rPr>
          <w:spacing w:val="5"/>
        </w:rPr>
        <w:t> </w:t>
      </w:r>
      <w:r>
        <w:rPr/>
        <w:t>»</w:t>
      </w:r>
    </w:p>
    <w:p>
      <w:pPr>
        <w:pStyle w:val="BodyText"/>
        <w:spacing w:before="4"/>
        <w:rPr>
          <w:b/>
          <w:sz w:val="22"/>
        </w:rPr>
      </w:pPr>
    </w:p>
    <w:p>
      <w:pPr>
        <w:pStyle w:val="BodyText"/>
        <w:spacing w:line="362" w:lineRule="auto"/>
        <w:ind w:left="699" w:right="315" w:firstLine="360"/>
        <w:jc w:val="both"/>
      </w:pPr>
      <w:r>
        <w:rPr/>
        <w:t>Ce</w:t>
      </w:r>
      <w:r>
        <w:rPr>
          <w:spacing w:val="-9"/>
        </w:rPr>
        <w:t> </w:t>
      </w:r>
      <w:r>
        <w:rPr/>
        <w:t>service</w:t>
      </w:r>
      <w:r>
        <w:rPr>
          <w:spacing w:val="-8"/>
        </w:rPr>
        <w:t> </w:t>
      </w:r>
      <w:r>
        <w:rPr/>
        <w:t>offert</w:t>
      </w:r>
      <w:r>
        <w:rPr>
          <w:spacing w:val="-2"/>
        </w:rPr>
        <w:t> </w:t>
      </w:r>
      <w:r>
        <w:rPr/>
        <w:t>par</w:t>
      </w:r>
      <w:r>
        <w:rPr>
          <w:spacing w:val="-5"/>
        </w:rPr>
        <w:t> </w:t>
      </w:r>
      <w:r>
        <w:rPr/>
        <w:t>Algérie</w:t>
      </w:r>
      <w:r>
        <w:rPr>
          <w:spacing w:val="-8"/>
        </w:rPr>
        <w:t> </w:t>
      </w:r>
      <w:r>
        <w:rPr/>
        <w:t>poste</w:t>
      </w:r>
      <w:r>
        <w:rPr>
          <w:spacing w:val="-13"/>
        </w:rPr>
        <w:t> </w:t>
      </w:r>
      <w:r>
        <w:rPr/>
        <w:t>permet</w:t>
      </w:r>
      <w:r>
        <w:rPr>
          <w:spacing w:val="2"/>
        </w:rPr>
        <w:t> </w:t>
      </w:r>
      <w:r>
        <w:rPr/>
        <w:t>l’envoi</w:t>
      </w:r>
      <w:r>
        <w:rPr>
          <w:spacing w:val="-11"/>
        </w:rPr>
        <w:t> </w:t>
      </w:r>
      <w:r>
        <w:rPr/>
        <w:t>des</w:t>
      </w:r>
      <w:r>
        <w:rPr>
          <w:spacing w:val="-9"/>
        </w:rPr>
        <w:t> </w:t>
      </w:r>
      <w:r>
        <w:rPr/>
        <w:t>télégrammes</w:t>
      </w:r>
      <w:r>
        <w:rPr>
          <w:spacing w:val="-9"/>
        </w:rPr>
        <w:t> </w:t>
      </w:r>
      <w:r>
        <w:rPr/>
        <w:t>directement</w:t>
      </w:r>
      <w:r>
        <w:rPr>
          <w:spacing w:val="-2"/>
        </w:rPr>
        <w:t> </w:t>
      </w:r>
      <w:r>
        <w:rPr/>
        <w:t>des</w:t>
      </w:r>
      <w:r>
        <w:rPr>
          <w:spacing w:val="-6"/>
        </w:rPr>
        <w:t> </w:t>
      </w:r>
      <w:r>
        <w:rPr/>
        <w:t>locaux</w:t>
      </w:r>
      <w:r>
        <w:rPr>
          <w:spacing w:val="-11"/>
        </w:rPr>
        <w:t> </w:t>
      </w:r>
      <w:r>
        <w:rPr/>
        <w:t>des clients</w:t>
      </w:r>
      <w:r>
        <w:rPr>
          <w:spacing w:val="-12"/>
        </w:rPr>
        <w:t> </w:t>
      </w:r>
      <w:r>
        <w:rPr/>
        <w:t>grâce</w:t>
      </w:r>
      <w:r>
        <w:rPr>
          <w:spacing w:val="-10"/>
        </w:rPr>
        <w:t> </w:t>
      </w:r>
      <w:r>
        <w:rPr/>
        <w:t>à</w:t>
      </w:r>
      <w:r>
        <w:rPr>
          <w:spacing w:val="-11"/>
        </w:rPr>
        <w:t> </w:t>
      </w:r>
      <w:r>
        <w:rPr/>
        <w:t>une</w:t>
      </w:r>
      <w:r>
        <w:rPr>
          <w:spacing w:val="-10"/>
        </w:rPr>
        <w:t> </w:t>
      </w:r>
      <w:r>
        <w:rPr/>
        <w:t>connexion</w:t>
      </w:r>
      <w:r>
        <w:rPr>
          <w:spacing w:val="-13"/>
        </w:rPr>
        <w:t> </w:t>
      </w:r>
      <w:r>
        <w:rPr/>
        <w:t>privée</w:t>
      </w:r>
      <w:r>
        <w:rPr>
          <w:spacing w:val="-11"/>
        </w:rPr>
        <w:t> </w:t>
      </w:r>
      <w:r>
        <w:rPr/>
        <w:t>et</w:t>
      </w:r>
      <w:r>
        <w:rPr>
          <w:spacing w:val="-4"/>
        </w:rPr>
        <w:t> </w:t>
      </w:r>
      <w:r>
        <w:rPr/>
        <w:t>sécurisé</w:t>
      </w:r>
      <w:r>
        <w:rPr>
          <w:spacing w:val="-11"/>
        </w:rPr>
        <w:t> </w:t>
      </w:r>
      <w:r>
        <w:rPr/>
        <w:t>sur</w:t>
      </w:r>
      <w:r>
        <w:rPr>
          <w:spacing w:val="-7"/>
        </w:rPr>
        <w:t> </w:t>
      </w:r>
      <w:r>
        <w:rPr>
          <w:spacing w:val="-3"/>
        </w:rPr>
        <w:t>le</w:t>
      </w:r>
      <w:r>
        <w:rPr>
          <w:spacing w:val="-11"/>
        </w:rPr>
        <w:t> </w:t>
      </w:r>
      <w:r>
        <w:rPr/>
        <w:t>système</w:t>
      </w:r>
      <w:r>
        <w:rPr>
          <w:spacing w:val="-10"/>
        </w:rPr>
        <w:t> </w:t>
      </w:r>
      <w:r>
        <w:rPr/>
        <w:t>(Mobiconnect)</w:t>
      </w:r>
      <w:r>
        <w:rPr>
          <w:spacing w:val="-8"/>
        </w:rPr>
        <w:t> </w:t>
      </w:r>
      <w:r>
        <w:rPr>
          <w:spacing w:val="-3"/>
        </w:rPr>
        <w:t>sans</w:t>
      </w:r>
      <w:r>
        <w:rPr>
          <w:spacing w:val="-11"/>
        </w:rPr>
        <w:t> </w:t>
      </w:r>
      <w:r>
        <w:rPr/>
        <w:t>se</w:t>
      </w:r>
      <w:r>
        <w:rPr>
          <w:spacing w:val="-10"/>
        </w:rPr>
        <w:t> </w:t>
      </w:r>
      <w:r>
        <w:rPr/>
        <w:t>déplacer</w:t>
      </w:r>
      <w:r>
        <w:rPr>
          <w:spacing w:val="-8"/>
        </w:rPr>
        <w:t> </w:t>
      </w:r>
      <w:r>
        <w:rPr/>
        <w:t>vers les</w:t>
      </w:r>
      <w:r>
        <w:rPr>
          <w:spacing w:val="-18"/>
        </w:rPr>
        <w:t> </w:t>
      </w:r>
      <w:r>
        <w:rPr/>
        <w:t>bureaux</w:t>
      </w:r>
      <w:r>
        <w:rPr>
          <w:spacing w:val="-19"/>
        </w:rPr>
        <w:t> </w:t>
      </w:r>
      <w:r>
        <w:rPr/>
        <w:t>de</w:t>
      </w:r>
      <w:r>
        <w:rPr>
          <w:spacing w:val="-16"/>
        </w:rPr>
        <w:t> </w:t>
      </w:r>
      <w:r>
        <w:rPr/>
        <w:t>poste,</w:t>
      </w:r>
      <w:r>
        <w:rPr>
          <w:spacing w:val="-12"/>
        </w:rPr>
        <w:t> </w:t>
      </w:r>
      <w:r>
        <w:rPr>
          <w:spacing w:val="-3"/>
        </w:rPr>
        <w:t>il</w:t>
      </w:r>
      <w:r>
        <w:rPr>
          <w:spacing w:val="-19"/>
        </w:rPr>
        <w:t> </w:t>
      </w:r>
      <w:r>
        <w:rPr/>
        <w:t>est</w:t>
      </w:r>
      <w:r>
        <w:rPr>
          <w:spacing w:val="-10"/>
        </w:rPr>
        <w:t> </w:t>
      </w:r>
      <w:r>
        <w:rPr/>
        <w:t>dédié</w:t>
      </w:r>
      <w:r>
        <w:rPr>
          <w:spacing w:val="-16"/>
        </w:rPr>
        <w:t> </w:t>
      </w:r>
      <w:r>
        <w:rPr/>
        <w:t>administrations</w:t>
      </w:r>
      <w:r>
        <w:rPr>
          <w:spacing w:val="-12"/>
        </w:rPr>
        <w:t> </w:t>
      </w:r>
      <w:r>
        <w:rPr/>
        <w:t>et</w:t>
      </w:r>
      <w:r>
        <w:rPr>
          <w:spacing w:val="-15"/>
        </w:rPr>
        <w:t> </w:t>
      </w:r>
      <w:r>
        <w:rPr/>
        <w:t>opérateurs</w:t>
      </w:r>
      <w:r>
        <w:rPr>
          <w:spacing w:val="-17"/>
        </w:rPr>
        <w:t> </w:t>
      </w:r>
      <w:r>
        <w:rPr/>
        <w:t>économiques</w:t>
      </w:r>
      <w:r>
        <w:rPr>
          <w:spacing w:val="-18"/>
        </w:rPr>
        <w:t> </w:t>
      </w:r>
      <w:r>
        <w:rPr/>
        <w:t>géographiquement</w:t>
      </w:r>
      <w:r>
        <w:rPr>
          <w:spacing w:val="-6"/>
        </w:rPr>
        <w:t> </w:t>
      </w:r>
      <w:r>
        <w:rPr/>
        <w:t>loin des bureaux de</w:t>
      </w:r>
      <w:r>
        <w:rPr>
          <w:spacing w:val="-3"/>
        </w:rPr>
        <w:t> </w:t>
      </w:r>
      <w:r>
        <w:rPr/>
        <w:t>poste.</w:t>
      </w:r>
    </w:p>
    <w:p>
      <w:pPr>
        <w:pStyle w:val="Heading5"/>
        <w:numPr>
          <w:ilvl w:val="0"/>
          <w:numId w:val="19"/>
        </w:numPr>
        <w:tabs>
          <w:tab w:pos="1421" w:val="left" w:leader="none"/>
        </w:tabs>
        <w:spacing w:line="240" w:lineRule="auto" w:before="153" w:after="0"/>
        <w:ind w:left="1420" w:right="0" w:hanging="361"/>
        <w:jc w:val="both"/>
      </w:pPr>
      <w:bookmarkStart w:name="N. Abonnement aux boites postales" w:id="164"/>
      <w:bookmarkEnd w:id="164"/>
      <w:r>
        <w:rPr>
          <w:b w:val="0"/>
        </w:rPr>
      </w:r>
      <w:bookmarkStart w:name="N. Abonnement aux boites postales" w:id="165"/>
      <w:bookmarkEnd w:id="165"/>
      <w:r>
        <w:rPr/>
        <w:t>Abo</w:t>
      </w:r>
      <w:r>
        <w:rPr/>
        <w:t>nnement aux boites</w:t>
      </w:r>
      <w:r>
        <w:rPr>
          <w:spacing w:val="-1"/>
        </w:rPr>
        <w:t> </w:t>
      </w:r>
      <w:r>
        <w:rPr/>
        <w:t>postales</w:t>
      </w:r>
    </w:p>
    <w:p>
      <w:pPr>
        <w:pStyle w:val="BodyText"/>
        <w:spacing w:before="4"/>
        <w:rPr>
          <w:b/>
          <w:sz w:val="22"/>
        </w:rPr>
      </w:pPr>
    </w:p>
    <w:p>
      <w:pPr>
        <w:pStyle w:val="BodyText"/>
        <w:spacing w:line="362" w:lineRule="auto"/>
        <w:ind w:left="699" w:right="316" w:firstLine="360"/>
        <w:jc w:val="both"/>
      </w:pPr>
      <w:r>
        <w:rPr/>
        <w:t>Le</w:t>
      </w:r>
      <w:r>
        <w:rPr>
          <w:spacing w:val="-17"/>
        </w:rPr>
        <w:t> </w:t>
      </w:r>
      <w:r>
        <w:rPr/>
        <w:t>principe</w:t>
      </w:r>
      <w:r>
        <w:rPr>
          <w:spacing w:val="-17"/>
        </w:rPr>
        <w:t> </w:t>
      </w:r>
      <w:r>
        <w:rPr/>
        <w:t>de</w:t>
      </w:r>
      <w:r>
        <w:rPr>
          <w:spacing w:val="-17"/>
        </w:rPr>
        <w:t> </w:t>
      </w:r>
      <w:r>
        <w:rPr/>
        <w:t>ce</w:t>
      </w:r>
      <w:r>
        <w:rPr>
          <w:spacing w:val="-17"/>
        </w:rPr>
        <w:t> </w:t>
      </w:r>
      <w:r>
        <w:rPr/>
        <w:t>service</w:t>
      </w:r>
      <w:r>
        <w:rPr>
          <w:spacing w:val="-16"/>
        </w:rPr>
        <w:t> </w:t>
      </w:r>
      <w:r>
        <w:rPr/>
        <w:t>est</w:t>
      </w:r>
      <w:r>
        <w:rPr>
          <w:spacing w:val="-12"/>
        </w:rPr>
        <w:t> </w:t>
      </w:r>
      <w:r>
        <w:rPr/>
        <w:t>de</w:t>
      </w:r>
      <w:r>
        <w:rPr>
          <w:spacing w:val="-16"/>
        </w:rPr>
        <w:t> </w:t>
      </w:r>
      <w:r>
        <w:rPr/>
        <w:t>louer</w:t>
      </w:r>
      <w:r>
        <w:rPr>
          <w:spacing w:val="-15"/>
        </w:rPr>
        <w:t> </w:t>
      </w:r>
      <w:r>
        <w:rPr/>
        <w:t>une</w:t>
      </w:r>
      <w:r>
        <w:rPr>
          <w:spacing w:val="-13"/>
        </w:rPr>
        <w:t> </w:t>
      </w:r>
      <w:r>
        <w:rPr/>
        <w:t>boite</w:t>
      </w:r>
      <w:r>
        <w:rPr>
          <w:spacing w:val="-17"/>
        </w:rPr>
        <w:t> </w:t>
      </w:r>
      <w:r>
        <w:rPr/>
        <w:t>postale</w:t>
      </w:r>
      <w:r>
        <w:rPr>
          <w:spacing w:val="-17"/>
        </w:rPr>
        <w:t> </w:t>
      </w:r>
      <w:r>
        <w:rPr/>
        <w:t>afin</w:t>
      </w:r>
      <w:r>
        <w:rPr>
          <w:spacing w:val="-20"/>
        </w:rPr>
        <w:t> </w:t>
      </w:r>
      <w:r>
        <w:rPr/>
        <w:t>de</w:t>
      </w:r>
      <w:r>
        <w:rPr>
          <w:spacing w:val="-13"/>
        </w:rPr>
        <w:t> </w:t>
      </w:r>
      <w:r>
        <w:rPr/>
        <w:t>bénéficier</w:t>
      </w:r>
      <w:r>
        <w:rPr>
          <w:spacing w:val="-15"/>
        </w:rPr>
        <w:t> </w:t>
      </w:r>
      <w:r>
        <w:rPr/>
        <w:t>d’un</w:t>
      </w:r>
      <w:r>
        <w:rPr>
          <w:spacing w:val="-16"/>
        </w:rPr>
        <w:t> </w:t>
      </w:r>
      <w:r>
        <w:rPr/>
        <w:t>niveau</w:t>
      </w:r>
      <w:r>
        <w:rPr>
          <w:spacing w:val="-16"/>
        </w:rPr>
        <w:t> </w:t>
      </w:r>
      <w:r>
        <w:rPr/>
        <w:t>de</w:t>
      </w:r>
      <w:r>
        <w:rPr>
          <w:spacing w:val="-10"/>
        </w:rPr>
        <w:t> </w:t>
      </w:r>
      <w:r>
        <w:rPr/>
        <w:t>sécurité et</w:t>
      </w:r>
      <w:r>
        <w:rPr>
          <w:spacing w:val="-7"/>
        </w:rPr>
        <w:t> </w:t>
      </w:r>
      <w:r>
        <w:rPr/>
        <w:t>confidentialité</w:t>
      </w:r>
      <w:r>
        <w:rPr>
          <w:spacing w:val="-12"/>
        </w:rPr>
        <w:t> </w:t>
      </w:r>
      <w:r>
        <w:rPr/>
        <w:t>plus</w:t>
      </w:r>
      <w:r>
        <w:rPr>
          <w:spacing w:val="-13"/>
        </w:rPr>
        <w:t> </w:t>
      </w:r>
      <w:r>
        <w:rPr/>
        <w:t>élevé</w:t>
      </w:r>
      <w:r>
        <w:rPr>
          <w:spacing w:val="-12"/>
        </w:rPr>
        <w:t> </w:t>
      </w:r>
      <w:r>
        <w:rPr/>
        <w:t>des</w:t>
      </w:r>
      <w:r>
        <w:rPr>
          <w:spacing w:val="-13"/>
        </w:rPr>
        <w:t> </w:t>
      </w:r>
      <w:r>
        <w:rPr/>
        <w:t>courriers</w:t>
      </w:r>
      <w:r>
        <w:rPr>
          <w:spacing w:val="-13"/>
        </w:rPr>
        <w:t> </w:t>
      </w:r>
      <w:r>
        <w:rPr/>
        <w:t>et</w:t>
      </w:r>
      <w:r>
        <w:rPr>
          <w:spacing w:val="-7"/>
        </w:rPr>
        <w:t> </w:t>
      </w:r>
      <w:r>
        <w:rPr/>
        <w:t>avoir</w:t>
      </w:r>
      <w:r>
        <w:rPr>
          <w:spacing w:val="-5"/>
        </w:rPr>
        <w:t> </w:t>
      </w:r>
      <w:r>
        <w:rPr/>
        <w:t>l’avantage</w:t>
      </w:r>
      <w:r>
        <w:rPr>
          <w:spacing w:val="-12"/>
        </w:rPr>
        <w:t> </w:t>
      </w:r>
      <w:r>
        <w:rPr/>
        <w:t>de</w:t>
      </w:r>
      <w:r>
        <w:rPr>
          <w:spacing w:val="-12"/>
        </w:rPr>
        <w:t> </w:t>
      </w:r>
      <w:r>
        <w:rPr/>
        <w:t>récupérer</w:t>
      </w:r>
      <w:r>
        <w:rPr>
          <w:spacing w:val="-9"/>
        </w:rPr>
        <w:t> </w:t>
      </w:r>
      <w:r>
        <w:rPr>
          <w:spacing w:val="-3"/>
        </w:rPr>
        <w:t>le</w:t>
      </w:r>
      <w:r>
        <w:rPr>
          <w:spacing w:val="-12"/>
        </w:rPr>
        <w:t> </w:t>
      </w:r>
      <w:r>
        <w:rPr/>
        <w:t>courrier</w:t>
      </w:r>
      <w:r>
        <w:rPr>
          <w:spacing w:val="-10"/>
        </w:rPr>
        <w:t> </w:t>
      </w:r>
      <w:r>
        <w:rPr/>
        <w:t>à</w:t>
      </w:r>
      <w:r>
        <w:rPr>
          <w:spacing w:val="-12"/>
        </w:rPr>
        <w:t> </w:t>
      </w:r>
      <w:r>
        <w:rPr/>
        <w:t>tout</w:t>
      </w:r>
      <w:r>
        <w:rPr>
          <w:spacing w:val="-6"/>
        </w:rPr>
        <w:t> </w:t>
      </w:r>
      <w:r>
        <w:rPr>
          <w:spacing w:val="-3"/>
        </w:rPr>
        <w:t>moment </w:t>
      </w:r>
      <w:r>
        <w:rPr/>
        <w:t>sans attendre </w:t>
      </w:r>
      <w:r>
        <w:rPr>
          <w:spacing w:val="-5"/>
        </w:rPr>
        <w:t>le </w:t>
      </w:r>
      <w:r>
        <w:rPr/>
        <w:t>passage du</w:t>
      </w:r>
      <w:r>
        <w:rPr>
          <w:spacing w:val="13"/>
        </w:rPr>
        <w:t> </w:t>
      </w:r>
      <w:r>
        <w:rPr/>
        <w:t>facteur.</w:t>
      </w:r>
    </w:p>
    <w:p>
      <w:pPr>
        <w:spacing w:after="0" w:line="362" w:lineRule="auto"/>
        <w:jc w:val="both"/>
        <w:sectPr>
          <w:pgSz w:w="12240" w:h="15840"/>
          <w:pgMar w:header="723" w:footer="850" w:top="1080" w:bottom="1040" w:left="1000" w:right="820"/>
        </w:sectPr>
      </w:pPr>
    </w:p>
    <w:p>
      <w:pPr>
        <w:pStyle w:val="BodyText"/>
        <w:spacing w:before="10"/>
        <w:rPr>
          <w:sz w:val="19"/>
        </w:rPr>
      </w:pPr>
    </w:p>
    <w:p>
      <w:pPr>
        <w:pStyle w:val="Heading5"/>
        <w:numPr>
          <w:ilvl w:val="0"/>
          <w:numId w:val="19"/>
        </w:numPr>
        <w:tabs>
          <w:tab w:pos="1421" w:val="left" w:leader="none"/>
        </w:tabs>
        <w:spacing w:line="240" w:lineRule="auto" w:before="90" w:after="0"/>
        <w:ind w:left="1420" w:right="0" w:hanging="361"/>
        <w:jc w:val="both"/>
      </w:pPr>
      <w:bookmarkStart w:name="O. Vaguemestre Agrée" w:id="166"/>
      <w:bookmarkEnd w:id="166"/>
      <w:r>
        <w:rPr>
          <w:b w:val="0"/>
        </w:rPr>
      </w:r>
      <w:bookmarkStart w:name="O. Vaguemestre Agrée" w:id="167"/>
      <w:bookmarkEnd w:id="167"/>
      <w:r>
        <w:rPr/>
        <w:t>Vague</w:t>
      </w:r>
      <w:r>
        <w:rPr/>
        <w:t>mestre Agrée</w:t>
      </w:r>
    </w:p>
    <w:p>
      <w:pPr>
        <w:pStyle w:val="BodyText"/>
        <w:spacing w:before="4"/>
        <w:rPr>
          <w:b/>
          <w:sz w:val="22"/>
        </w:rPr>
      </w:pPr>
    </w:p>
    <w:p>
      <w:pPr>
        <w:pStyle w:val="BodyText"/>
        <w:spacing w:line="362" w:lineRule="auto"/>
        <w:ind w:left="699" w:right="308" w:firstLine="360"/>
        <w:jc w:val="both"/>
      </w:pPr>
      <w:r>
        <w:rPr/>
        <w:t>Ce service offre la possibilité de désigner un vaguemestre au niveau de l’établissement postal qui est autorisé à récupérer le courrier directement sans attendre le facteur et d’accomplir toutes opérations postales ou financières.</w:t>
      </w:r>
    </w:p>
    <w:p>
      <w:pPr>
        <w:pStyle w:val="Heading5"/>
        <w:numPr>
          <w:ilvl w:val="0"/>
          <w:numId w:val="19"/>
        </w:numPr>
        <w:tabs>
          <w:tab w:pos="1421" w:val="left" w:leader="none"/>
        </w:tabs>
        <w:spacing w:line="240" w:lineRule="auto" w:before="162" w:after="0"/>
        <w:ind w:left="1420" w:right="0" w:hanging="361"/>
        <w:jc w:val="both"/>
      </w:pPr>
      <w:bookmarkStart w:name="P. Vente en gros de figurines postales" w:id="168"/>
      <w:bookmarkEnd w:id="168"/>
      <w:r>
        <w:rPr>
          <w:b w:val="0"/>
        </w:rPr>
      </w:r>
      <w:bookmarkStart w:name="P. Vente en gros de figurines postales" w:id="169"/>
      <w:bookmarkEnd w:id="169"/>
      <w:r>
        <w:rPr/>
        <w:t>V</w:t>
      </w:r>
      <w:r>
        <w:rPr/>
        <w:t>ente en gros de figurines</w:t>
      </w:r>
      <w:r>
        <w:rPr>
          <w:spacing w:val="2"/>
        </w:rPr>
        <w:t> </w:t>
      </w:r>
      <w:r>
        <w:rPr/>
        <w:t>postales</w:t>
      </w:r>
    </w:p>
    <w:p>
      <w:pPr>
        <w:pStyle w:val="BodyText"/>
        <w:spacing w:before="3"/>
        <w:rPr>
          <w:b/>
          <w:sz w:val="22"/>
        </w:rPr>
      </w:pPr>
    </w:p>
    <w:p>
      <w:pPr>
        <w:pStyle w:val="BodyText"/>
        <w:spacing w:line="362" w:lineRule="auto" w:before="1"/>
        <w:ind w:left="699" w:right="314" w:firstLine="360"/>
        <w:jc w:val="both"/>
      </w:pPr>
      <w:r>
        <w:rPr/>
        <w:t>Cette</w:t>
      </w:r>
      <w:r>
        <w:rPr>
          <w:spacing w:val="-17"/>
        </w:rPr>
        <w:t> </w:t>
      </w:r>
      <w:r>
        <w:rPr/>
        <w:t>prestation</w:t>
      </w:r>
      <w:r>
        <w:rPr>
          <w:spacing w:val="-21"/>
        </w:rPr>
        <w:t> </w:t>
      </w:r>
      <w:r>
        <w:rPr/>
        <w:t>destinée</w:t>
      </w:r>
      <w:r>
        <w:rPr>
          <w:spacing w:val="-16"/>
        </w:rPr>
        <w:t> </w:t>
      </w:r>
      <w:r>
        <w:rPr/>
        <w:t>aux</w:t>
      </w:r>
      <w:r>
        <w:rPr>
          <w:spacing w:val="-21"/>
        </w:rPr>
        <w:t> </w:t>
      </w:r>
      <w:r>
        <w:rPr/>
        <w:t>revendeurs</w:t>
      </w:r>
      <w:r>
        <w:rPr>
          <w:spacing w:val="-18"/>
        </w:rPr>
        <w:t> </w:t>
      </w:r>
      <w:r>
        <w:rPr/>
        <w:t>(bureaux</w:t>
      </w:r>
      <w:r>
        <w:rPr>
          <w:spacing w:val="-20"/>
        </w:rPr>
        <w:t> </w:t>
      </w:r>
      <w:r>
        <w:rPr/>
        <w:t>à</w:t>
      </w:r>
      <w:r>
        <w:rPr>
          <w:spacing w:val="-13"/>
        </w:rPr>
        <w:t> </w:t>
      </w:r>
      <w:r>
        <w:rPr/>
        <w:t>tabac,</w:t>
      </w:r>
      <w:r>
        <w:rPr>
          <w:spacing w:val="-14"/>
        </w:rPr>
        <w:t> </w:t>
      </w:r>
      <w:r>
        <w:rPr/>
        <w:t>hôtels,</w:t>
      </w:r>
      <w:r>
        <w:rPr>
          <w:spacing w:val="-10"/>
        </w:rPr>
        <w:t> </w:t>
      </w:r>
      <w:r>
        <w:rPr/>
        <w:t>librairies,</w:t>
      </w:r>
      <w:r>
        <w:rPr>
          <w:spacing w:val="-14"/>
        </w:rPr>
        <w:t> </w:t>
      </w:r>
      <w:r>
        <w:rPr/>
        <w:t>kiosques…)</w:t>
      </w:r>
      <w:r>
        <w:rPr>
          <w:spacing w:val="-15"/>
        </w:rPr>
        <w:t> </w:t>
      </w:r>
      <w:r>
        <w:rPr/>
        <w:t>permet de bénéficier d’une remise de 10% de </w:t>
      </w:r>
      <w:r>
        <w:rPr>
          <w:spacing w:val="-5"/>
        </w:rPr>
        <w:t>la </w:t>
      </w:r>
      <w:r>
        <w:rPr/>
        <w:t>valeur faciale des figurines</w:t>
      </w:r>
      <w:r>
        <w:rPr>
          <w:spacing w:val="15"/>
        </w:rPr>
        <w:t> </w:t>
      </w:r>
      <w:r>
        <w:rPr/>
        <w:t>postales.</w:t>
      </w:r>
    </w:p>
    <w:p>
      <w:pPr>
        <w:pStyle w:val="BodyText"/>
        <w:spacing w:line="367" w:lineRule="auto" w:before="151"/>
        <w:ind w:left="699" w:right="323" w:firstLine="360"/>
        <w:jc w:val="both"/>
      </w:pPr>
      <w:r>
        <w:rPr/>
        <w:t>Express Mail Service désigne le service postal de traitement des envois de documents et de marchandises (acheminement et livraison à domicile).</w:t>
      </w:r>
    </w:p>
    <w:p>
      <w:pPr>
        <w:pStyle w:val="Heading5"/>
        <w:numPr>
          <w:ilvl w:val="0"/>
          <w:numId w:val="19"/>
        </w:numPr>
        <w:tabs>
          <w:tab w:pos="1421" w:val="left" w:leader="none"/>
        </w:tabs>
        <w:spacing w:line="240" w:lineRule="auto" w:before="149" w:after="0"/>
        <w:ind w:left="1420" w:right="0" w:hanging="361"/>
        <w:jc w:val="both"/>
      </w:pPr>
      <w:bookmarkStart w:name="Q. EMS Algérie" w:id="170"/>
      <w:bookmarkEnd w:id="170"/>
      <w:r>
        <w:rPr>
          <w:b w:val="0"/>
        </w:rPr>
      </w:r>
      <w:bookmarkStart w:name="Q. EMS Algérie" w:id="171"/>
      <w:bookmarkEnd w:id="171"/>
      <w:r>
        <w:rPr/>
        <w:t>E</w:t>
      </w:r>
      <w:r>
        <w:rPr/>
        <w:t>MS</w:t>
      </w:r>
      <w:r>
        <w:rPr>
          <w:spacing w:val="1"/>
        </w:rPr>
        <w:t> </w:t>
      </w:r>
      <w:r>
        <w:rPr/>
        <w:t>Algérie</w:t>
      </w:r>
    </w:p>
    <w:p>
      <w:pPr>
        <w:pStyle w:val="BodyText"/>
        <w:spacing w:before="4"/>
        <w:rPr>
          <w:b/>
          <w:sz w:val="22"/>
        </w:rPr>
      </w:pPr>
    </w:p>
    <w:p>
      <w:pPr>
        <w:pStyle w:val="BodyText"/>
        <w:spacing w:line="362" w:lineRule="auto"/>
        <w:ind w:left="699" w:right="238" w:firstLine="360"/>
      </w:pPr>
      <w:r>
        <w:rPr/>
        <w:t>EMS est le seul opérateur qui collecte et distribue en mode EXPRESS, il offre une couverture complète des 48 wilayas, avec :</w:t>
      </w:r>
    </w:p>
    <w:p>
      <w:pPr>
        <w:pStyle w:val="BodyText"/>
        <w:spacing w:before="156"/>
        <w:ind w:left="1060"/>
      </w:pPr>
      <w:r>
        <w:rPr/>
        <w:t>Un envoi sous 24 heures dans 20 wilayas.</w:t>
      </w:r>
    </w:p>
    <w:p>
      <w:pPr>
        <w:pStyle w:val="BodyText"/>
        <w:spacing w:line="367" w:lineRule="auto" w:before="137"/>
        <w:ind w:left="699" w:right="238" w:firstLine="360"/>
      </w:pPr>
      <w:r>
        <w:rPr/>
        <w:t>Pour le reste des destinations en Algérie, y compris vers les villes et villages les plus reculés, un délai de livraison à domicile est prévu entre 36h et 96h sans frais additionnels.</w:t>
      </w:r>
    </w:p>
    <w:p>
      <w:pPr>
        <w:pStyle w:val="BodyText"/>
        <w:spacing w:before="149"/>
        <w:ind w:left="1060"/>
      </w:pPr>
      <w:r>
        <w:rPr/>
        <w:t>Une tarification unique est appliquée pour les envois internationaux à partir des 48 wilayas.</w:t>
      </w:r>
    </w:p>
    <w:p>
      <w:pPr>
        <w:pStyle w:val="BodyText"/>
        <w:spacing w:before="8"/>
        <w:rPr>
          <w:sz w:val="25"/>
        </w:rPr>
      </w:pPr>
    </w:p>
    <w:p>
      <w:pPr>
        <w:pStyle w:val="BodyText"/>
        <w:spacing w:line="360" w:lineRule="auto"/>
        <w:ind w:left="699" w:right="309" w:firstLine="360"/>
        <w:jc w:val="both"/>
      </w:pPr>
      <w:r>
        <w:rPr/>
        <w:t>Ce service satisfait les exigences spécifiques de gestion des correspondances, documents ou marchandises</w:t>
      </w:r>
      <w:r>
        <w:rPr>
          <w:spacing w:val="-8"/>
        </w:rPr>
        <w:t> </w:t>
      </w:r>
      <w:r>
        <w:rPr/>
        <w:t>envoyés</w:t>
      </w:r>
      <w:r>
        <w:rPr>
          <w:spacing w:val="-8"/>
        </w:rPr>
        <w:t> </w:t>
      </w:r>
      <w:r>
        <w:rPr/>
        <w:t>par </w:t>
      </w:r>
      <w:r>
        <w:rPr>
          <w:spacing w:val="-3"/>
        </w:rPr>
        <w:t>les</w:t>
      </w:r>
      <w:r>
        <w:rPr>
          <w:spacing w:val="-8"/>
        </w:rPr>
        <w:t> </w:t>
      </w:r>
      <w:r>
        <w:rPr/>
        <w:t>clients</w:t>
      </w:r>
      <w:r>
        <w:rPr>
          <w:spacing w:val="-7"/>
        </w:rPr>
        <w:t> </w:t>
      </w:r>
      <w:r>
        <w:rPr/>
        <w:t>en</w:t>
      </w:r>
      <w:r>
        <w:rPr>
          <w:spacing w:val="-6"/>
        </w:rPr>
        <w:t> </w:t>
      </w:r>
      <w:r>
        <w:rPr/>
        <w:t>fournissant</w:t>
      </w:r>
      <w:r>
        <w:rPr>
          <w:spacing w:val="-5"/>
        </w:rPr>
        <w:t> </w:t>
      </w:r>
      <w:r>
        <w:rPr/>
        <w:t>de</w:t>
      </w:r>
      <w:r>
        <w:rPr>
          <w:spacing w:val="-7"/>
        </w:rPr>
        <w:t> </w:t>
      </w:r>
      <w:r>
        <w:rPr/>
        <w:t>nombreux</w:t>
      </w:r>
      <w:r>
        <w:rPr>
          <w:spacing w:val="-10"/>
        </w:rPr>
        <w:t> </w:t>
      </w:r>
      <w:r>
        <w:rPr/>
        <w:t>bénéfices</w:t>
      </w:r>
      <w:r>
        <w:rPr>
          <w:spacing w:val="-8"/>
        </w:rPr>
        <w:t> </w:t>
      </w:r>
      <w:r>
        <w:rPr/>
        <w:t>tels</w:t>
      </w:r>
      <w:r>
        <w:rPr>
          <w:spacing w:val="2"/>
        </w:rPr>
        <w:t> </w:t>
      </w:r>
      <w:r>
        <w:rPr/>
        <w:t>que</w:t>
      </w:r>
      <w:r>
        <w:rPr>
          <w:spacing w:val="-6"/>
        </w:rPr>
        <w:t> </w:t>
      </w:r>
      <w:r>
        <w:rPr/>
        <w:t>:</w:t>
      </w:r>
      <w:r>
        <w:rPr>
          <w:spacing w:val="-5"/>
        </w:rPr>
        <w:t> </w:t>
      </w:r>
      <w:r>
        <w:rPr>
          <w:spacing w:val="-3"/>
        </w:rPr>
        <w:t>la</w:t>
      </w:r>
      <w:r>
        <w:rPr>
          <w:spacing w:val="-7"/>
        </w:rPr>
        <w:t> </w:t>
      </w:r>
      <w:r>
        <w:rPr/>
        <w:t>rapidité,</w:t>
      </w:r>
      <w:r>
        <w:rPr>
          <w:spacing w:val="1"/>
        </w:rPr>
        <w:t> </w:t>
      </w:r>
      <w:r>
        <w:rPr>
          <w:spacing w:val="-5"/>
        </w:rPr>
        <w:t>la </w:t>
      </w:r>
      <w:r>
        <w:rPr/>
        <w:t>fiabilité, </w:t>
      </w:r>
      <w:r>
        <w:rPr>
          <w:spacing w:val="-3"/>
        </w:rPr>
        <w:t>la </w:t>
      </w:r>
      <w:r>
        <w:rPr/>
        <w:t>sécurité et </w:t>
      </w:r>
      <w:r>
        <w:rPr>
          <w:spacing w:val="-5"/>
        </w:rPr>
        <w:t>le </w:t>
      </w:r>
      <w:r>
        <w:rPr/>
        <w:t>suivi électronique des</w:t>
      </w:r>
      <w:r>
        <w:rPr>
          <w:spacing w:val="21"/>
        </w:rPr>
        <w:t> </w:t>
      </w:r>
      <w:r>
        <w:rPr/>
        <w:t>expéditions</w:t>
      </w:r>
    </w:p>
    <w:p>
      <w:pPr>
        <w:pStyle w:val="BodyText"/>
        <w:spacing w:line="362" w:lineRule="auto" w:before="160"/>
        <w:ind w:left="699" w:right="313" w:firstLine="360"/>
        <w:jc w:val="both"/>
      </w:pPr>
      <w:r>
        <w:rPr/>
        <w:t>Une prestation EMS sur mesure adaptée aux besoins spécifiques, équipée d'un système de traçabilité et d'un retour d'information fiable (IPS.Track and Trace).</w:t>
      </w:r>
    </w:p>
    <w:p>
      <w:pPr>
        <w:pStyle w:val="BodyText"/>
        <w:spacing w:line="362" w:lineRule="auto" w:before="156"/>
        <w:ind w:left="699" w:right="326" w:firstLine="360"/>
        <w:jc w:val="both"/>
      </w:pPr>
      <w:r>
        <w:rPr/>
        <w:t>L'étendue,</w:t>
      </w:r>
      <w:r>
        <w:rPr>
          <w:spacing w:val="-2"/>
        </w:rPr>
        <w:t> </w:t>
      </w:r>
      <w:r>
        <w:rPr>
          <w:spacing w:val="-5"/>
        </w:rPr>
        <w:t>la</w:t>
      </w:r>
      <w:r>
        <w:rPr>
          <w:spacing w:val="-9"/>
        </w:rPr>
        <w:t> </w:t>
      </w:r>
      <w:r>
        <w:rPr/>
        <w:t>densité</w:t>
      </w:r>
      <w:r>
        <w:rPr>
          <w:spacing w:val="-9"/>
        </w:rPr>
        <w:t> </w:t>
      </w:r>
      <w:r>
        <w:rPr/>
        <w:t>et</w:t>
      </w:r>
      <w:r>
        <w:rPr>
          <w:spacing w:val="-3"/>
        </w:rPr>
        <w:t> </w:t>
      </w:r>
      <w:r>
        <w:rPr/>
        <w:t>l'interconnexion</w:t>
      </w:r>
      <w:r>
        <w:rPr>
          <w:spacing w:val="-13"/>
        </w:rPr>
        <w:t> </w:t>
      </w:r>
      <w:r>
        <w:rPr/>
        <w:t>des</w:t>
      </w:r>
      <w:r>
        <w:rPr>
          <w:spacing w:val="-10"/>
        </w:rPr>
        <w:t> </w:t>
      </w:r>
      <w:r>
        <w:rPr/>
        <w:t>réseaux</w:t>
      </w:r>
      <w:r>
        <w:rPr>
          <w:spacing w:val="-12"/>
        </w:rPr>
        <w:t> </w:t>
      </w:r>
      <w:r>
        <w:rPr/>
        <w:t>EMS</w:t>
      </w:r>
      <w:r>
        <w:rPr>
          <w:spacing w:val="-7"/>
        </w:rPr>
        <w:t> </w:t>
      </w:r>
      <w:r>
        <w:rPr/>
        <w:t>à</w:t>
      </w:r>
      <w:r>
        <w:rPr>
          <w:spacing w:val="-9"/>
        </w:rPr>
        <w:t> </w:t>
      </w:r>
      <w:r>
        <w:rPr/>
        <w:t>l'échelle</w:t>
      </w:r>
      <w:r>
        <w:rPr>
          <w:spacing w:val="-9"/>
        </w:rPr>
        <w:t> </w:t>
      </w:r>
      <w:r>
        <w:rPr/>
        <w:t>nationale</w:t>
      </w:r>
      <w:r>
        <w:rPr>
          <w:spacing w:val="-9"/>
        </w:rPr>
        <w:t> </w:t>
      </w:r>
      <w:r>
        <w:rPr/>
        <w:t>et</w:t>
      </w:r>
      <w:r>
        <w:rPr>
          <w:spacing w:val="-4"/>
        </w:rPr>
        <w:t> </w:t>
      </w:r>
      <w:r>
        <w:rPr/>
        <w:t>internationale sont soutenues par une logistique</w:t>
      </w:r>
      <w:r>
        <w:rPr>
          <w:spacing w:val="15"/>
        </w:rPr>
        <w:t> </w:t>
      </w:r>
      <w:r>
        <w:rPr/>
        <w:t>robuste.</w:t>
      </w:r>
    </w:p>
    <w:p>
      <w:pPr>
        <w:pStyle w:val="BodyText"/>
        <w:spacing w:before="151"/>
        <w:ind w:left="1060"/>
        <w:jc w:val="both"/>
      </w:pPr>
      <w:r>
        <w:rPr/>
        <w:t>Des connexions quotidiennes, tant nationales qu'internationales.</w:t>
      </w:r>
    </w:p>
    <w:p>
      <w:pPr>
        <w:pStyle w:val="BodyText"/>
        <w:spacing w:line="362" w:lineRule="auto" w:before="141"/>
        <w:ind w:left="699" w:right="324" w:firstLine="360"/>
        <w:jc w:val="both"/>
      </w:pPr>
      <w:r>
        <w:rPr/>
        <w:t>Des tarifs EMS préférentiels sont proposés, accompagnés d'un règlement différé du service, incluant la gestion complète des expéditions dans les délais les plus courts ainsi que la collecte à l'adresse de l'expéditeur sans frais.</w:t>
      </w:r>
    </w:p>
    <w:p>
      <w:pPr>
        <w:spacing w:after="0" w:line="362" w:lineRule="auto"/>
        <w:jc w:val="both"/>
        <w:sectPr>
          <w:pgSz w:w="12240" w:h="15840"/>
          <w:pgMar w:header="723" w:footer="850" w:top="1080" w:bottom="1040" w:left="1000" w:right="820"/>
        </w:sectPr>
      </w:pPr>
    </w:p>
    <w:p>
      <w:pPr>
        <w:pStyle w:val="BodyText"/>
        <w:spacing w:before="10"/>
        <w:rPr>
          <w:sz w:val="19"/>
        </w:rPr>
      </w:pPr>
    </w:p>
    <w:p>
      <w:pPr>
        <w:pStyle w:val="Heading5"/>
        <w:numPr>
          <w:ilvl w:val="2"/>
          <w:numId w:val="15"/>
        </w:numPr>
        <w:tabs>
          <w:tab w:pos="2140" w:val="left" w:leader="none"/>
          <w:tab w:pos="2141" w:val="left" w:leader="none"/>
        </w:tabs>
        <w:spacing w:line="240" w:lineRule="auto" w:before="90" w:after="0"/>
        <w:ind w:left="2140" w:right="0" w:hanging="721"/>
        <w:jc w:val="left"/>
      </w:pPr>
      <w:bookmarkStart w:name="1.5.4 Services de proximité :" w:id="172"/>
      <w:bookmarkEnd w:id="172"/>
      <w:r>
        <w:rPr>
          <w:b w:val="0"/>
        </w:rPr>
      </w:r>
      <w:bookmarkStart w:name="1.5.4 Services de proximité :" w:id="173"/>
      <w:bookmarkEnd w:id="173"/>
      <w:r>
        <w:rPr/>
        <w:t>S</w:t>
      </w:r>
      <w:r>
        <w:rPr/>
        <w:t>ervices de proximité</w:t>
      </w:r>
      <w:r>
        <w:rPr>
          <w:spacing w:val="2"/>
        </w:rPr>
        <w:t> </w:t>
      </w:r>
      <w:r>
        <w:rPr/>
        <w:t>:</w:t>
      </w:r>
    </w:p>
    <w:p>
      <w:pPr>
        <w:pStyle w:val="BodyText"/>
        <w:spacing w:before="10"/>
        <w:rPr>
          <w:b/>
          <w:sz w:val="21"/>
        </w:rPr>
      </w:pPr>
    </w:p>
    <w:p>
      <w:pPr>
        <w:pStyle w:val="BodyText"/>
        <w:ind w:left="699"/>
        <w:rPr>
          <w:sz w:val="16"/>
        </w:rPr>
      </w:pPr>
      <w:r>
        <w:rPr>
          <w:rFonts w:ascii="Calibri" w:hAnsi="Calibri"/>
          <w:sz w:val="22"/>
        </w:rPr>
        <w:t>L</w:t>
      </w:r>
      <w:r>
        <w:rPr/>
        <w:t>es services de proximités d’Algérie poste sont résumé comme suit :</w:t>
      </w:r>
      <w:r>
        <w:rPr>
          <w:position w:val="9"/>
          <w:sz w:val="16"/>
        </w:rPr>
        <w:t>1</w:t>
      </w:r>
    </w:p>
    <w:p>
      <w:pPr>
        <w:pStyle w:val="BodyText"/>
        <w:spacing w:before="8"/>
        <w:rPr>
          <w:sz w:val="25"/>
        </w:rPr>
      </w:pPr>
    </w:p>
    <w:p>
      <w:pPr>
        <w:pStyle w:val="ListParagraph"/>
        <w:numPr>
          <w:ilvl w:val="0"/>
          <w:numId w:val="18"/>
        </w:numPr>
        <w:tabs>
          <w:tab w:pos="1420" w:val="left" w:leader="none"/>
          <w:tab w:pos="1421" w:val="left" w:leader="none"/>
        </w:tabs>
        <w:spacing w:line="240" w:lineRule="auto" w:before="0" w:after="0"/>
        <w:ind w:left="1420" w:right="0" w:hanging="361"/>
        <w:jc w:val="left"/>
        <w:rPr>
          <w:sz w:val="24"/>
        </w:rPr>
      </w:pPr>
      <w:r>
        <w:rPr>
          <w:sz w:val="24"/>
        </w:rPr>
        <w:t>Paiement des factures d’électricité et</w:t>
      </w:r>
      <w:r>
        <w:rPr>
          <w:spacing w:val="11"/>
          <w:sz w:val="24"/>
        </w:rPr>
        <w:t> </w:t>
      </w:r>
      <w:r>
        <w:rPr>
          <w:sz w:val="24"/>
        </w:rPr>
        <w:t>Gaz.</w:t>
      </w:r>
    </w:p>
    <w:p>
      <w:pPr>
        <w:pStyle w:val="ListParagraph"/>
        <w:numPr>
          <w:ilvl w:val="0"/>
          <w:numId w:val="18"/>
        </w:numPr>
        <w:tabs>
          <w:tab w:pos="1420" w:val="left" w:leader="none"/>
          <w:tab w:pos="1421" w:val="left" w:leader="none"/>
        </w:tabs>
        <w:spacing w:line="240" w:lineRule="auto" w:before="133" w:after="0"/>
        <w:ind w:left="1420" w:right="0" w:hanging="361"/>
        <w:jc w:val="left"/>
        <w:rPr>
          <w:sz w:val="24"/>
        </w:rPr>
      </w:pPr>
      <w:r>
        <w:rPr>
          <w:sz w:val="24"/>
        </w:rPr>
        <w:t>Paiement des factures d’abonnement</w:t>
      </w:r>
      <w:r>
        <w:rPr>
          <w:spacing w:val="15"/>
          <w:sz w:val="24"/>
        </w:rPr>
        <w:t> </w:t>
      </w:r>
      <w:r>
        <w:rPr>
          <w:sz w:val="24"/>
        </w:rPr>
        <w:t>internet.</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Paiement des factures</w:t>
      </w:r>
      <w:r>
        <w:rPr>
          <w:spacing w:val="4"/>
          <w:sz w:val="24"/>
        </w:rPr>
        <w:t> </w:t>
      </w:r>
      <w:r>
        <w:rPr>
          <w:sz w:val="24"/>
        </w:rPr>
        <w:t>d’eau.</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Ventes des vignettes</w:t>
      </w:r>
      <w:r>
        <w:rPr>
          <w:spacing w:val="1"/>
          <w:sz w:val="24"/>
        </w:rPr>
        <w:t> </w:t>
      </w:r>
      <w:r>
        <w:rPr>
          <w:sz w:val="24"/>
        </w:rPr>
        <w:t>automobiles.</w:t>
      </w:r>
    </w:p>
    <w:p>
      <w:pPr>
        <w:pStyle w:val="ListParagraph"/>
        <w:numPr>
          <w:ilvl w:val="0"/>
          <w:numId w:val="18"/>
        </w:numPr>
        <w:tabs>
          <w:tab w:pos="1420" w:val="left" w:leader="none"/>
          <w:tab w:pos="1421" w:val="left" w:leader="none"/>
        </w:tabs>
        <w:spacing w:line="350" w:lineRule="auto" w:before="138" w:after="0"/>
        <w:ind w:left="1420" w:right="316" w:hanging="360"/>
        <w:jc w:val="left"/>
        <w:rPr>
          <w:sz w:val="24"/>
        </w:rPr>
      </w:pPr>
      <w:r>
        <w:rPr>
          <w:sz w:val="24"/>
        </w:rPr>
        <w:t>Vente de recharges électroniques : Arsseli de Mobilis – Flexy de Djezzy – Storm de Ooredoo et paiement des</w:t>
      </w:r>
      <w:r>
        <w:rPr>
          <w:spacing w:val="13"/>
          <w:sz w:val="24"/>
        </w:rPr>
        <w:t> </w:t>
      </w:r>
      <w:r>
        <w:rPr>
          <w:sz w:val="24"/>
        </w:rPr>
        <w:t>factures.</w:t>
      </w:r>
    </w:p>
    <w:p>
      <w:pPr>
        <w:pStyle w:val="ListParagraph"/>
        <w:numPr>
          <w:ilvl w:val="0"/>
          <w:numId w:val="18"/>
        </w:numPr>
        <w:tabs>
          <w:tab w:pos="1420" w:val="left" w:leader="none"/>
          <w:tab w:pos="1421" w:val="left" w:leader="none"/>
        </w:tabs>
        <w:spacing w:line="240" w:lineRule="auto" w:before="13" w:after="0"/>
        <w:ind w:left="1420" w:right="0" w:hanging="361"/>
        <w:jc w:val="left"/>
        <w:rPr>
          <w:sz w:val="24"/>
        </w:rPr>
      </w:pPr>
      <w:r>
        <w:rPr>
          <w:sz w:val="24"/>
        </w:rPr>
        <w:t>Paiement des frais de</w:t>
      </w:r>
      <w:r>
        <w:rPr>
          <w:spacing w:val="7"/>
          <w:sz w:val="24"/>
        </w:rPr>
        <w:t> </w:t>
      </w:r>
      <w:r>
        <w:rPr>
          <w:sz w:val="24"/>
        </w:rPr>
        <w:t>Visa.</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Remboursement des échéances de</w:t>
      </w:r>
      <w:r>
        <w:rPr>
          <w:spacing w:val="7"/>
          <w:sz w:val="24"/>
        </w:rPr>
        <w:t> </w:t>
      </w:r>
      <w:r>
        <w:rPr>
          <w:sz w:val="24"/>
        </w:rPr>
        <w:t>prêts.</w:t>
      </w:r>
    </w:p>
    <w:p>
      <w:pPr>
        <w:pStyle w:val="ListParagraph"/>
        <w:numPr>
          <w:ilvl w:val="0"/>
          <w:numId w:val="18"/>
        </w:numPr>
        <w:tabs>
          <w:tab w:pos="1420" w:val="left" w:leader="none"/>
          <w:tab w:pos="1421" w:val="left" w:leader="none"/>
        </w:tabs>
        <w:spacing w:line="240" w:lineRule="auto" w:before="139" w:after="0"/>
        <w:ind w:left="1420" w:right="0" w:hanging="361"/>
        <w:jc w:val="left"/>
        <w:rPr>
          <w:sz w:val="24"/>
        </w:rPr>
      </w:pPr>
      <w:r>
        <w:rPr>
          <w:sz w:val="24"/>
        </w:rPr>
        <w:t>Vente de timbres postaux, des timbres fiscaux et des timbres</w:t>
      </w:r>
      <w:r>
        <w:rPr>
          <w:spacing w:val="7"/>
          <w:sz w:val="24"/>
        </w:rPr>
        <w:t> </w:t>
      </w:r>
      <w:r>
        <w:rPr>
          <w:sz w:val="24"/>
        </w:rPr>
        <w:t>amendes.</w:t>
      </w:r>
    </w:p>
    <w:p>
      <w:pPr>
        <w:pStyle w:val="ListParagraph"/>
        <w:numPr>
          <w:ilvl w:val="0"/>
          <w:numId w:val="18"/>
        </w:numPr>
        <w:tabs>
          <w:tab w:pos="1420" w:val="left" w:leader="none"/>
          <w:tab w:pos="1421" w:val="left" w:leader="none"/>
        </w:tabs>
        <w:spacing w:line="240" w:lineRule="auto" w:before="133" w:after="0"/>
        <w:ind w:left="1420" w:right="0" w:hanging="361"/>
        <w:jc w:val="left"/>
        <w:rPr>
          <w:sz w:val="24"/>
        </w:rPr>
      </w:pPr>
      <w:r>
        <w:rPr>
          <w:sz w:val="24"/>
        </w:rPr>
        <w:t>Annuaire téléphonique d’Algérie Télécom et des pages</w:t>
      </w:r>
      <w:r>
        <w:rPr>
          <w:spacing w:val="-4"/>
          <w:sz w:val="24"/>
        </w:rPr>
        <w:t> </w:t>
      </w:r>
      <w:r>
        <w:rPr>
          <w:sz w:val="24"/>
        </w:rPr>
        <w:t>Maghreb.</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Paiement des allocations forfaitaires de solidarité</w:t>
      </w:r>
      <w:r>
        <w:rPr>
          <w:spacing w:val="8"/>
          <w:sz w:val="24"/>
        </w:rPr>
        <w:t> </w:t>
      </w:r>
      <w:r>
        <w:rPr>
          <w:sz w:val="24"/>
        </w:rPr>
        <w:t>(AFS).</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Souscription d’un contrat d’assurance (Macir vie et</w:t>
      </w:r>
      <w:r>
        <w:rPr>
          <w:spacing w:val="7"/>
          <w:sz w:val="24"/>
        </w:rPr>
        <w:t> </w:t>
      </w:r>
      <w:r>
        <w:rPr>
          <w:sz w:val="24"/>
        </w:rPr>
        <w:t>Karama)</w:t>
      </w:r>
    </w:p>
    <w:p>
      <w:pPr>
        <w:pStyle w:val="ListParagraph"/>
        <w:numPr>
          <w:ilvl w:val="0"/>
          <w:numId w:val="18"/>
        </w:numPr>
        <w:tabs>
          <w:tab w:pos="1420" w:val="left" w:leader="none"/>
          <w:tab w:pos="1421" w:val="left" w:leader="none"/>
        </w:tabs>
        <w:spacing w:line="240" w:lineRule="auto" w:before="138" w:after="0"/>
        <w:ind w:left="1420" w:right="0" w:hanging="361"/>
        <w:jc w:val="left"/>
        <w:rPr>
          <w:sz w:val="24"/>
        </w:rPr>
      </w:pPr>
      <w:r>
        <w:rPr>
          <w:sz w:val="24"/>
        </w:rPr>
        <w:t>Encaissement des droits d’inscription pour </w:t>
      </w:r>
      <w:r>
        <w:rPr>
          <w:spacing w:val="-5"/>
          <w:sz w:val="24"/>
        </w:rPr>
        <w:t>le </w:t>
      </w:r>
      <w:r>
        <w:rPr>
          <w:sz w:val="24"/>
        </w:rPr>
        <w:t>compte</w:t>
      </w:r>
      <w:r>
        <w:rPr>
          <w:spacing w:val="8"/>
          <w:sz w:val="24"/>
        </w:rPr>
        <w:t> </w:t>
      </w:r>
      <w:r>
        <w:rPr>
          <w:sz w:val="24"/>
        </w:rPr>
        <w:t>ONEFD.</w:t>
      </w:r>
    </w:p>
    <w:p>
      <w:pPr>
        <w:pStyle w:val="ListParagraph"/>
        <w:numPr>
          <w:ilvl w:val="0"/>
          <w:numId w:val="18"/>
        </w:numPr>
        <w:tabs>
          <w:tab w:pos="1420" w:val="left" w:leader="none"/>
          <w:tab w:pos="1421" w:val="left" w:leader="none"/>
        </w:tabs>
        <w:spacing w:line="240" w:lineRule="auto" w:before="133" w:after="0"/>
        <w:ind w:left="1420" w:right="0" w:hanging="361"/>
        <w:jc w:val="left"/>
        <w:rPr>
          <w:sz w:val="24"/>
        </w:rPr>
      </w:pPr>
      <w:r>
        <w:rPr>
          <w:sz w:val="24"/>
        </w:rPr>
        <w:t>Paiement des pensions</w:t>
      </w:r>
      <w:r>
        <w:rPr>
          <w:spacing w:val="6"/>
          <w:sz w:val="24"/>
        </w:rPr>
        <w:t> </w:t>
      </w:r>
      <w:r>
        <w:rPr>
          <w:sz w:val="24"/>
        </w:rPr>
        <w:t>étrangères.</w:t>
      </w:r>
    </w:p>
    <w:p>
      <w:pPr>
        <w:pStyle w:val="BodyText"/>
        <w:spacing w:before="9"/>
        <w:rPr>
          <w:sz w:val="29"/>
        </w:rPr>
      </w:pPr>
    </w:p>
    <w:p>
      <w:pPr>
        <w:pStyle w:val="Heading5"/>
        <w:numPr>
          <w:ilvl w:val="2"/>
          <w:numId w:val="15"/>
        </w:numPr>
        <w:tabs>
          <w:tab w:pos="2140" w:val="left" w:leader="none"/>
          <w:tab w:pos="2141" w:val="left" w:leader="none"/>
        </w:tabs>
        <w:spacing w:line="240" w:lineRule="auto" w:before="0" w:after="0"/>
        <w:ind w:left="2140" w:right="0" w:hanging="721"/>
        <w:jc w:val="left"/>
      </w:pPr>
      <w:bookmarkStart w:name="1.5.5 Service Paiement MOBILE BaridPay:" w:id="174"/>
      <w:bookmarkEnd w:id="174"/>
      <w:r>
        <w:rPr>
          <w:b w:val="0"/>
        </w:rPr>
      </w:r>
      <w:bookmarkStart w:name="1.5.5 Service Paiement MOBILE BaridPay:" w:id="175"/>
      <w:bookmarkEnd w:id="175"/>
      <w:r>
        <w:rPr/>
        <w:t>S</w:t>
      </w:r>
      <w:r>
        <w:rPr/>
        <w:t>ervice Paiement MOBILE</w:t>
      </w:r>
      <w:r>
        <w:rPr>
          <w:spacing w:val="2"/>
        </w:rPr>
        <w:t> </w:t>
      </w:r>
      <w:r>
        <w:rPr/>
        <w:t>BaridPay:</w:t>
      </w:r>
    </w:p>
    <w:p>
      <w:pPr>
        <w:pStyle w:val="BodyText"/>
        <w:spacing w:before="4"/>
        <w:rPr>
          <w:b/>
          <w:sz w:val="32"/>
        </w:rPr>
      </w:pPr>
    </w:p>
    <w:p>
      <w:pPr>
        <w:pStyle w:val="BodyText"/>
        <w:spacing w:line="362" w:lineRule="auto" w:before="1"/>
        <w:ind w:left="699" w:right="319" w:firstLine="360"/>
        <w:jc w:val="both"/>
      </w:pPr>
      <w:r>
        <w:rPr/>
        <w:t>« BaridPay » est un mode de paiement mobile novateur, </w:t>
      </w:r>
      <w:r>
        <w:rPr>
          <w:spacing w:val="-3"/>
        </w:rPr>
        <w:t>facile </w:t>
      </w:r>
      <w:r>
        <w:rPr/>
        <w:t>d'utilisation et très sécurisé, qui repose sur </w:t>
      </w:r>
      <w:r>
        <w:rPr>
          <w:spacing w:val="-5"/>
        </w:rPr>
        <w:t>la </w:t>
      </w:r>
      <w:r>
        <w:rPr/>
        <w:t>technologie du code à barres en deux dimensions, également connu sous </w:t>
      </w:r>
      <w:r>
        <w:rPr>
          <w:spacing w:val="-3"/>
        </w:rPr>
        <w:t>le </w:t>
      </w:r>
      <w:r>
        <w:rPr/>
        <w:t>nom de QR CODE (Quick Response Code).</w:t>
      </w:r>
    </w:p>
    <w:p>
      <w:pPr>
        <w:pStyle w:val="BodyText"/>
        <w:spacing w:line="360" w:lineRule="auto" w:before="156"/>
        <w:ind w:left="699" w:right="322" w:firstLine="360"/>
        <w:jc w:val="both"/>
      </w:pPr>
      <w:r>
        <w:rPr/>
        <w:t>Ce système de paiement sans contact (sans carte Edahabia et sans espèces) est effectué en scannant</w:t>
      </w:r>
      <w:r>
        <w:rPr>
          <w:spacing w:val="-9"/>
        </w:rPr>
        <w:t> </w:t>
      </w:r>
      <w:r>
        <w:rPr/>
        <w:t>un</w:t>
      </w:r>
      <w:r>
        <w:rPr>
          <w:spacing w:val="-16"/>
        </w:rPr>
        <w:t> </w:t>
      </w:r>
      <w:r>
        <w:rPr/>
        <w:t>QR</w:t>
      </w:r>
      <w:r>
        <w:rPr>
          <w:spacing w:val="-15"/>
        </w:rPr>
        <w:t> </w:t>
      </w:r>
      <w:r>
        <w:rPr/>
        <w:t>code</w:t>
      </w:r>
      <w:r>
        <w:rPr>
          <w:spacing w:val="-17"/>
        </w:rPr>
        <w:t> </w:t>
      </w:r>
      <w:r>
        <w:rPr/>
        <w:t>dédié</w:t>
      </w:r>
      <w:r>
        <w:rPr>
          <w:spacing w:val="-13"/>
        </w:rPr>
        <w:t> </w:t>
      </w:r>
      <w:r>
        <w:rPr/>
        <w:t>au</w:t>
      </w:r>
      <w:r>
        <w:rPr>
          <w:spacing w:val="-13"/>
        </w:rPr>
        <w:t> </w:t>
      </w:r>
      <w:r>
        <w:rPr/>
        <w:t>vendeur</w:t>
      </w:r>
      <w:r>
        <w:rPr>
          <w:spacing w:val="-11"/>
        </w:rPr>
        <w:t> </w:t>
      </w:r>
      <w:r>
        <w:rPr/>
        <w:t>via</w:t>
      </w:r>
      <w:r>
        <w:rPr>
          <w:spacing w:val="-9"/>
        </w:rPr>
        <w:t> </w:t>
      </w:r>
      <w:r>
        <w:rPr/>
        <w:t>l'application</w:t>
      </w:r>
      <w:r>
        <w:rPr>
          <w:spacing w:val="-13"/>
        </w:rPr>
        <w:t> </w:t>
      </w:r>
      <w:r>
        <w:rPr/>
        <w:t>mobile</w:t>
      </w:r>
      <w:r>
        <w:rPr>
          <w:spacing w:val="-14"/>
        </w:rPr>
        <w:t> </w:t>
      </w:r>
      <w:r>
        <w:rPr/>
        <w:t>BARIDIMOB.</w:t>
      </w:r>
      <w:r>
        <w:rPr>
          <w:spacing w:val="-10"/>
        </w:rPr>
        <w:t> </w:t>
      </w:r>
      <w:r>
        <w:rPr/>
        <w:t>Ce</w:t>
      </w:r>
      <w:r>
        <w:rPr>
          <w:spacing w:val="-14"/>
        </w:rPr>
        <w:t> </w:t>
      </w:r>
      <w:r>
        <w:rPr/>
        <w:t>système</w:t>
      </w:r>
      <w:r>
        <w:rPr>
          <w:spacing w:val="-14"/>
        </w:rPr>
        <w:t> </w:t>
      </w:r>
      <w:r>
        <w:rPr/>
        <w:t>autorise </w:t>
      </w:r>
      <w:r>
        <w:rPr>
          <w:spacing w:val="-3"/>
        </w:rPr>
        <w:t>le </w:t>
      </w:r>
      <w:r>
        <w:rPr/>
        <w:t>client à effectuer un paiement au commerçant en transférant de manière sécurisée des fonds de son propre compte vers celui du</w:t>
      </w:r>
      <w:r>
        <w:rPr>
          <w:spacing w:val="-7"/>
        </w:rPr>
        <w:t> </w:t>
      </w:r>
      <w:r>
        <w:rPr/>
        <w:t>commerçant.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r>
        <w:rPr/>
        <w:pict>
          <v:shape style="position:absolute;margin-left:84.984001pt;margin-top:12.193843pt;width:144.1pt;height:.1pt;mso-position-horizontal-relative:page;mso-position-vertical-relative:paragraph;z-index:-251628544;mso-wrap-distance-left:0;mso-wrap-distance-right:0" coordorigin="1700,244" coordsize="2882,0" path="m1700,244l4581,244e" filled="false" stroked="true" strokeweight=".71997pt" strokecolor="#000000">
            <v:path arrowok="t"/>
            <v:stroke dashstyle="solid"/>
            <w10:wrap type="topAndBottom"/>
          </v:shape>
        </w:pict>
      </w:r>
    </w:p>
    <w:p>
      <w:pPr>
        <w:spacing w:before="62"/>
        <w:ind w:left="699" w:right="1907" w:firstLine="0"/>
        <w:jc w:val="left"/>
        <w:rPr>
          <w:i/>
          <w:sz w:val="20"/>
        </w:rPr>
      </w:pPr>
      <w:r>
        <w:rPr>
          <w:position w:val="7"/>
          <w:sz w:val="13"/>
        </w:rPr>
        <w:t>1 </w:t>
      </w:r>
      <w:r>
        <w:rPr>
          <w:i/>
          <w:sz w:val="20"/>
        </w:rPr>
        <w:t>Algérie Poste, Service de proximité, Site officiel Algérie Poste, Algérie Poste, Alger, </w:t>
      </w:r>
      <w:hyperlink r:id="rId54">
        <w:r>
          <w:rPr>
            <w:i/>
            <w:color w:val="0462C1"/>
            <w:sz w:val="20"/>
            <w:u w:val="single" w:color="0462C1"/>
          </w:rPr>
          <w:t>https://www.poste.dz/services/professional/service-proximite</w:t>
        </w:r>
        <w:r>
          <w:rPr>
            <w:i/>
            <w:sz w:val="20"/>
          </w:rPr>
          <w:t>,</w:t>
        </w:r>
      </w:hyperlink>
      <w:r>
        <w:rPr>
          <w:i/>
          <w:sz w:val="20"/>
        </w:rPr>
        <w:t>[ consulté le 18 avril 2025 à 16h04]</w:t>
      </w:r>
    </w:p>
    <w:p>
      <w:pPr>
        <w:spacing w:after="0"/>
        <w:jc w:val="left"/>
        <w:rPr>
          <w:sz w:val="20"/>
        </w:rPr>
        <w:sectPr>
          <w:pgSz w:w="12240" w:h="15840"/>
          <w:pgMar w:header="723" w:footer="850" w:top="1080" w:bottom="1040" w:left="1000" w:right="820"/>
        </w:sectPr>
      </w:pPr>
    </w:p>
    <w:p>
      <w:pPr>
        <w:pStyle w:val="BodyText"/>
        <w:spacing w:before="6"/>
        <w:rPr>
          <w:i/>
          <w:sz w:val="19"/>
        </w:rPr>
      </w:pPr>
    </w:p>
    <w:p>
      <w:pPr>
        <w:pStyle w:val="BodyText"/>
        <w:spacing w:line="362" w:lineRule="auto" w:before="90"/>
        <w:ind w:left="699" w:right="313" w:firstLine="360"/>
        <w:jc w:val="both"/>
      </w:pPr>
      <w:r>
        <w:rPr/>
        <w:t>Pour utiliser ce service </w:t>
      </w:r>
      <w:r>
        <w:rPr>
          <w:spacing w:val="-3"/>
        </w:rPr>
        <w:t>il </w:t>
      </w:r>
      <w:r>
        <w:rPr/>
        <w:t>est nécessaire au marchand d’avoir un compte commercial CCP, un numéro</w:t>
      </w:r>
      <w:r>
        <w:rPr>
          <w:spacing w:val="-3"/>
        </w:rPr>
        <w:t> </w:t>
      </w:r>
      <w:r>
        <w:rPr/>
        <w:t>de</w:t>
      </w:r>
      <w:r>
        <w:rPr>
          <w:spacing w:val="-13"/>
        </w:rPr>
        <w:t> </w:t>
      </w:r>
      <w:r>
        <w:rPr/>
        <w:t>portable</w:t>
      </w:r>
      <w:r>
        <w:rPr>
          <w:spacing w:val="-3"/>
        </w:rPr>
        <w:t> </w:t>
      </w:r>
      <w:r>
        <w:rPr/>
        <w:t>fonctionnel</w:t>
      </w:r>
      <w:r>
        <w:rPr>
          <w:spacing w:val="-15"/>
        </w:rPr>
        <w:t> </w:t>
      </w:r>
      <w:r>
        <w:rPr/>
        <w:t>pour</w:t>
      </w:r>
      <w:r>
        <w:rPr>
          <w:spacing w:val="-6"/>
        </w:rPr>
        <w:t> </w:t>
      </w:r>
      <w:r>
        <w:rPr/>
        <w:t>recevoir</w:t>
      </w:r>
      <w:r>
        <w:rPr>
          <w:spacing w:val="-1"/>
        </w:rPr>
        <w:t> </w:t>
      </w:r>
      <w:r>
        <w:rPr>
          <w:spacing w:val="-3"/>
        </w:rPr>
        <w:t>les</w:t>
      </w:r>
      <w:r>
        <w:rPr>
          <w:spacing w:val="-9"/>
        </w:rPr>
        <w:t> </w:t>
      </w:r>
      <w:r>
        <w:rPr/>
        <w:t>alertes</w:t>
      </w:r>
      <w:r>
        <w:rPr>
          <w:spacing w:val="-9"/>
        </w:rPr>
        <w:t> </w:t>
      </w:r>
      <w:r>
        <w:rPr/>
        <w:t>de</w:t>
      </w:r>
      <w:r>
        <w:rPr>
          <w:spacing w:val="-13"/>
        </w:rPr>
        <w:t> </w:t>
      </w:r>
      <w:r>
        <w:rPr/>
        <w:t>paiement</w:t>
      </w:r>
      <w:r>
        <w:rPr>
          <w:spacing w:val="-2"/>
        </w:rPr>
        <w:t> </w:t>
      </w:r>
      <w:r>
        <w:rPr/>
        <w:t>et</w:t>
      </w:r>
      <w:r>
        <w:rPr>
          <w:spacing w:val="-6"/>
        </w:rPr>
        <w:t> </w:t>
      </w:r>
      <w:r>
        <w:rPr/>
        <w:t>disposer</w:t>
      </w:r>
      <w:r>
        <w:rPr>
          <w:spacing w:val="-5"/>
        </w:rPr>
        <w:t> </w:t>
      </w:r>
      <w:r>
        <w:rPr/>
        <w:t>en</w:t>
      </w:r>
      <w:r>
        <w:rPr>
          <w:spacing w:val="-12"/>
        </w:rPr>
        <w:t> </w:t>
      </w:r>
      <w:r>
        <w:rPr/>
        <w:t>permanence</w:t>
      </w:r>
      <w:r>
        <w:rPr>
          <w:spacing w:val="-8"/>
        </w:rPr>
        <w:t> </w:t>
      </w:r>
      <w:r>
        <w:rPr/>
        <w:t>de son téléphone portable pour contrôler et vérifier </w:t>
      </w:r>
      <w:r>
        <w:rPr>
          <w:spacing w:val="-5"/>
        </w:rPr>
        <w:t>le </w:t>
      </w:r>
      <w:r>
        <w:rPr/>
        <w:t>règlement de chaque client en temps</w:t>
      </w:r>
      <w:r>
        <w:rPr>
          <w:spacing w:val="-3"/>
        </w:rPr>
        <w:t> </w:t>
      </w:r>
      <w:r>
        <w:rPr/>
        <w:t>réel.</w:t>
      </w:r>
    </w:p>
    <w:p>
      <w:pPr>
        <w:pStyle w:val="BodyText"/>
        <w:spacing w:before="156"/>
        <w:ind w:left="699"/>
        <w:jc w:val="both"/>
      </w:pPr>
      <w:r>
        <w:rPr/>
        <w:t>De plus, le vendeur est tenu de soumettre un dossier comprenant les éléments suivants :</w:t>
      </w:r>
    </w:p>
    <w:p>
      <w:pPr>
        <w:pStyle w:val="BodyText"/>
        <w:spacing w:before="10"/>
        <w:rPr>
          <w:sz w:val="25"/>
        </w:rPr>
      </w:pPr>
    </w:p>
    <w:p>
      <w:pPr>
        <w:pStyle w:val="ListParagraph"/>
        <w:numPr>
          <w:ilvl w:val="1"/>
          <w:numId w:val="18"/>
        </w:numPr>
        <w:tabs>
          <w:tab w:pos="1780" w:val="left" w:leader="none"/>
          <w:tab w:pos="1781" w:val="left" w:leader="none"/>
        </w:tabs>
        <w:spacing w:line="240" w:lineRule="auto" w:before="0" w:after="0"/>
        <w:ind w:left="1780" w:right="0" w:hanging="361"/>
        <w:jc w:val="left"/>
        <w:rPr>
          <w:sz w:val="24"/>
        </w:rPr>
      </w:pPr>
      <w:r>
        <w:rPr>
          <w:sz w:val="24"/>
        </w:rPr>
        <w:t>Un duplicata du registre du</w:t>
      </w:r>
      <w:r>
        <w:rPr>
          <w:spacing w:val="-4"/>
          <w:sz w:val="24"/>
        </w:rPr>
        <w:t> </w:t>
      </w:r>
      <w:r>
        <w:rPr>
          <w:sz w:val="24"/>
        </w:rPr>
        <w:t>commerce</w:t>
      </w:r>
    </w:p>
    <w:p>
      <w:pPr>
        <w:pStyle w:val="ListParagraph"/>
        <w:numPr>
          <w:ilvl w:val="1"/>
          <w:numId w:val="18"/>
        </w:numPr>
        <w:tabs>
          <w:tab w:pos="1780" w:val="left" w:leader="none"/>
          <w:tab w:pos="1781" w:val="left" w:leader="none"/>
        </w:tabs>
        <w:spacing w:line="240" w:lineRule="auto" w:before="138" w:after="0"/>
        <w:ind w:left="1780" w:right="0" w:hanging="361"/>
        <w:jc w:val="left"/>
        <w:rPr>
          <w:sz w:val="24"/>
        </w:rPr>
      </w:pPr>
      <w:r>
        <w:rPr>
          <w:sz w:val="24"/>
        </w:rPr>
        <w:t>Un duplicata de </w:t>
      </w:r>
      <w:r>
        <w:rPr>
          <w:spacing w:val="-5"/>
          <w:sz w:val="24"/>
        </w:rPr>
        <w:t>la </w:t>
      </w:r>
      <w:r>
        <w:rPr>
          <w:sz w:val="24"/>
        </w:rPr>
        <w:t>Carte d'Identité</w:t>
      </w:r>
      <w:r>
        <w:rPr>
          <w:spacing w:val="4"/>
          <w:sz w:val="24"/>
        </w:rPr>
        <w:t> </w:t>
      </w:r>
      <w:r>
        <w:rPr>
          <w:sz w:val="24"/>
        </w:rPr>
        <w:t>Fiscale.</w:t>
      </w:r>
    </w:p>
    <w:p>
      <w:pPr>
        <w:pStyle w:val="ListParagraph"/>
        <w:numPr>
          <w:ilvl w:val="1"/>
          <w:numId w:val="18"/>
        </w:numPr>
        <w:tabs>
          <w:tab w:pos="1780" w:val="left" w:leader="none"/>
          <w:tab w:pos="1781" w:val="left" w:leader="none"/>
        </w:tabs>
        <w:spacing w:line="240" w:lineRule="auto" w:before="138" w:after="0"/>
        <w:ind w:left="1780" w:right="0" w:hanging="361"/>
        <w:jc w:val="left"/>
        <w:rPr>
          <w:sz w:val="24"/>
        </w:rPr>
      </w:pPr>
      <w:r>
        <w:rPr>
          <w:sz w:val="24"/>
        </w:rPr>
        <w:t>Un duplicata de </w:t>
      </w:r>
      <w:r>
        <w:rPr>
          <w:spacing w:val="-5"/>
          <w:sz w:val="24"/>
        </w:rPr>
        <w:t>la </w:t>
      </w:r>
      <w:r>
        <w:rPr>
          <w:sz w:val="24"/>
        </w:rPr>
        <w:t>C.I.N du responsable ou d'un représentant dûment</w:t>
      </w:r>
      <w:r>
        <w:rPr>
          <w:spacing w:val="3"/>
          <w:sz w:val="24"/>
        </w:rPr>
        <w:t> </w:t>
      </w:r>
      <w:r>
        <w:rPr>
          <w:sz w:val="24"/>
        </w:rPr>
        <w:t>autorisé.</w:t>
      </w:r>
    </w:p>
    <w:p>
      <w:pPr>
        <w:pStyle w:val="ListParagraph"/>
        <w:numPr>
          <w:ilvl w:val="1"/>
          <w:numId w:val="18"/>
        </w:numPr>
        <w:tabs>
          <w:tab w:pos="1780" w:val="left" w:leader="none"/>
          <w:tab w:pos="1781" w:val="left" w:leader="none"/>
        </w:tabs>
        <w:spacing w:line="240" w:lineRule="auto" w:before="138" w:after="0"/>
        <w:ind w:left="1780" w:right="0" w:hanging="361"/>
        <w:jc w:val="left"/>
        <w:rPr>
          <w:sz w:val="24"/>
        </w:rPr>
      </w:pPr>
      <w:r>
        <w:rPr>
          <w:sz w:val="24"/>
        </w:rPr>
        <w:t>Un chèque barré attestant de son compte</w:t>
      </w:r>
      <w:r>
        <w:rPr>
          <w:spacing w:val="7"/>
          <w:sz w:val="24"/>
        </w:rPr>
        <w:t> </w:t>
      </w:r>
      <w:r>
        <w:rPr>
          <w:sz w:val="24"/>
        </w:rPr>
        <w:t>CCP</w:t>
      </w:r>
    </w:p>
    <w:p>
      <w:pPr>
        <w:pStyle w:val="ListParagraph"/>
        <w:numPr>
          <w:ilvl w:val="1"/>
          <w:numId w:val="18"/>
        </w:numPr>
        <w:tabs>
          <w:tab w:pos="1780" w:val="left" w:leader="none"/>
          <w:tab w:pos="1781" w:val="left" w:leader="none"/>
        </w:tabs>
        <w:spacing w:line="240" w:lineRule="auto" w:before="134" w:after="0"/>
        <w:ind w:left="1780" w:right="0" w:hanging="361"/>
        <w:jc w:val="left"/>
        <w:rPr>
          <w:sz w:val="24"/>
        </w:rPr>
      </w:pPr>
      <w:r>
        <w:rPr>
          <w:sz w:val="24"/>
        </w:rPr>
        <w:t>Le commerçant a </w:t>
      </w:r>
      <w:r>
        <w:rPr>
          <w:spacing w:val="-3"/>
          <w:sz w:val="24"/>
        </w:rPr>
        <w:t>la </w:t>
      </w:r>
      <w:r>
        <w:rPr>
          <w:sz w:val="24"/>
        </w:rPr>
        <w:t>possibilité d'utiliser deux sortes de QR CODE</w:t>
      </w:r>
      <w:r>
        <w:rPr>
          <w:spacing w:val="11"/>
          <w:sz w:val="24"/>
        </w:rPr>
        <w:t> </w:t>
      </w:r>
      <w:r>
        <w:rPr>
          <w:sz w:val="24"/>
        </w:rPr>
        <w:t>:</w:t>
      </w:r>
    </w:p>
    <w:p>
      <w:pPr>
        <w:pStyle w:val="ListParagraph"/>
        <w:numPr>
          <w:ilvl w:val="1"/>
          <w:numId w:val="18"/>
        </w:numPr>
        <w:tabs>
          <w:tab w:pos="1781" w:val="left" w:leader="none"/>
        </w:tabs>
        <w:spacing w:line="350" w:lineRule="auto" w:before="138" w:after="0"/>
        <w:ind w:left="1780" w:right="317" w:hanging="360"/>
        <w:jc w:val="both"/>
        <w:rPr>
          <w:sz w:val="24"/>
        </w:rPr>
      </w:pPr>
      <w:r>
        <w:rPr>
          <w:sz w:val="24"/>
        </w:rPr>
        <w:t>QR Code Statique à montant </w:t>
      </w:r>
      <w:r>
        <w:rPr>
          <w:spacing w:val="-3"/>
          <w:sz w:val="24"/>
        </w:rPr>
        <w:t>fixe </w:t>
      </w:r>
      <w:r>
        <w:rPr>
          <w:sz w:val="24"/>
        </w:rPr>
        <w:t>: un montant prédéterminé par </w:t>
      </w:r>
      <w:r>
        <w:rPr>
          <w:spacing w:val="-3"/>
          <w:sz w:val="24"/>
        </w:rPr>
        <w:t>le </w:t>
      </w:r>
      <w:r>
        <w:rPr>
          <w:sz w:val="24"/>
        </w:rPr>
        <w:t>commerçant sera intégré au QR Code</w:t>
      </w:r>
      <w:r>
        <w:rPr>
          <w:spacing w:val="3"/>
          <w:sz w:val="24"/>
        </w:rPr>
        <w:t> </w:t>
      </w:r>
      <w:r>
        <w:rPr>
          <w:sz w:val="24"/>
        </w:rPr>
        <w:t>Statique.</w:t>
      </w:r>
    </w:p>
    <w:p>
      <w:pPr>
        <w:pStyle w:val="ListParagraph"/>
        <w:numPr>
          <w:ilvl w:val="1"/>
          <w:numId w:val="18"/>
        </w:numPr>
        <w:tabs>
          <w:tab w:pos="1781" w:val="left" w:leader="none"/>
        </w:tabs>
        <w:spacing w:line="355" w:lineRule="auto" w:before="13" w:after="0"/>
        <w:ind w:left="1780" w:right="324" w:hanging="360"/>
        <w:jc w:val="both"/>
        <w:rPr>
          <w:sz w:val="24"/>
        </w:rPr>
      </w:pPr>
      <w:r>
        <w:rPr>
          <w:sz w:val="24"/>
        </w:rPr>
        <w:t>QR Code </w:t>
      </w:r>
      <w:r>
        <w:rPr>
          <w:spacing w:val="-3"/>
          <w:sz w:val="24"/>
        </w:rPr>
        <w:t>Fixe </w:t>
      </w:r>
      <w:r>
        <w:rPr>
          <w:sz w:val="24"/>
        </w:rPr>
        <w:t>avec saisie du montant de l'achat : </w:t>
      </w:r>
      <w:r>
        <w:rPr>
          <w:spacing w:val="-3"/>
          <w:sz w:val="24"/>
        </w:rPr>
        <w:t>il </w:t>
      </w:r>
      <w:r>
        <w:rPr>
          <w:sz w:val="24"/>
        </w:rPr>
        <w:t>s'agit d'un QR Code </w:t>
      </w:r>
      <w:r>
        <w:rPr>
          <w:spacing w:val="-3"/>
          <w:sz w:val="24"/>
        </w:rPr>
        <w:t>fixe </w:t>
      </w:r>
      <w:r>
        <w:rPr>
          <w:sz w:val="24"/>
        </w:rPr>
        <w:t>sans montant prédéfini. Dans ce contexte, </w:t>
      </w:r>
      <w:r>
        <w:rPr>
          <w:spacing w:val="-5"/>
          <w:sz w:val="24"/>
        </w:rPr>
        <w:t>le </w:t>
      </w:r>
      <w:r>
        <w:rPr>
          <w:sz w:val="24"/>
        </w:rPr>
        <w:t>client entre </w:t>
      </w:r>
      <w:r>
        <w:rPr>
          <w:spacing w:val="-5"/>
          <w:sz w:val="24"/>
        </w:rPr>
        <w:t>le </w:t>
      </w:r>
      <w:r>
        <w:rPr>
          <w:sz w:val="24"/>
        </w:rPr>
        <w:t>montant pendant </w:t>
      </w:r>
      <w:r>
        <w:rPr>
          <w:spacing w:val="-5"/>
          <w:sz w:val="24"/>
        </w:rPr>
        <w:t>la </w:t>
      </w:r>
      <w:r>
        <w:rPr>
          <w:sz w:val="24"/>
        </w:rPr>
        <w:t>transaction de paiement.</w:t>
      </w:r>
    </w:p>
    <w:p>
      <w:pPr>
        <w:pStyle w:val="ListParagraph"/>
        <w:numPr>
          <w:ilvl w:val="1"/>
          <w:numId w:val="18"/>
        </w:numPr>
        <w:tabs>
          <w:tab w:pos="1780" w:val="left" w:leader="none"/>
          <w:tab w:pos="1781" w:val="left" w:leader="none"/>
        </w:tabs>
        <w:spacing w:line="240" w:lineRule="auto" w:before="11" w:after="0"/>
        <w:ind w:left="1780" w:right="0" w:hanging="361"/>
        <w:jc w:val="left"/>
        <w:rPr>
          <w:sz w:val="24"/>
        </w:rPr>
      </w:pPr>
      <w:r>
        <w:rPr>
          <w:sz w:val="24"/>
        </w:rPr>
        <w:t>Processus de paiement effectué par </w:t>
      </w:r>
      <w:r>
        <w:rPr>
          <w:spacing w:val="-5"/>
          <w:sz w:val="24"/>
        </w:rPr>
        <w:t>le </w:t>
      </w:r>
      <w:r>
        <w:rPr>
          <w:sz w:val="24"/>
        </w:rPr>
        <w:t>client</w:t>
      </w:r>
      <w:r>
        <w:rPr>
          <w:spacing w:val="22"/>
          <w:sz w:val="24"/>
        </w:rPr>
        <w:t> </w:t>
      </w:r>
      <w:r>
        <w:rPr>
          <w:sz w:val="24"/>
        </w:rPr>
        <w:t>:</w:t>
      </w:r>
    </w:p>
    <w:p>
      <w:pPr>
        <w:pStyle w:val="ListParagraph"/>
        <w:numPr>
          <w:ilvl w:val="1"/>
          <w:numId w:val="18"/>
        </w:numPr>
        <w:tabs>
          <w:tab w:pos="1780" w:val="left" w:leader="none"/>
          <w:tab w:pos="1781" w:val="left" w:leader="none"/>
        </w:tabs>
        <w:spacing w:line="240" w:lineRule="auto" w:before="133" w:after="0"/>
        <w:ind w:left="1780" w:right="0" w:hanging="361"/>
        <w:jc w:val="left"/>
        <w:rPr>
          <w:sz w:val="24"/>
        </w:rPr>
      </w:pPr>
      <w:r>
        <w:rPr>
          <w:sz w:val="24"/>
        </w:rPr>
        <w:t>Le client Démarre l'application « BARIDIMOB</w:t>
      </w:r>
      <w:r>
        <w:rPr>
          <w:spacing w:val="13"/>
          <w:sz w:val="24"/>
        </w:rPr>
        <w:t> </w:t>
      </w:r>
      <w:r>
        <w:rPr>
          <w:sz w:val="24"/>
        </w:rPr>
        <w:t>»</w:t>
      </w:r>
    </w:p>
    <w:p>
      <w:pPr>
        <w:pStyle w:val="ListParagraph"/>
        <w:numPr>
          <w:ilvl w:val="1"/>
          <w:numId w:val="18"/>
        </w:numPr>
        <w:tabs>
          <w:tab w:pos="1780" w:val="left" w:leader="none"/>
          <w:tab w:pos="1781" w:val="left" w:leader="none"/>
        </w:tabs>
        <w:spacing w:line="240" w:lineRule="auto" w:before="138" w:after="0"/>
        <w:ind w:left="1780" w:right="0" w:hanging="361"/>
        <w:jc w:val="left"/>
        <w:rPr>
          <w:sz w:val="24"/>
        </w:rPr>
      </w:pPr>
      <w:r>
        <w:rPr>
          <w:sz w:val="24"/>
        </w:rPr>
        <w:t>Sélectionnez </w:t>
      </w:r>
      <w:r>
        <w:rPr>
          <w:spacing w:val="-3"/>
          <w:sz w:val="24"/>
        </w:rPr>
        <w:t>le </w:t>
      </w:r>
      <w:r>
        <w:rPr>
          <w:sz w:val="24"/>
        </w:rPr>
        <w:t>service « BaridPay</w:t>
      </w:r>
      <w:r>
        <w:rPr>
          <w:spacing w:val="13"/>
          <w:sz w:val="24"/>
        </w:rPr>
        <w:t> </w:t>
      </w:r>
      <w:r>
        <w:rPr>
          <w:spacing w:val="-3"/>
          <w:sz w:val="24"/>
        </w:rPr>
        <w:t>».</w:t>
      </w:r>
    </w:p>
    <w:p>
      <w:pPr>
        <w:pStyle w:val="ListParagraph"/>
        <w:numPr>
          <w:ilvl w:val="1"/>
          <w:numId w:val="18"/>
        </w:numPr>
        <w:tabs>
          <w:tab w:pos="1780" w:val="left" w:leader="none"/>
          <w:tab w:pos="1781" w:val="left" w:leader="none"/>
        </w:tabs>
        <w:spacing w:line="240" w:lineRule="auto" w:before="138" w:after="0"/>
        <w:ind w:left="1780" w:right="0" w:hanging="361"/>
        <w:jc w:val="left"/>
        <w:rPr>
          <w:sz w:val="24"/>
        </w:rPr>
      </w:pPr>
      <w:r>
        <w:rPr>
          <w:sz w:val="24"/>
        </w:rPr>
        <w:t>Scanner </w:t>
      </w:r>
      <w:r>
        <w:rPr>
          <w:spacing w:val="-3"/>
          <w:sz w:val="24"/>
        </w:rPr>
        <w:t>le </w:t>
      </w:r>
      <w:r>
        <w:rPr>
          <w:sz w:val="24"/>
        </w:rPr>
        <w:t>QR Code affiché chez </w:t>
      </w:r>
      <w:r>
        <w:rPr>
          <w:spacing w:val="-5"/>
          <w:sz w:val="24"/>
        </w:rPr>
        <w:t>le</w:t>
      </w:r>
      <w:r>
        <w:rPr>
          <w:spacing w:val="19"/>
          <w:sz w:val="24"/>
        </w:rPr>
        <w:t> </w:t>
      </w:r>
      <w:r>
        <w:rPr>
          <w:sz w:val="24"/>
        </w:rPr>
        <w:t>commerçant.</w:t>
      </w:r>
    </w:p>
    <w:p>
      <w:pPr>
        <w:pStyle w:val="ListParagraph"/>
        <w:numPr>
          <w:ilvl w:val="1"/>
          <w:numId w:val="18"/>
        </w:numPr>
        <w:tabs>
          <w:tab w:pos="1781" w:val="left" w:leader="none"/>
        </w:tabs>
        <w:spacing w:line="355" w:lineRule="auto" w:before="138" w:after="0"/>
        <w:ind w:left="1780" w:right="314" w:hanging="360"/>
        <w:jc w:val="both"/>
        <w:rPr>
          <w:sz w:val="24"/>
        </w:rPr>
      </w:pPr>
      <w:r>
        <w:rPr>
          <w:spacing w:val="2"/>
          <w:sz w:val="24"/>
        </w:rPr>
        <w:t>Si </w:t>
      </w:r>
      <w:r>
        <w:rPr>
          <w:spacing w:val="-5"/>
          <w:sz w:val="24"/>
        </w:rPr>
        <w:t>le </w:t>
      </w:r>
      <w:r>
        <w:rPr>
          <w:sz w:val="24"/>
        </w:rPr>
        <w:t>QR CODE présenté chez </w:t>
      </w:r>
      <w:r>
        <w:rPr>
          <w:spacing w:val="-5"/>
          <w:sz w:val="24"/>
        </w:rPr>
        <w:t>le </w:t>
      </w:r>
      <w:r>
        <w:rPr>
          <w:sz w:val="24"/>
        </w:rPr>
        <w:t>vendeur indique un montant précis, le consommateur n'aura pas à entrer ce montant. En revanche, si </w:t>
      </w:r>
      <w:r>
        <w:rPr>
          <w:spacing w:val="-3"/>
          <w:sz w:val="24"/>
        </w:rPr>
        <w:t>le </w:t>
      </w:r>
      <w:r>
        <w:rPr>
          <w:sz w:val="24"/>
        </w:rPr>
        <w:t>QR CODE </w:t>
      </w:r>
      <w:r>
        <w:rPr>
          <w:spacing w:val="-3"/>
          <w:sz w:val="24"/>
        </w:rPr>
        <w:t>ne </w:t>
      </w:r>
      <w:r>
        <w:rPr>
          <w:sz w:val="24"/>
        </w:rPr>
        <w:t>mentionne aucun montant, </w:t>
      </w:r>
      <w:r>
        <w:rPr>
          <w:spacing w:val="-3"/>
          <w:sz w:val="24"/>
        </w:rPr>
        <w:t>il </w:t>
      </w:r>
      <w:r>
        <w:rPr>
          <w:sz w:val="24"/>
        </w:rPr>
        <w:t>est demandé au client d'indiquer </w:t>
      </w:r>
      <w:r>
        <w:rPr>
          <w:spacing w:val="-5"/>
          <w:sz w:val="24"/>
        </w:rPr>
        <w:t>le </w:t>
      </w:r>
      <w:r>
        <w:rPr>
          <w:sz w:val="24"/>
        </w:rPr>
        <w:t>montant de ses</w:t>
      </w:r>
      <w:r>
        <w:rPr>
          <w:spacing w:val="23"/>
          <w:sz w:val="24"/>
        </w:rPr>
        <w:t> </w:t>
      </w:r>
      <w:r>
        <w:rPr>
          <w:sz w:val="24"/>
        </w:rPr>
        <w:t>acquisitions.</w:t>
      </w:r>
    </w:p>
    <w:p>
      <w:pPr>
        <w:pStyle w:val="ListParagraph"/>
        <w:numPr>
          <w:ilvl w:val="1"/>
          <w:numId w:val="18"/>
        </w:numPr>
        <w:tabs>
          <w:tab w:pos="1781" w:val="left" w:leader="none"/>
        </w:tabs>
        <w:spacing w:line="240" w:lineRule="auto" w:before="6" w:after="0"/>
        <w:ind w:left="1780" w:right="0" w:hanging="361"/>
        <w:jc w:val="both"/>
        <w:rPr>
          <w:sz w:val="24"/>
        </w:rPr>
      </w:pPr>
      <w:r>
        <w:rPr>
          <w:sz w:val="24"/>
        </w:rPr>
        <w:t>Confirme </w:t>
      </w:r>
      <w:r>
        <w:rPr>
          <w:spacing w:val="-5"/>
          <w:sz w:val="24"/>
        </w:rPr>
        <w:t>la </w:t>
      </w:r>
      <w:r>
        <w:rPr>
          <w:sz w:val="24"/>
        </w:rPr>
        <w:t>transaction en saisissant </w:t>
      </w:r>
      <w:r>
        <w:rPr>
          <w:spacing w:val="-3"/>
          <w:sz w:val="24"/>
        </w:rPr>
        <w:t>le </w:t>
      </w:r>
      <w:r>
        <w:rPr>
          <w:sz w:val="24"/>
        </w:rPr>
        <w:t>code de Confirmation envoyé par</w:t>
      </w:r>
      <w:r>
        <w:rPr>
          <w:spacing w:val="7"/>
          <w:sz w:val="24"/>
        </w:rPr>
        <w:t> </w:t>
      </w:r>
      <w:r>
        <w:rPr>
          <w:sz w:val="24"/>
        </w:rPr>
        <w:t>SMS.</w:t>
      </w:r>
    </w:p>
    <w:p>
      <w:pPr>
        <w:pStyle w:val="ListParagraph"/>
        <w:numPr>
          <w:ilvl w:val="1"/>
          <w:numId w:val="18"/>
        </w:numPr>
        <w:tabs>
          <w:tab w:pos="1781" w:val="left" w:leader="none"/>
        </w:tabs>
        <w:spacing w:line="338" w:lineRule="auto" w:before="138" w:after="0"/>
        <w:ind w:left="1780" w:right="328" w:hanging="360"/>
        <w:jc w:val="both"/>
        <w:rPr>
          <w:sz w:val="16"/>
        </w:rPr>
      </w:pPr>
      <w:r>
        <w:rPr>
          <w:sz w:val="24"/>
        </w:rPr>
        <w:t>Un avis de règlement apparaît sur </w:t>
      </w:r>
      <w:r>
        <w:rPr>
          <w:spacing w:val="-5"/>
          <w:sz w:val="24"/>
        </w:rPr>
        <w:t>le </w:t>
      </w:r>
      <w:r>
        <w:rPr>
          <w:sz w:val="24"/>
        </w:rPr>
        <w:t>téléphone mobile de l'acheteur </w:t>
      </w:r>
      <w:r>
        <w:rPr>
          <w:spacing w:val="-3"/>
          <w:sz w:val="24"/>
        </w:rPr>
        <w:t>et </w:t>
      </w:r>
      <w:r>
        <w:rPr>
          <w:spacing w:val="-5"/>
          <w:sz w:val="24"/>
        </w:rPr>
        <w:t>le </w:t>
      </w:r>
      <w:r>
        <w:rPr>
          <w:sz w:val="24"/>
        </w:rPr>
        <w:t>vendeur obtiendra un message texte contenant </w:t>
      </w:r>
      <w:r>
        <w:rPr>
          <w:spacing w:val="-5"/>
          <w:sz w:val="24"/>
        </w:rPr>
        <w:t>le </w:t>
      </w:r>
      <w:r>
        <w:rPr>
          <w:sz w:val="24"/>
        </w:rPr>
        <w:t>montant crédité pour les</w:t>
      </w:r>
      <w:r>
        <w:rPr>
          <w:spacing w:val="13"/>
          <w:sz w:val="24"/>
        </w:rPr>
        <w:t> </w:t>
      </w:r>
      <w:r>
        <w:rPr>
          <w:sz w:val="24"/>
        </w:rPr>
        <w:t>acquisitions.</w:t>
      </w:r>
      <w:r>
        <w:rPr>
          <w:position w:val="9"/>
          <w:sz w:val="16"/>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r>
        <w:rPr/>
        <w:pict>
          <v:shape style="position:absolute;margin-left:84.984001pt;margin-top:19.142653pt;width:144.1pt;height:.1pt;mso-position-horizontal-relative:page;mso-position-vertical-relative:paragraph;z-index:-251627520;mso-wrap-distance-left:0;mso-wrap-distance-right:0" coordorigin="1700,383" coordsize="2882,0" path="m1700,383l4581,383e" filled="false" stroked="true" strokeweight=".71997pt" strokecolor="#000000">
            <v:path arrowok="t"/>
            <v:stroke dashstyle="solid"/>
            <w10:wrap type="topAndBottom"/>
          </v:shape>
        </w:pict>
      </w:r>
    </w:p>
    <w:p>
      <w:pPr>
        <w:spacing w:before="62"/>
        <w:ind w:left="699" w:right="2201" w:firstLine="0"/>
        <w:jc w:val="left"/>
        <w:rPr>
          <w:i/>
          <w:sz w:val="20"/>
        </w:rPr>
      </w:pPr>
      <w:r>
        <w:rPr>
          <w:position w:val="7"/>
          <w:sz w:val="13"/>
        </w:rPr>
        <w:t>1 </w:t>
      </w:r>
      <w:r>
        <w:rPr>
          <w:i/>
          <w:sz w:val="20"/>
        </w:rPr>
        <w:t>Algérie Poste, Baridi Pay Corporate, Site officiel Algérie Poste, Algérie Poste, Alger, </w:t>
      </w:r>
      <w:hyperlink r:id="rId55">
        <w:r>
          <w:rPr>
            <w:i/>
            <w:color w:val="0462C1"/>
            <w:sz w:val="20"/>
            <w:u w:val="single" w:color="0462C1"/>
          </w:rPr>
          <w:t>https://www.poste.dz/services/corporate/Baridi_pay_cor</w:t>
        </w:r>
        <w:r>
          <w:rPr>
            <w:i/>
            <w:sz w:val="20"/>
          </w:rPr>
          <w:t>,</w:t>
        </w:r>
      </w:hyperlink>
      <w:r>
        <w:rPr>
          <w:i/>
          <w:sz w:val="20"/>
        </w:rPr>
        <w:t>[ consulté le 22 mars 2025 à 14h32]</w:t>
      </w:r>
    </w:p>
    <w:p>
      <w:pPr>
        <w:spacing w:after="0"/>
        <w:jc w:val="left"/>
        <w:rPr>
          <w:sz w:val="20"/>
        </w:rPr>
        <w:sectPr>
          <w:pgSz w:w="12240" w:h="15840"/>
          <w:pgMar w:header="723" w:footer="850" w:top="1080" w:bottom="1040" w:left="1000" w:right="820"/>
        </w:sectPr>
      </w:pPr>
    </w:p>
    <w:p>
      <w:pPr>
        <w:pStyle w:val="BodyText"/>
        <w:spacing w:before="10"/>
        <w:rPr>
          <w:i/>
          <w:sz w:val="19"/>
        </w:rPr>
      </w:pPr>
    </w:p>
    <w:p>
      <w:pPr>
        <w:pStyle w:val="Heading5"/>
        <w:numPr>
          <w:ilvl w:val="0"/>
          <w:numId w:val="13"/>
        </w:numPr>
        <w:tabs>
          <w:tab w:pos="1314" w:val="left" w:leader="none"/>
          <w:tab w:pos="1315" w:val="left" w:leader="none"/>
        </w:tabs>
        <w:spacing w:line="240" w:lineRule="auto" w:before="90" w:after="0"/>
        <w:ind w:left="1314" w:right="0" w:hanging="433"/>
        <w:jc w:val="left"/>
      </w:pPr>
      <w:bookmarkStart w:name="2. Présentation du service de BaridiMob" w:id="176"/>
      <w:bookmarkEnd w:id="176"/>
      <w:r>
        <w:rPr>
          <w:b w:val="0"/>
        </w:rPr>
      </w:r>
      <w:bookmarkStart w:name="1.1" w:id="177"/>
      <w:bookmarkEnd w:id="177"/>
      <w:r>
        <w:rPr>
          <w:b w:val="0"/>
        </w:rPr>
      </w:r>
      <w:bookmarkStart w:name="1.1" w:id="178"/>
      <w:bookmarkEnd w:id="178"/>
      <w:r>
        <w:rPr/>
        <w:t>P</w:t>
      </w:r>
      <w:r>
        <w:rPr/>
        <w:t>résentation du service de</w:t>
      </w:r>
      <w:r>
        <w:rPr>
          <w:spacing w:val="9"/>
        </w:rPr>
        <w:t> </w:t>
      </w:r>
      <w:r>
        <w:rPr/>
        <w:t>BaridiMob</w:t>
      </w:r>
    </w:p>
    <w:p>
      <w:pPr>
        <w:pStyle w:val="BodyText"/>
        <w:spacing w:before="4"/>
        <w:rPr>
          <w:b/>
          <w:sz w:val="22"/>
        </w:rPr>
      </w:pPr>
    </w:p>
    <w:p>
      <w:pPr>
        <w:pStyle w:val="BodyText"/>
        <w:spacing w:line="367" w:lineRule="auto"/>
        <w:ind w:left="699" w:right="326" w:firstLine="360"/>
        <w:jc w:val="both"/>
      </w:pPr>
      <w:r>
        <w:rPr/>
        <w:t>BaridiMob est un service mobile lancé par Algérie Poste pour faciliter l’accès aux services financiers à distance.</w:t>
      </w:r>
    </w:p>
    <w:p>
      <w:pPr>
        <w:pStyle w:val="Heading5"/>
        <w:numPr>
          <w:ilvl w:val="1"/>
          <w:numId w:val="13"/>
        </w:numPr>
        <w:tabs>
          <w:tab w:pos="1781" w:val="left" w:leader="none"/>
        </w:tabs>
        <w:spacing w:line="240" w:lineRule="auto" w:before="155" w:after="0"/>
        <w:ind w:left="1780" w:right="0" w:hanging="361"/>
        <w:jc w:val="left"/>
      </w:pPr>
      <w:bookmarkStart w:name="2.1 Présentation de BaridiMob" w:id="179"/>
      <w:bookmarkEnd w:id="179"/>
      <w:r>
        <w:rPr/>
        <w:t>P</w:t>
      </w:r>
      <w:r>
        <w:rPr/>
        <w:t>résentation de</w:t>
      </w:r>
      <w:r>
        <w:rPr>
          <w:spacing w:val="-2"/>
        </w:rPr>
        <w:t> </w:t>
      </w:r>
      <w:r>
        <w:rPr/>
        <w:t>BaridiMob</w:t>
      </w:r>
    </w:p>
    <w:p>
      <w:pPr>
        <w:pStyle w:val="BodyText"/>
        <w:spacing w:before="6"/>
        <w:rPr>
          <w:b/>
          <w:sz w:val="23"/>
        </w:rPr>
      </w:pPr>
    </w:p>
    <w:p>
      <w:pPr>
        <w:pStyle w:val="BodyText"/>
        <w:spacing w:line="362" w:lineRule="auto"/>
        <w:ind w:left="699" w:right="323" w:firstLine="360"/>
        <w:jc w:val="both"/>
      </w:pPr>
      <w:r>
        <w:rPr>
          <w:spacing w:val="3"/>
        </w:rPr>
        <w:t>Il</w:t>
      </w:r>
      <w:r>
        <w:rPr>
          <w:spacing w:val="-16"/>
        </w:rPr>
        <w:t> </w:t>
      </w:r>
      <w:r>
        <w:rPr/>
        <w:t>s'agit</w:t>
      </w:r>
      <w:r>
        <w:rPr>
          <w:spacing w:val="-2"/>
        </w:rPr>
        <w:t> </w:t>
      </w:r>
      <w:r>
        <w:rPr/>
        <w:t>d'une</w:t>
      </w:r>
      <w:r>
        <w:rPr>
          <w:spacing w:val="-8"/>
        </w:rPr>
        <w:t> </w:t>
      </w:r>
      <w:r>
        <w:rPr/>
        <w:t>application</w:t>
      </w:r>
      <w:r>
        <w:rPr>
          <w:spacing w:val="-8"/>
        </w:rPr>
        <w:t> </w:t>
      </w:r>
      <w:r>
        <w:rPr/>
        <w:t>mobile</w:t>
      </w:r>
      <w:r>
        <w:rPr>
          <w:spacing w:val="-3"/>
        </w:rPr>
        <w:t> </w:t>
      </w:r>
      <w:r>
        <w:rPr/>
        <w:t>fournissant</w:t>
      </w:r>
      <w:r>
        <w:rPr>
          <w:spacing w:val="-2"/>
        </w:rPr>
        <w:t> </w:t>
      </w:r>
      <w:r>
        <w:rPr/>
        <w:t>aux</w:t>
      </w:r>
      <w:r>
        <w:rPr>
          <w:spacing w:val="-12"/>
        </w:rPr>
        <w:t> </w:t>
      </w:r>
      <w:r>
        <w:rPr/>
        <w:t>clients</w:t>
      </w:r>
      <w:r>
        <w:rPr>
          <w:spacing w:val="-9"/>
        </w:rPr>
        <w:t> </w:t>
      </w:r>
      <w:r>
        <w:rPr/>
        <w:t>d'Algérie</w:t>
      </w:r>
      <w:r>
        <w:rPr>
          <w:spacing w:val="-8"/>
        </w:rPr>
        <w:t> </w:t>
      </w:r>
      <w:r>
        <w:rPr/>
        <w:t>Poste</w:t>
      </w:r>
      <w:r>
        <w:rPr>
          <w:spacing w:val="-8"/>
        </w:rPr>
        <w:t> </w:t>
      </w:r>
      <w:r>
        <w:rPr/>
        <w:t>des</w:t>
      </w:r>
      <w:r>
        <w:rPr>
          <w:spacing w:val="-9"/>
        </w:rPr>
        <w:t> </w:t>
      </w:r>
      <w:r>
        <w:rPr/>
        <w:t>services</w:t>
      </w:r>
      <w:r>
        <w:rPr>
          <w:spacing w:val="-4"/>
        </w:rPr>
        <w:t> </w:t>
      </w:r>
      <w:r>
        <w:rPr/>
        <w:t>financiers et monétiques postaux, qui leur permettent de gérer leurs comptes CCP et leurs transactions à</w:t>
      </w:r>
      <w:r>
        <w:rPr>
          <w:spacing w:val="-25"/>
        </w:rPr>
        <w:t> </w:t>
      </w:r>
      <w:r>
        <w:rPr/>
        <w:t>tout moment et en tout </w:t>
      </w:r>
      <w:r>
        <w:rPr>
          <w:spacing w:val="-3"/>
        </w:rPr>
        <w:t>lieu. </w:t>
      </w:r>
      <w:r>
        <w:rPr/>
        <w:t>Dans ce qui suit, nous allons présenter ses services, ses principales fonctionnalités ainsi que </w:t>
      </w:r>
      <w:r>
        <w:rPr>
          <w:spacing w:val="-3"/>
        </w:rPr>
        <w:t>les </w:t>
      </w:r>
      <w:r>
        <w:rPr/>
        <w:t>étapes nécessaires pour en</w:t>
      </w:r>
      <w:r>
        <w:rPr>
          <w:spacing w:val="4"/>
        </w:rPr>
        <w:t> </w:t>
      </w:r>
      <w:r>
        <w:rPr/>
        <w:t>bénéficier.1</w:t>
      </w:r>
    </w:p>
    <w:p>
      <w:pPr>
        <w:pStyle w:val="BodyText"/>
        <w:spacing w:before="153"/>
        <w:ind w:left="1060"/>
        <w:jc w:val="both"/>
      </w:pPr>
      <w:r>
        <w:rPr/>
        <w:t>BaridiMob propose plusieurs services qui sont :</w:t>
      </w:r>
    </w:p>
    <w:p>
      <w:pPr>
        <w:pStyle w:val="BodyText"/>
        <w:spacing w:before="8"/>
        <w:rPr>
          <w:sz w:val="25"/>
        </w:rPr>
      </w:pPr>
    </w:p>
    <w:p>
      <w:pPr>
        <w:pStyle w:val="ListParagraph"/>
        <w:numPr>
          <w:ilvl w:val="0"/>
          <w:numId w:val="20"/>
        </w:numPr>
        <w:tabs>
          <w:tab w:pos="1780" w:val="left" w:leader="none"/>
          <w:tab w:pos="1781" w:val="left" w:leader="none"/>
        </w:tabs>
        <w:spacing w:line="240" w:lineRule="auto" w:before="1" w:after="0"/>
        <w:ind w:left="1780" w:right="0" w:hanging="361"/>
        <w:jc w:val="left"/>
        <w:rPr>
          <w:sz w:val="24"/>
        </w:rPr>
      </w:pPr>
      <w:r>
        <w:rPr>
          <w:sz w:val="24"/>
        </w:rPr>
        <w:t>L'accès à votre compte postal courant</w:t>
      </w:r>
      <w:r>
        <w:rPr>
          <w:spacing w:val="2"/>
          <w:sz w:val="24"/>
        </w:rPr>
        <w:t> </w:t>
      </w:r>
      <w:r>
        <w:rPr>
          <w:sz w:val="24"/>
        </w:rPr>
        <w:t>;</w:t>
      </w:r>
    </w:p>
    <w:p>
      <w:pPr>
        <w:pStyle w:val="ListParagraph"/>
        <w:numPr>
          <w:ilvl w:val="0"/>
          <w:numId w:val="20"/>
        </w:numPr>
        <w:tabs>
          <w:tab w:pos="1780" w:val="left" w:leader="none"/>
          <w:tab w:pos="1781" w:val="left" w:leader="none"/>
        </w:tabs>
        <w:spacing w:line="240" w:lineRule="auto" w:before="129" w:after="0"/>
        <w:ind w:left="1780" w:right="0" w:hanging="361"/>
        <w:jc w:val="left"/>
        <w:rPr>
          <w:sz w:val="24"/>
        </w:rPr>
      </w:pPr>
      <w:r>
        <w:rPr>
          <w:sz w:val="24"/>
        </w:rPr>
        <w:t>Gérer votre carte de paiement monétique (EDAHABIA)</w:t>
      </w:r>
      <w:r>
        <w:rPr>
          <w:spacing w:val="7"/>
          <w:sz w:val="24"/>
        </w:rPr>
        <w:t> </w:t>
      </w:r>
      <w:r>
        <w:rPr>
          <w:sz w:val="24"/>
        </w:rPr>
        <w:t>;</w:t>
      </w:r>
    </w:p>
    <w:p>
      <w:pPr>
        <w:pStyle w:val="ListParagraph"/>
        <w:numPr>
          <w:ilvl w:val="0"/>
          <w:numId w:val="20"/>
        </w:numPr>
        <w:tabs>
          <w:tab w:pos="1780" w:val="left" w:leader="none"/>
          <w:tab w:pos="1781" w:val="left" w:leader="none"/>
        </w:tabs>
        <w:spacing w:line="240" w:lineRule="auto" w:before="130" w:after="0"/>
        <w:ind w:left="1780" w:right="0" w:hanging="361"/>
        <w:jc w:val="left"/>
        <w:rPr>
          <w:sz w:val="24"/>
        </w:rPr>
      </w:pPr>
      <w:r>
        <w:rPr>
          <w:sz w:val="24"/>
        </w:rPr>
        <w:t>Le transfert de fonds entre comptes</w:t>
      </w:r>
      <w:r>
        <w:rPr>
          <w:spacing w:val="8"/>
          <w:sz w:val="24"/>
        </w:rPr>
        <w:t> </w:t>
      </w:r>
      <w:r>
        <w:rPr>
          <w:sz w:val="24"/>
        </w:rPr>
        <w:t>;</w:t>
      </w:r>
    </w:p>
    <w:p>
      <w:pPr>
        <w:pStyle w:val="ListParagraph"/>
        <w:numPr>
          <w:ilvl w:val="0"/>
          <w:numId w:val="20"/>
        </w:numPr>
        <w:tabs>
          <w:tab w:pos="1780" w:val="left" w:leader="none"/>
          <w:tab w:pos="1781" w:val="left" w:leader="none"/>
        </w:tabs>
        <w:spacing w:line="240" w:lineRule="auto" w:before="134" w:after="0"/>
        <w:ind w:left="1780" w:right="0" w:hanging="361"/>
        <w:jc w:val="left"/>
        <w:rPr>
          <w:sz w:val="24"/>
        </w:rPr>
      </w:pPr>
      <w:r>
        <w:rPr>
          <w:sz w:val="24"/>
        </w:rPr>
        <w:t>La localisation géographique d'un GAB</w:t>
      </w:r>
      <w:r>
        <w:rPr>
          <w:spacing w:val="-1"/>
          <w:sz w:val="24"/>
        </w:rPr>
        <w:t> </w:t>
      </w:r>
      <w:r>
        <w:rPr>
          <w:sz w:val="24"/>
        </w:rPr>
        <w:t>;</w:t>
      </w:r>
    </w:p>
    <w:p>
      <w:pPr>
        <w:pStyle w:val="ListParagraph"/>
        <w:numPr>
          <w:ilvl w:val="0"/>
          <w:numId w:val="20"/>
        </w:numPr>
        <w:tabs>
          <w:tab w:pos="1780" w:val="left" w:leader="none"/>
          <w:tab w:pos="1781" w:val="left" w:leader="none"/>
        </w:tabs>
        <w:spacing w:line="240" w:lineRule="auto" w:before="130" w:after="0"/>
        <w:ind w:left="1780" w:right="0" w:hanging="361"/>
        <w:jc w:val="left"/>
        <w:rPr>
          <w:sz w:val="24"/>
        </w:rPr>
      </w:pPr>
      <w:r>
        <w:rPr>
          <w:sz w:val="24"/>
        </w:rPr>
        <w:t>Suspension de </w:t>
      </w:r>
      <w:r>
        <w:rPr>
          <w:spacing w:val="-5"/>
          <w:sz w:val="24"/>
        </w:rPr>
        <w:t>la </w:t>
      </w:r>
      <w:r>
        <w:rPr>
          <w:sz w:val="24"/>
        </w:rPr>
        <w:t>carte EDAHABIA</w:t>
      </w:r>
      <w:r>
        <w:rPr>
          <w:spacing w:val="10"/>
          <w:sz w:val="24"/>
        </w:rPr>
        <w:t> </w:t>
      </w:r>
      <w:r>
        <w:rPr>
          <w:sz w:val="24"/>
        </w:rPr>
        <w:t>;</w:t>
      </w:r>
    </w:p>
    <w:p>
      <w:pPr>
        <w:pStyle w:val="ListParagraph"/>
        <w:numPr>
          <w:ilvl w:val="0"/>
          <w:numId w:val="20"/>
        </w:numPr>
        <w:tabs>
          <w:tab w:pos="1780" w:val="left" w:leader="none"/>
          <w:tab w:pos="1781" w:val="left" w:leader="none"/>
        </w:tabs>
        <w:spacing w:line="240" w:lineRule="auto" w:before="130" w:after="0"/>
        <w:ind w:left="1780" w:right="0" w:hanging="361"/>
        <w:jc w:val="left"/>
        <w:rPr>
          <w:sz w:val="24"/>
        </w:rPr>
      </w:pPr>
      <w:r>
        <w:rPr>
          <w:sz w:val="24"/>
        </w:rPr>
        <w:t>Réactivation de </w:t>
      </w:r>
      <w:r>
        <w:rPr>
          <w:spacing w:val="-5"/>
          <w:sz w:val="24"/>
        </w:rPr>
        <w:t>la </w:t>
      </w:r>
      <w:r>
        <w:rPr>
          <w:sz w:val="24"/>
        </w:rPr>
        <w:t>carte suite à une demande de blocage de </w:t>
      </w:r>
      <w:r>
        <w:rPr>
          <w:spacing w:val="-5"/>
          <w:sz w:val="24"/>
        </w:rPr>
        <w:t>la </w:t>
      </w:r>
      <w:r>
        <w:rPr>
          <w:sz w:val="24"/>
        </w:rPr>
        <w:t>part du </w:t>
      </w:r>
      <w:r>
        <w:rPr>
          <w:spacing w:val="-3"/>
          <w:sz w:val="24"/>
        </w:rPr>
        <w:t>client</w:t>
      </w:r>
      <w:r>
        <w:rPr>
          <w:spacing w:val="30"/>
          <w:sz w:val="24"/>
        </w:rPr>
        <w:t> </w:t>
      </w:r>
      <w:r>
        <w:rPr>
          <w:sz w:val="24"/>
        </w:rPr>
        <w:t>;</w:t>
      </w:r>
    </w:p>
    <w:p>
      <w:pPr>
        <w:pStyle w:val="ListParagraph"/>
        <w:numPr>
          <w:ilvl w:val="0"/>
          <w:numId w:val="20"/>
        </w:numPr>
        <w:tabs>
          <w:tab w:pos="1780" w:val="left" w:leader="none"/>
          <w:tab w:pos="1781" w:val="left" w:leader="none"/>
        </w:tabs>
        <w:spacing w:line="352" w:lineRule="auto" w:before="130" w:after="0"/>
        <w:ind w:left="1780" w:right="321" w:hanging="360"/>
        <w:jc w:val="left"/>
        <w:rPr>
          <w:sz w:val="24"/>
        </w:rPr>
      </w:pPr>
      <w:r>
        <w:rPr>
          <w:sz w:val="24"/>
        </w:rPr>
        <w:t>Vérifier </w:t>
      </w:r>
      <w:r>
        <w:rPr>
          <w:spacing w:val="-3"/>
          <w:sz w:val="24"/>
        </w:rPr>
        <w:t>le </w:t>
      </w:r>
      <w:r>
        <w:rPr>
          <w:sz w:val="24"/>
        </w:rPr>
        <w:t>relevé succinct des dix dernières transactions réalisées avec </w:t>
      </w:r>
      <w:r>
        <w:rPr>
          <w:spacing w:val="-3"/>
          <w:sz w:val="24"/>
        </w:rPr>
        <w:t>la </w:t>
      </w:r>
      <w:r>
        <w:rPr>
          <w:sz w:val="24"/>
        </w:rPr>
        <w:t>carte EDAHABIA</w:t>
      </w:r>
    </w:p>
    <w:p>
      <w:pPr>
        <w:pStyle w:val="ListParagraph"/>
        <w:numPr>
          <w:ilvl w:val="0"/>
          <w:numId w:val="20"/>
        </w:numPr>
        <w:tabs>
          <w:tab w:pos="1780" w:val="left" w:leader="none"/>
          <w:tab w:pos="1781" w:val="left" w:leader="none"/>
        </w:tabs>
        <w:spacing w:line="240" w:lineRule="auto" w:before="12" w:after="0"/>
        <w:ind w:left="1780" w:right="0" w:hanging="361"/>
        <w:jc w:val="left"/>
        <w:rPr>
          <w:sz w:val="24"/>
        </w:rPr>
      </w:pPr>
      <w:r>
        <w:rPr>
          <w:sz w:val="24"/>
        </w:rPr>
        <w:t>Enregistrer </w:t>
      </w:r>
      <w:r>
        <w:rPr>
          <w:spacing w:val="-4"/>
          <w:sz w:val="24"/>
        </w:rPr>
        <w:t>les </w:t>
      </w:r>
      <w:r>
        <w:rPr>
          <w:sz w:val="24"/>
        </w:rPr>
        <w:t>opérations de transfert en tant que modèle pour une utilisation</w:t>
      </w:r>
      <w:r>
        <w:rPr>
          <w:spacing w:val="6"/>
          <w:sz w:val="24"/>
        </w:rPr>
        <w:t> </w:t>
      </w:r>
      <w:r>
        <w:rPr>
          <w:sz w:val="24"/>
        </w:rPr>
        <w:t>future.</w:t>
      </w:r>
    </w:p>
    <w:p>
      <w:pPr>
        <w:pStyle w:val="BodyText"/>
        <w:spacing w:before="2"/>
        <w:rPr>
          <w:sz w:val="29"/>
        </w:rPr>
      </w:pPr>
    </w:p>
    <w:p>
      <w:pPr>
        <w:pStyle w:val="BodyText"/>
        <w:ind w:left="1060"/>
        <w:jc w:val="both"/>
      </w:pPr>
      <w:r>
        <w:rPr/>
        <w:t>Et pour bénéficier du service il est nécessaire de suivre les étapes suivantes :</w:t>
      </w:r>
    </w:p>
    <w:p>
      <w:pPr>
        <w:pStyle w:val="BodyText"/>
        <w:spacing w:before="3"/>
        <w:rPr>
          <w:sz w:val="25"/>
        </w:rPr>
      </w:pPr>
    </w:p>
    <w:p>
      <w:pPr>
        <w:pStyle w:val="ListParagraph"/>
        <w:numPr>
          <w:ilvl w:val="0"/>
          <w:numId w:val="20"/>
        </w:numPr>
        <w:tabs>
          <w:tab w:pos="1780" w:val="left" w:leader="none"/>
          <w:tab w:pos="1781" w:val="left" w:leader="none"/>
        </w:tabs>
        <w:spacing w:line="355" w:lineRule="auto" w:before="0" w:after="0"/>
        <w:ind w:left="1780" w:right="3058" w:hanging="360"/>
        <w:jc w:val="left"/>
        <w:rPr>
          <w:sz w:val="24"/>
        </w:rPr>
      </w:pPr>
      <w:r>
        <w:rPr>
          <w:sz w:val="24"/>
        </w:rPr>
        <w:t>Inscrivez-vous aux services BaridiMob en suivant </w:t>
      </w:r>
      <w:r>
        <w:rPr>
          <w:spacing w:val="-3"/>
          <w:sz w:val="24"/>
        </w:rPr>
        <w:t>le </w:t>
      </w:r>
      <w:r>
        <w:rPr>
          <w:sz w:val="24"/>
        </w:rPr>
        <w:t>lien :</w:t>
      </w:r>
      <w:hyperlink r:id="rId56">
        <w:r>
          <w:rPr>
            <w:color w:val="0462C1"/>
            <w:sz w:val="24"/>
            <w:u w:val="single" w:color="0462C1"/>
          </w:rPr>
          <w:t> https://edcarte.poste.dz/fr/etapel.php</w:t>
        </w:r>
      </w:hyperlink>
    </w:p>
    <w:p>
      <w:pPr>
        <w:pStyle w:val="ListParagraph"/>
        <w:numPr>
          <w:ilvl w:val="0"/>
          <w:numId w:val="20"/>
        </w:numPr>
        <w:tabs>
          <w:tab w:pos="1780" w:val="left" w:leader="none"/>
          <w:tab w:pos="1781" w:val="left" w:leader="none"/>
        </w:tabs>
        <w:spacing w:line="350" w:lineRule="auto" w:before="7" w:after="0"/>
        <w:ind w:left="1780" w:right="321" w:hanging="360"/>
        <w:jc w:val="left"/>
        <w:rPr>
          <w:sz w:val="24"/>
        </w:rPr>
      </w:pPr>
      <w:r>
        <w:rPr>
          <w:sz w:val="24"/>
        </w:rPr>
        <w:t>Procédez à l'enregistrement en </w:t>
      </w:r>
      <w:r>
        <w:rPr>
          <w:spacing w:val="-3"/>
          <w:sz w:val="24"/>
        </w:rPr>
        <w:t>suivant les </w:t>
      </w:r>
      <w:r>
        <w:rPr>
          <w:sz w:val="24"/>
        </w:rPr>
        <w:t>étapes indiquées o Téléchargez l'application BaridiMob depuis Google Play ou Apple</w:t>
      </w:r>
      <w:r>
        <w:rPr>
          <w:spacing w:val="-4"/>
          <w:sz w:val="24"/>
        </w:rPr>
        <w:t> </w:t>
      </w:r>
      <w:r>
        <w:rPr>
          <w:sz w:val="24"/>
        </w:rPr>
        <w:t>Store.</w:t>
      </w:r>
    </w:p>
    <w:p>
      <w:pPr>
        <w:pStyle w:val="ListParagraph"/>
        <w:numPr>
          <w:ilvl w:val="0"/>
          <w:numId w:val="20"/>
        </w:numPr>
        <w:tabs>
          <w:tab w:pos="1780" w:val="left" w:leader="none"/>
          <w:tab w:pos="1781" w:val="left" w:leader="none"/>
        </w:tabs>
        <w:spacing w:line="240" w:lineRule="auto" w:before="13" w:after="0"/>
        <w:ind w:left="1780" w:right="0" w:hanging="361"/>
        <w:jc w:val="left"/>
        <w:rPr>
          <w:sz w:val="24"/>
        </w:rPr>
      </w:pPr>
      <w:r>
        <w:rPr>
          <w:sz w:val="24"/>
        </w:rPr>
        <w:t>Téléchargez l'application sur votre téléphone portable ou votre</w:t>
      </w:r>
      <w:r>
        <w:rPr>
          <w:spacing w:val="-8"/>
          <w:sz w:val="24"/>
        </w:rPr>
        <w:t> </w:t>
      </w:r>
      <w:r>
        <w:rPr>
          <w:sz w:val="24"/>
        </w:rPr>
        <w:t>tablette.</w:t>
      </w:r>
    </w:p>
    <w:p>
      <w:pPr>
        <w:pStyle w:val="ListParagraph"/>
        <w:numPr>
          <w:ilvl w:val="0"/>
          <w:numId w:val="20"/>
        </w:numPr>
        <w:tabs>
          <w:tab w:pos="1780" w:val="left" w:leader="none"/>
          <w:tab w:pos="1781" w:val="left" w:leader="none"/>
        </w:tabs>
        <w:spacing w:line="240" w:lineRule="auto" w:before="135" w:after="0"/>
        <w:ind w:left="1780" w:right="0" w:hanging="361"/>
        <w:jc w:val="left"/>
        <w:rPr>
          <w:sz w:val="24"/>
        </w:rPr>
      </w:pPr>
      <w:r>
        <w:rPr>
          <w:sz w:val="24"/>
        </w:rPr>
        <w:t>Connectez-vous à l'appli.</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shape style="position:absolute;margin-left:84.984001pt;margin-top:8.535327pt;width:144.1pt;height:.1pt;mso-position-horizontal-relative:page;mso-position-vertical-relative:paragraph;z-index:-251626496;mso-wrap-distance-left:0;mso-wrap-distance-right:0" coordorigin="1700,171" coordsize="2882,0" path="m1700,171l4581,171e" filled="false" stroked="true" strokeweight=".72003pt" strokecolor="#000000">
            <v:path arrowok="t"/>
            <v:stroke dashstyle="solid"/>
            <w10:wrap type="topAndBottom"/>
          </v:shape>
        </w:pict>
      </w:r>
    </w:p>
    <w:p>
      <w:pPr>
        <w:spacing w:before="69"/>
        <w:ind w:left="699" w:right="1944" w:firstLine="0"/>
        <w:jc w:val="left"/>
        <w:rPr>
          <w:rFonts w:ascii="Calibri" w:hAnsi="Calibri"/>
          <w:sz w:val="20"/>
        </w:rPr>
      </w:pPr>
      <w:r>
        <w:rPr>
          <w:rFonts w:ascii="Calibri" w:hAnsi="Calibri"/>
          <w:position w:val="7"/>
          <w:sz w:val="13"/>
        </w:rPr>
        <w:t>1 </w:t>
      </w:r>
      <w:r>
        <w:rPr>
          <w:rFonts w:ascii="Calibri" w:hAnsi="Calibri"/>
          <w:sz w:val="20"/>
        </w:rPr>
        <w:t>Algérie Poste, BaridiMob Web, Site officiel Algérie Poste, Algérie Poste, Alger, </w:t>
      </w:r>
      <w:hyperlink r:id="rId57">
        <w:r>
          <w:rPr>
            <w:rFonts w:ascii="Calibri" w:hAnsi="Calibri"/>
            <w:color w:val="0462C1"/>
            <w:sz w:val="20"/>
            <w:u w:val="single" w:color="0462C1"/>
          </w:rPr>
          <w:t>https://www.poste.dz/services/professional/baridimobweb</w:t>
        </w:r>
        <w:r>
          <w:rPr>
            <w:rFonts w:ascii="Calibri" w:hAnsi="Calibri"/>
            <w:sz w:val="20"/>
          </w:rPr>
          <w:t>,[consulté </w:t>
        </w:r>
      </w:hyperlink>
      <w:r>
        <w:rPr>
          <w:rFonts w:ascii="Calibri" w:hAnsi="Calibri"/>
          <w:sz w:val="20"/>
        </w:rPr>
        <w:t>le 21 mars 2025 à 22h42]</w:t>
      </w:r>
    </w:p>
    <w:p>
      <w:pPr>
        <w:spacing w:after="0"/>
        <w:jc w:val="left"/>
        <w:rPr>
          <w:rFonts w:ascii="Calibri" w:hAnsi="Calibri"/>
          <w:sz w:val="20"/>
        </w:rPr>
        <w:sectPr>
          <w:pgSz w:w="12240" w:h="15840"/>
          <w:pgMar w:header="723" w:footer="850" w:top="1080" w:bottom="1040" w:left="1000" w:right="820"/>
        </w:sectPr>
      </w:pPr>
    </w:p>
    <w:p>
      <w:pPr>
        <w:pStyle w:val="BodyText"/>
        <w:spacing w:before="2"/>
        <w:rPr>
          <w:rFonts w:ascii="Calibri"/>
          <w:sz w:val="19"/>
        </w:rPr>
      </w:pPr>
    </w:p>
    <w:p>
      <w:pPr>
        <w:pStyle w:val="Heading5"/>
        <w:numPr>
          <w:ilvl w:val="1"/>
          <w:numId w:val="13"/>
        </w:numPr>
        <w:tabs>
          <w:tab w:pos="1421" w:val="left" w:leader="none"/>
        </w:tabs>
        <w:spacing w:line="240" w:lineRule="auto" w:before="90" w:after="0"/>
        <w:ind w:left="1420" w:right="0" w:hanging="361"/>
        <w:jc w:val="left"/>
      </w:pPr>
      <w:bookmarkStart w:name="1.2" w:id="180"/>
      <w:bookmarkEnd w:id="180"/>
      <w:r>
        <w:rPr>
          <w:b w:val="0"/>
        </w:rPr>
      </w:r>
      <w:bookmarkStart w:name="2.2 Les fonctionnalités de BaridiMob" w:id="181"/>
      <w:bookmarkEnd w:id="181"/>
      <w:r>
        <w:rPr/>
        <w:t>L</w:t>
      </w:r>
      <w:r>
        <w:rPr/>
        <w:t>es fonctionnalités de</w:t>
      </w:r>
      <w:r>
        <w:rPr>
          <w:spacing w:val="3"/>
        </w:rPr>
        <w:t> </w:t>
      </w:r>
      <w:r>
        <w:rPr/>
        <w:t>BaridiMob</w:t>
      </w:r>
    </w:p>
    <w:p>
      <w:pPr>
        <w:pStyle w:val="BodyText"/>
        <w:rPr>
          <w:b/>
        </w:rPr>
      </w:pPr>
    </w:p>
    <w:p>
      <w:pPr>
        <w:pStyle w:val="ListParagraph"/>
        <w:numPr>
          <w:ilvl w:val="2"/>
          <w:numId w:val="21"/>
        </w:numPr>
        <w:tabs>
          <w:tab w:pos="2140" w:val="left" w:leader="none"/>
          <w:tab w:pos="2141" w:val="left" w:leader="none"/>
        </w:tabs>
        <w:spacing w:line="240" w:lineRule="auto" w:before="0" w:after="0"/>
        <w:ind w:left="2140" w:right="0" w:hanging="721"/>
        <w:jc w:val="left"/>
        <w:rPr>
          <w:b/>
          <w:sz w:val="24"/>
        </w:rPr>
      </w:pPr>
      <w:bookmarkStart w:name="2.2.1 Le compte :" w:id="182"/>
      <w:bookmarkEnd w:id="182"/>
      <w:r>
        <w:rPr>
          <w:b/>
          <w:sz w:val="24"/>
        </w:rPr>
        <w:t>L</w:t>
      </w:r>
      <w:r>
        <w:rPr>
          <w:b/>
          <w:sz w:val="24"/>
        </w:rPr>
        <w:t>e compte</w:t>
      </w:r>
      <w:r>
        <w:rPr>
          <w:b/>
          <w:spacing w:val="1"/>
          <w:sz w:val="24"/>
        </w:rPr>
        <w:t> </w:t>
      </w:r>
      <w:r>
        <w:rPr>
          <w:b/>
          <w:sz w:val="24"/>
        </w:rPr>
        <w:t>:</w:t>
      </w:r>
    </w:p>
    <w:p>
      <w:pPr>
        <w:pStyle w:val="BodyText"/>
        <w:spacing w:before="4"/>
        <w:rPr>
          <w:b/>
          <w:sz w:val="22"/>
        </w:rPr>
      </w:pPr>
    </w:p>
    <w:p>
      <w:pPr>
        <w:pStyle w:val="BodyText"/>
        <w:ind w:left="699"/>
      </w:pPr>
      <w:r>
        <w:rPr/>
        <w:t>Cette option vous donne la possibilité de visualiser :</w:t>
      </w:r>
    </w:p>
    <w:p>
      <w:pPr>
        <w:pStyle w:val="ListParagraph"/>
        <w:numPr>
          <w:ilvl w:val="0"/>
          <w:numId w:val="22"/>
        </w:numPr>
        <w:tabs>
          <w:tab w:pos="1420" w:val="left" w:leader="none"/>
          <w:tab w:pos="1421" w:val="left" w:leader="none"/>
        </w:tabs>
        <w:spacing w:line="240" w:lineRule="auto" w:before="144" w:after="0"/>
        <w:ind w:left="1420" w:right="0" w:hanging="361"/>
        <w:jc w:val="left"/>
        <w:rPr>
          <w:sz w:val="24"/>
        </w:rPr>
      </w:pPr>
      <w:r>
        <w:rPr>
          <w:sz w:val="24"/>
        </w:rPr>
        <w:t>Le solde de votre compte</w:t>
      </w:r>
      <w:r>
        <w:rPr>
          <w:spacing w:val="4"/>
          <w:sz w:val="24"/>
        </w:rPr>
        <w:t> </w:t>
      </w:r>
      <w:r>
        <w:rPr>
          <w:sz w:val="24"/>
        </w:rPr>
        <w:t>CCP.</w:t>
      </w:r>
    </w:p>
    <w:p>
      <w:pPr>
        <w:pStyle w:val="ListParagraph"/>
        <w:numPr>
          <w:ilvl w:val="0"/>
          <w:numId w:val="22"/>
        </w:numPr>
        <w:tabs>
          <w:tab w:pos="1420" w:val="left" w:leader="none"/>
          <w:tab w:pos="1421" w:val="left" w:leader="none"/>
        </w:tabs>
        <w:spacing w:line="240" w:lineRule="auto" w:before="133" w:after="0"/>
        <w:ind w:left="1420" w:right="0" w:hanging="361"/>
        <w:jc w:val="left"/>
        <w:rPr>
          <w:sz w:val="24"/>
        </w:rPr>
      </w:pPr>
      <w:r>
        <w:rPr>
          <w:sz w:val="24"/>
        </w:rPr>
        <w:t>La condition actuelle de votre compte</w:t>
      </w:r>
      <w:r>
        <w:rPr>
          <w:spacing w:val="-4"/>
          <w:sz w:val="24"/>
        </w:rPr>
        <w:t> </w:t>
      </w:r>
      <w:r>
        <w:rPr>
          <w:sz w:val="24"/>
        </w:rPr>
        <w:t>CCP.</w:t>
      </w:r>
    </w:p>
    <w:p>
      <w:pPr>
        <w:pStyle w:val="ListParagraph"/>
        <w:numPr>
          <w:ilvl w:val="0"/>
          <w:numId w:val="22"/>
        </w:numPr>
        <w:tabs>
          <w:tab w:pos="1420" w:val="left" w:leader="none"/>
          <w:tab w:pos="1421" w:val="left" w:leader="none"/>
        </w:tabs>
        <w:spacing w:line="240" w:lineRule="auto" w:before="133" w:after="0"/>
        <w:ind w:left="1420" w:right="0" w:hanging="361"/>
        <w:jc w:val="left"/>
        <w:rPr>
          <w:sz w:val="24"/>
        </w:rPr>
      </w:pPr>
      <w:r>
        <w:rPr>
          <w:sz w:val="24"/>
        </w:rPr>
        <w:t>Les transactions effectuées sur </w:t>
      </w:r>
      <w:r>
        <w:rPr>
          <w:spacing w:val="-5"/>
          <w:sz w:val="24"/>
        </w:rPr>
        <w:t>le </w:t>
      </w:r>
      <w:r>
        <w:rPr>
          <w:sz w:val="24"/>
        </w:rPr>
        <w:t>compte via </w:t>
      </w:r>
      <w:r>
        <w:rPr>
          <w:spacing w:val="-3"/>
          <w:sz w:val="24"/>
        </w:rPr>
        <w:t>la </w:t>
      </w:r>
      <w:r>
        <w:rPr>
          <w:sz w:val="24"/>
        </w:rPr>
        <w:t>carte</w:t>
      </w:r>
      <w:r>
        <w:rPr>
          <w:spacing w:val="16"/>
          <w:sz w:val="24"/>
        </w:rPr>
        <w:t> </w:t>
      </w:r>
      <w:r>
        <w:rPr>
          <w:sz w:val="24"/>
        </w:rPr>
        <w:t>Edahabia.</w:t>
      </w:r>
    </w:p>
    <w:p>
      <w:pPr>
        <w:pStyle w:val="BodyText"/>
        <w:spacing w:before="3"/>
        <w:rPr>
          <w:sz w:val="30"/>
        </w:rPr>
      </w:pPr>
    </w:p>
    <w:p>
      <w:pPr>
        <w:pStyle w:val="Heading5"/>
        <w:numPr>
          <w:ilvl w:val="2"/>
          <w:numId w:val="21"/>
        </w:numPr>
        <w:tabs>
          <w:tab w:pos="2140" w:val="left" w:leader="none"/>
          <w:tab w:pos="2141" w:val="left" w:leader="none"/>
        </w:tabs>
        <w:spacing w:line="240" w:lineRule="auto" w:before="0" w:after="0"/>
        <w:ind w:left="2140" w:right="0" w:hanging="721"/>
        <w:jc w:val="left"/>
      </w:pPr>
      <w:bookmarkStart w:name="2.2.2 Les cartes :" w:id="183"/>
      <w:bookmarkEnd w:id="183"/>
      <w:r>
        <w:rPr>
          <w:b w:val="0"/>
        </w:rPr>
      </w:r>
      <w:bookmarkStart w:name="2.2.2 Les cartes :" w:id="184"/>
      <w:bookmarkEnd w:id="184"/>
      <w:r>
        <w:rPr/>
        <w:t>L</w:t>
      </w:r>
      <w:r>
        <w:rPr/>
        <w:t>es cartes</w:t>
      </w:r>
      <w:r>
        <w:rPr>
          <w:spacing w:val="-1"/>
        </w:rPr>
        <w:t> </w:t>
      </w:r>
      <w:r>
        <w:rPr/>
        <w:t>:</w:t>
      </w:r>
    </w:p>
    <w:p>
      <w:pPr>
        <w:pStyle w:val="BodyText"/>
        <w:spacing w:before="3"/>
        <w:rPr>
          <w:b/>
          <w:sz w:val="22"/>
        </w:rPr>
      </w:pPr>
    </w:p>
    <w:p>
      <w:pPr>
        <w:pStyle w:val="BodyText"/>
        <w:spacing w:before="1"/>
        <w:ind w:left="699"/>
      </w:pPr>
      <w:r>
        <w:rPr/>
        <w:t>Cette option donne la possibilité de visualiser :</w:t>
      </w:r>
    </w:p>
    <w:p>
      <w:pPr>
        <w:pStyle w:val="ListParagraph"/>
        <w:numPr>
          <w:ilvl w:val="0"/>
          <w:numId w:val="22"/>
        </w:numPr>
        <w:tabs>
          <w:tab w:pos="1420" w:val="left" w:leader="none"/>
          <w:tab w:pos="1421" w:val="left" w:leader="none"/>
        </w:tabs>
        <w:spacing w:line="240" w:lineRule="auto" w:before="138" w:after="0"/>
        <w:ind w:left="1420" w:right="0" w:hanging="361"/>
        <w:jc w:val="left"/>
        <w:rPr>
          <w:sz w:val="24"/>
        </w:rPr>
      </w:pPr>
      <w:r>
        <w:rPr>
          <w:sz w:val="24"/>
        </w:rPr>
        <w:t>Le solde de votre compte</w:t>
      </w:r>
      <w:r>
        <w:rPr>
          <w:spacing w:val="4"/>
          <w:sz w:val="24"/>
        </w:rPr>
        <w:t> </w:t>
      </w:r>
      <w:r>
        <w:rPr>
          <w:sz w:val="24"/>
        </w:rPr>
        <w:t>CCP.</w:t>
      </w:r>
    </w:p>
    <w:p>
      <w:pPr>
        <w:pStyle w:val="ListParagraph"/>
        <w:numPr>
          <w:ilvl w:val="0"/>
          <w:numId w:val="22"/>
        </w:numPr>
        <w:tabs>
          <w:tab w:pos="1420" w:val="left" w:leader="none"/>
          <w:tab w:pos="1421" w:val="left" w:leader="none"/>
        </w:tabs>
        <w:spacing w:line="240" w:lineRule="auto" w:before="139" w:after="0"/>
        <w:ind w:left="1420" w:right="0" w:hanging="361"/>
        <w:jc w:val="left"/>
        <w:rPr>
          <w:sz w:val="24"/>
        </w:rPr>
      </w:pPr>
      <w:r>
        <w:rPr>
          <w:sz w:val="24"/>
        </w:rPr>
        <w:t>La situation actuelle de votre carte monétique Edahabia</w:t>
      </w:r>
    </w:p>
    <w:p>
      <w:pPr>
        <w:pStyle w:val="ListParagraph"/>
        <w:numPr>
          <w:ilvl w:val="0"/>
          <w:numId w:val="22"/>
        </w:numPr>
        <w:tabs>
          <w:tab w:pos="1420" w:val="left" w:leader="none"/>
          <w:tab w:pos="1421" w:val="left" w:leader="none"/>
        </w:tabs>
        <w:spacing w:line="240" w:lineRule="auto" w:before="138" w:after="0"/>
        <w:ind w:left="1420" w:right="0" w:hanging="361"/>
        <w:jc w:val="left"/>
        <w:rPr>
          <w:sz w:val="24"/>
        </w:rPr>
      </w:pPr>
      <w:r>
        <w:rPr>
          <w:sz w:val="24"/>
        </w:rPr>
        <w:t>Les transactions effectuées à l'aide de </w:t>
      </w:r>
      <w:r>
        <w:rPr>
          <w:spacing w:val="-5"/>
          <w:sz w:val="24"/>
        </w:rPr>
        <w:t>la </w:t>
      </w:r>
      <w:r>
        <w:rPr>
          <w:sz w:val="24"/>
        </w:rPr>
        <w:t>carte</w:t>
      </w:r>
      <w:r>
        <w:rPr>
          <w:spacing w:val="16"/>
          <w:sz w:val="24"/>
        </w:rPr>
        <w:t> </w:t>
      </w:r>
      <w:r>
        <w:rPr>
          <w:sz w:val="24"/>
        </w:rPr>
        <w:t>Edahabia.</w:t>
      </w:r>
    </w:p>
    <w:p>
      <w:pPr>
        <w:pStyle w:val="ListParagraph"/>
        <w:numPr>
          <w:ilvl w:val="0"/>
          <w:numId w:val="22"/>
        </w:numPr>
        <w:tabs>
          <w:tab w:pos="1420" w:val="left" w:leader="none"/>
          <w:tab w:pos="1421" w:val="left" w:leader="none"/>
        </w:tabs>
        <w:spacing w:line="240" w:lineRule="auto" w:before="133" w:after="0"/>
        <w:ind w:left="1420" w:right="0" w:hanging="361"/>
        <w:jc w:val="left"/>
        <w:rPr>
          <w:sz w:val="24"/>
        </w:rPr>
      </w:pPr>
      <w:r>
        <w:rPr>
          <w:sz w:val="24"/>
        </w:rPr>
        <w:t>Les limites de votre</w:t>
      </w:r>
      <w:r>
        <w:rPr>
          <w:spacing w:val="5"/>
          <w:sz w:val="24"/>
        </w:rPr>
        <w:t> </w:t>
      </w:r>
      <w:r>
        <w:rPr>
          <w:sz w:val="24"/>
        </w:rPr>
        <w:t>carte.</w:t>
      </w:r>
    </w:p>
    <w:p>
      <w:pPr>
        <w:pStyle w:val="ListParagraph"/>
        <w:numPr>
          <w:ilvl w:val="0"/>
          <w:numId w:val="22"/>
        </w:numPr>
        <w:tabs>
          <w:tab w:pos="1420" w:val="left" w:leader="none"/>
          <w:tab w:pos="1421" w:val="left" w:leader="none"/>
        </w:tabs>
        <w:spacing w:line="240" w:lineRule="auto" w:before="138" w:after="0"/>
        <w:ind w:left="1420" w:right="0" w:hanging="361"/>
        <w:jc w:val="left"/>
        <w:rPr>
          <w:sz w:val="24"/>
        </w:rPr>
      </w:pPr>
      <w:r>
        <w:rPr>
          <w:sz w:val="24"/>
        </w:rPr>
        <w:t>Interruption et rétablissement suite à une interruption demandée par </w:t>
      </w:r>
      <w:r>
        <w:rPr>
          <w:spacing w:val="-5"/>
          <w:sz w:val="24"/>
        </w:rPr>
        <w:t>le</w:t>
      </w:r>
      <w:r>
        <w:rPr>
          <w:spacing w:val="12"/>
          <w:sz w:val="24"/>
        </w:rPr>
        <w:t> </w:t>
      </w:r>
      <w:r>
        <w:rPr>
          <w:sz w:val="24"/>
        </w:rPr>
        <w:t>client.</w:t>
      </w:r>
    </w:p>
    <w:p>
      <w:pPr>
        <w:pStyle w:val="ListParagraph"/>
        <w:numPr>
          <w:ilvl w:val="0"/>
          <w:numId w:val="22"/>
        </w:numPr>
        <w:tabs>
          <w:tab w:pos="1420" w:val="left" w:leader="none"/>
          <w:tab w:pos="1421" w:val="left" w:leader="none"/>
        </w:tabs>
        <w:spacing w:line="240" w:lineRule="auto" w:before="134" w:after="0"/>
        <w:ind w:left="1420" w:right="0" w:hanging="361"/>
        <w:jc w:val="left"/>
        <w:rPr>
          <w:sz w:val="24"/>
        </w:rPr>
      </w:pPr>
      <w:r>
        <w:rPr>
          <w:sz w:val="24"/>
        </w:rPr>
        <w:t>Le virement : Effectuer des virements de compte à compte</w:t>
      </w:r>
      <w:r>
        <w:rPr>
          <w:spacing w:val="2"/>
          <w:sz w:val="24"/>
        </w:rPr>
        <w:t> </w:t>
      </w:r>
      <w:r>
        <w:rPr>
          <w:sz w:val="24"/>
        </w:rPr>
        <w:t>CCP</w:t>
      </w:r>
    </w:p>
    <w:p>
      <w:pPr>
        <w:pStyle w:val="BodyText"/>
        <w:spacing w:before="2"/>
        <w:rPr>
          <w:sz w:val="30"/>
        </w:rPr>
      </w:pPr>
    </w:p>
    <w:p>
      <w:pPr>
        <w:pStyle w:val="Heading5"/>
        <w:numPr>
          <w:ilvl w:val="2"/>
          <w:numId w:val="21"/>
        </w:numPr>
        <w:tabs>
          <w:tab w:pos="2140" w:val="left" w:leader="none"/>
          <w:tab w:pos="2141" w:val="left" w:leader="none"/>
        </w:tabs>
        <w:spacing w:line="240" w:lineRule="auto" w:before="0" w:after="0"/>
        <w:ind w:left="2140" w:right="0" w:hanging="721"/>
        <w:jc w:val="left"/>
      </w:pPr>
      <w:bookmarkStart w:name="2.2.3 Le transfert d’argent :" w:id="185"/>
      <w:bookmarkEnd w:id="185"/>
      <w:r>
        <w:rPr>
          <w:b w:val="0"/>
        </w:rPr>
      </w:r>
      <w:bookmarkStart w:name="2.2.3 Le transfert d’argent :" w:id="186"/>
      <w:bookmarkEnd w:id="186"/>
      <w:r>
        <w:rPr/>
        <w:t>L</w:t>
      </w:r>
      <w:r>
        <w:rPr/>
        <w:t>e transfert d’argent</w:t>
      </w:r>
      <w:r>
        <w:rPr>
          <w:spacing w:val="8"/>
        </w:rPr>
        <w:t> </w:t>
      </w:r>
      <w:r>
        <w:rPr/>
        <w:t>:</w:t>
      </w:r>
    </w:p>
    <w:p>
      <w:pPr>
        <w:pStyle w:val="ListParagraph"/>
        <w:numPr>
          <w:ilvl w:val="0"/>
          <w:numId w:val="22"/>
        </w:numPr>
        <w:tabs>
          <w:tab w:pos="1420" w:val="left" w:leader="none"/>
          <w:tab w:pos="1421" w:val="left" w:leader="none"/>
        </w:tabs>
        <w:spacing w:line="240" w:lineRule="auto" w:before="134" w:after="0"/>
        <w:ind w:left="1420" w:right="0" w:hanging="361"/>
        <w:jc w:val="left"/>
        <w:rPr>
          <w:sz w:val="24"/>
        </w:rPr>
      </w:pPr>
      <w:r>
        <w:rPr>
          <w:sz w:val="24"/>
        </w:rPr>
        <w:t>Réaliser des transferts de fonds de votre compte CCP vers d'autres comptes</w:t>
      </w:r>
      <w:r>
        <w:rPr>
          <w:spacing w:val="-6"/>
          <w:sz w:val="24"/>
        </w:rPr>
        <w:t> </w:t>
      </w:r>
      <w:r>
        <w:rPr>
          <w:sz w:val="24"/>
        </w:rPr>
        <w:t>CCP.</w:t>
      </w:r>
    </w:p>
    <w:p>
      <w:pPr>
        <w:pStyle w:val="ListParagraph"/>
        <w:numPr>
          <w:ilvl w:val="0"/>
          <w:numId w:val="22"/>
        </w:numPr>
        <w:tabs>
          <w:tab w:pos="1420" w:val="left" w:leader="none"/>
          <w:tab w:pos="1421" w:val="left" w:leader="none"/>
        </w:tabs>
        <w:spacing w:line="240" w:lineRule="auto" w:before="138" w:after="0"/>
        <w:ind w:left="1420" w:right="0" w:hanging="361"/>
        <w:jc w:val="left"/>
        <w:rPr>
          <w:sz w:val="24"/>
        </w:rPr>
      </w:pPr>
      <w:r>
        <w:rPr>
          <w:sz w:val="24"/>
        </w:rPr>
        <w:t>La personne qui reçoit votre transfert doit </w:t>
      </w:r>
      <w:r>
        <w:rPr>
          <w:spacing w:val="-3"/>
          <w:sz w:val="24"/>
        </w:rPr>
        <w:t>avoir </w:t>
      </w:r>
      <w:r>
        <w:rPr>
          <w:sz w:val="24"/>
        </w:rPr>
        <w:t>une carte monétique</w:t>
      </w:r>
      <w:r>
        <w:rPr>
          <w:spacing w:val="5"/>
          <w:sz w:val="24"/>
        </w:rPr>
        <w:t> </w:t>
      </w:r>
      <w:r>
        <w:rPr>
          <w:sz w:val="24"/>
        </w:rPr>
        <w:t>(EDAHABIA).</w:t>
      </w:r>
    </w:p>
    <w:p>
      <w:pPr>
        <w:pStyle w:val="ListParagraph"/>
        <w:numPr>
          <w:ilvl w:val="0"/>
          <w:numId w:val="22"/>
        </w:numPr>
        <w:tabs>
          <w:tab w:pos="1420" w:val="left" w:leader="none"/>
          <w:tab w:pos="1421" w:val="left" w:leader="none"/>
        </w:tabs>
        <w:spacing w:line="348" w:lineRule="auto" w:before="138" w:after="0"/>
        <w:ind w:left="1420" w:right="322" w:hanging="360"/>
        <w:jc w:val="left"/>
        <w:rPr>
          <w:sz w:val="24"/>
        </w:rPr>
      </w:pPr>
      <w:r>
        <w:rPr>
          <w:sz w:val="24"/>
        </w:rPr>
        <w:t>Le total de vos transferts </w:t>
      </w:r>
      <w:r>
        <w:rPr>
          <w:spacing w:val="-3"/>
          <w:sz w:val="24"/>
        </w:rPr>
        <w:t>ne </w:t>
      </w:r>
      <w:r>
        <w:rPr>
          <w:sz w:val="24"/>
        </w:rPr>
        <w:t>doit pas excéder </w:t>
      </w:r>
      <w:r>
        <w:rPr>
          <w:spacing w:val="-5"/>
          <w:sz w:val="24"/>
        </w:rPr>
        <w:t>le </w:t>
      </w:r>
      <w:r>
        <w:rPr>
          <w:sz w:val="24"/>
        </w:rPr>
        <w:t>plafond quotidien établi dans les limites de </w:t>
      </w:r>
      <w:r>
        <w:rPr>
          <w:spacing w:val="-3"/>
          <w:sz w:val="24"/>
        </w:rPr>
        <w:t>la</w:t>
      </w:r>
      <w:r>
        <w:rPr>
          <w:spacing w:val="1"/>
          <w:sz w:val="24"/>
        </w:rPr>
        <w:t> </w:t>
      </w:r>
      <w:r>
        <w:rPr>
          <w:sz w:val="24"/>
        </w:rPr>
        <w:t>carte.</w:t>
      </w:r>
    </w:p>
    <w:p>
      <w:pPr>
        <w:pStyle w:val="ListParagraph"/>
        <w:numPr>
          <w:ilvl w:val="0"/>
          <w:numId w:val="22"/>
        </w:numPr>
        <w:tabs>
          <w:tab w:pos="1420" w:val="left" w:leader="none"/>
          <w:tab w:pos="1421" w:val="left" w:leader="none"/>
        </w:tabs>
        <w:spacing w:line="240" w:lineRule="auto" w:before="14" w:after="0"/>
        <w:ind w:left="1420" w:right="0" w:hanging="361"/>
        <w:jc w:val="left"/>
        <w:rPr>
          <w:sz w:val="24"/>
        </w:rPr>
      </w:pPr>
      <w:r>
        <w:rPr>
          <w:sz w:val="24"/>
        </w:rPr>
        <w:t>Chaque transaction de virement est soumise à une taxe qui varie selon </w:t>
      </w:r>
      <w:r>
        <w:rPr>
          <w:spacing w:val="-3"/>
          <w:sz w:val="24"/>
        </w:rPr>
        <w:t>le </w:t>
      </w:r>
      <w:r>
        <w:rPr>
          <w:sz w:val="24"/>
        </w:rPr>
        <w:t>montant</w:t>
      </w:r>
      <w:r>
        <w:rPr>
          <w:spacing w:val="-11"/>
          <w:sz w:val="24"/>
        </w:rPr>
        <w:t> </w:t>
      </w:r>
      <w:r>
        <w:rPr>
          <w:sz w:val="24"/>
        </w:rPr>
        <w:t>indiqué.</w:t>
      </w:r>
    </w:p>
    <w:p>
      <w:pPr>
        <w:pStyle w:val="BodyText"/>
        <w:spacing w:before="2"/>
        <w:rPr>
          <w:sz w:val="30"/>
        </w:rPr>
      </w:pPr>
    </w:p>
    <w:p>
      <w:pPr>
        <w:pStyle w:val="ListParagraph"/>
        <w:numPr>
          <w:ilvl w:val="1"/>
          <w:numId w:val="13"/>
        </w:numPr>
        <w:tabs>
          <w:tab w:pos="1421" w:val="left" w:leader="none"/>
        </w:tabs>
        <w:spacing w:line="475" w:lineRule="auto" w:before="1" w:after="0"/>
        <w:ind w:left="699" w:right="2513" w:firstLine="360"/>
        <w:jc w:val="left"/>
        <w:rPr>
          <w:sz w:val="24"/>
        </w:rPr>
      </w:pPr>
      <w:r>
        <w:rPr/>
        <w:pict>
          <v:shape style="position:absolute;margin-left:84.984001pt;margin-top:51.573143pt;width:468.95pt;height:66.3pt;mso-position-horizontal-relative:page;mso-position-vertical-relative:paragraph;z-index:251691008" type="#_x0000_t202" filled="false" stroked="false">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13"/>
                    <w:gridCol w:w="2152"/>
                  </w:tblGrid>
                  <w:tr>
                    <w:trPr>
                      <w:trHeight w:val="316" w:hRule="atLeast"/>
                    </w:trPr>
                    <w:tc>
                      <w:tcPr>
                        <w:tcW w:w="7213" w:type="dxa"/>
                        <w:shd w:val="clear" w:color="auto" w:fill="D4DCE3"/>
                      </w:tcPr>
                      <w:p>
                        <w:pPr>
                          <w:pStyle w:val="TableParagraph"/>
                          <w:spacing w:line="238" w:lineRule="exact" w:before="58"/>
                          <w:ind w:left="71"/>
                          <w:jc w:val="left"/>
                          <w:rPr>
                            <w:sz w:val="22"/>
                          </w:rPr>
                        </w:pPr>
                        <w:r>
                          <w:rPr>
                            <w:sz w:val="22"/>
                          </w:rPr>
                          <w:t>Nombre de nouveaux abonnés BARIDIMOB en 2024</w:t>
                        </w:r>
                      </w:p>
                    </w:tc>
                    <w:tc>
                      <w:tcPr>
                        <w:tcW w:w="2152" w:type="dxa"/>
                        <w:shd w:val="clear" w:color="auto" w:fill="D4DCE3"/>
                      </w:tcPr>
                      <w:p>
                        <w:pPr>
                          <w:pStyle w:val="TableParagraph"/>
                          <w:spacing w:line="238" w:lineRule="exact" w:before="58"/>
                          <w:ind w:left="632"/>
                          <w:jc w:val="left"/>
                          <w:rPr>
                            <w:sz w:val="22"/>
                          </w:rPr>
                        </w:pPr>
                        <w:r>
                          <w:rPr>
                            <w:sz w:val="22"/>
                          </w:rPr>
                          <w:t>1 351 431</w:t>
                        </w:r>
                      </w:p>
                    </w:tc>
                  </w:tr>
                  <w:tr>
                    <w:trPr>
                      <w:trHeight w:val="321" w:hRule="atLeast"/>
                    </w:trPr>
                    <w:tc>
                      <w:tcPr>
                        <w:tcW w:w="7213" w:type="dxa"/>
                      </w:tcPr>
                      <w:p>
                        <w:pPr>
                          <w:pStyle w:val="TableParagraph"/>
                          <w:spacing w:line="238" w:lineRule="exact" w:before="63"/>
                          <w:ind w:left="71"/>
                          <w:jc w:val="left"/>
                          <w:rPr>
                            <w:sz w:val="22"/>
                          </w:rPr>
                        </w:pPr>
                        <w:r>
                          <w:rPr>
                            <w:sz w:val="22"/>
                          </w:rPr>
                          <w:t>Nombre total d'abonnés au service BARIDIMOB en 2024</w:t>
                        </w:r>
                      </w:p>
                    </w:tc>
                    <w:tc>
                      <w:tcPr>
                        <w:tcW w:w="2152" w:type="dxa"/>
                      </w:tcPr>
                      <w:p>
                        <w:pPr>
                          <w:pStyle w:val="TableParagraph"/>
                          <w:spacing w:line="238" w:lineRule="exact" w:before="63"/>
                          <w:ind w:left="580"/>
                          <w:jc w:val="left"/>
                          <w:rPr>
                            <w:sz w:val="22"/>
                          </w:rPr>
                        </w:pPr>
                        <w:r>
                          <w:rPr>
                            <w:sz w:val="22"/>
                          </w:rPr>
                          <w:t>51 315 019</w:t>
                        </w:r>
                      </w:p>
                    </w:tc>
                  </w:tr>
                  <w:tr>
                    <w:trPr>
                      <w:trHeight w:val="316" w:hRule="atLeast"/>
                    </w:trPr>
                    <w:tc>
                      <w:tcPr>
                        <w:tcW w:w="7213" w:type="dxa"/>
                        <w:shd w:val="clear" w:color="auto" w:fill="D4DCE3"/>
                      </w:tcPr>
                      <w:p>
                        <w:pPr>
                          <w:pStyle w:val="TableParagraph"/>
                          <w:spacing w:line="238" w:lineRule="exact" w:before="58"/>
                          <w:ind w:left="71"/>
                          <w:jc w:val="left"/>
                          <w:rPr>
                            <w:sz w:val="22"/>
                          </w:rPr>
                        </w:pPr>
                        <w:r>
                          <w:rPr>
                            <w:sz w:val="22"/>
                          </w:rPr>
                          <w:t>Nombre de nouveaux abonnés BARIDIMOB jusqu’à Avril 2025</w:t>
                        </w:r>
                      </w:p>
                    </w:tc>
                    <w:tc>
                      <w:tcPr>
                        <w:tcW w:w="2152" w:type="dxa"/>
                        <w:shd w:val="clear" w:color="auto" w:fill="D4DCE3"/>
                      </w:tcPr>
                      <w:p>
                        <w:pPr>
                          <w:pStyle w:val="TableParagraph"/>
                          <w:spacing w:line="238" w:lineRule="exact" w:before="58"/>
                          <w:ind w:left="714"/>
                          <w:jc w:val="left"/>
                          <w:rPr>
                            <w:sz w:val="22"/>
                          </w:rPr>
                        </w:pPr>
                        <w:r>
                          <w:rPr>
                            <w:sz w:val="22"/>
                          </w:rPr>
                          <w:t>346 038</w:t>
                        </w:r>
                      </w:p>
                    </w:tc>
                  </w:tr>
                  <w:tr>
                    <w:trPr>
                      <w:trHeight w:val="321" w:hRule="atLeast"/>
                    </w:trPr>
                    <w:tc>
                      <w:tcPr>
                        <w:tcW w:w="7213" w:type="dxa"/>
                      </w:tcPr>
                      <w:p>
                        <w:pPr>
                          <w:pStyle w:val="TableParagraph"/>
                          <w:spacing w:line="243" w:lineRule="exact" w:before="58"/>
                          <w:ind w:left="71"/>
                          <w:jc w:val="left"/>
                          <w:rPr>
                            <w:sz w:val="22"/>
                          </w:rPr>
                        </w:pPr>
                        <w:r>
                          <w:rPr>
                            <w:sz w:val="22"/>
                          </w:rPr>
                          <w:t>Nombre total d'abonnés au service BARIDIMOB jusqu’à Avril 2025</w:t>
                        </w:r>
                      </w:p>
                    </w:tc>
                    <w:tc>
                      <w:tcPr>
                        <w:tcW w:w="2152" w:type="dxa"/>
                      </w:tcPr>
                      <w:p>
                        <w:pPr>
                          <w:pStyle w:val="TableParagraph"/>
                          <w:spacing w:line="243" w:lineRule="exact" w:before="58"/>
                          <w:ind w:left="580"/>
                          <w:jc w:val="left"/>
                          <w:rPr>
                            <w:sz w:val="22"/>
                          </w:rPr>
                        </w:pPr>
                        <w:r>
                          <w:rPr>
                            <w:sz w:val="22"/>
                          </w:rPr>
                          <w:t>20 169 863</w:t>
                        </w:r>
                      </w:p>
                    </w:tc>
                  </w:tr>
                </w:tbl>
                <w:p>
                  <w:pPr>
                    <w:pStyle w:val="BodyText"/>
                  </w:pPr>
                </w:p>
              </w:txbxContent>
            </v:textbox>
            <w10:wrap type="none"/>
          </v:shape>
        </w:pict>
      </w:r>
      <w:bookmarkStart w:name="2.3 Statistiques d’utilisation du servic" w:id="187"/>
      <w:bookmarkEnd w:id="187"/>
      <w:r>
        <w:rPr/>
      </w:r>
      <w:bookmarkStart w:name="2.3 Statistiques d’utilisation du servic" w:id="188"/>
      <w:bookmarkEnd w:id="188"/>
      <w:r>
        <w:rPr>
          <w:b/>
          <w:sz w:val="24"/>
        </w:rPr>
        <w:t>S</w:t>
      </w:r>
      <w:r>
        <w:rPr>
          <w:b/>
          <w:sz w:val="24"/>
        </w:rPr>
        <w:t>tatistiques d’utilisation du service BaridiMob en 2024 et 2025</w:t>
      </w:r>
      <w:bookmarkStart w:name="_bookmark14" w:id="189"/>
      <w:bookmarkEnd w:id="189"/>
      <w:r>
        <w:rPr>
          <w:b/>
          <w:sz w:val="24"/>
        </w:rPr>
      </w:r>
      <w:r>
        <w:rPr>
          <w:b/>
          <w:color w:val="44536A"/>
          <w:sz w:val="24"/>
        </w:rPr>
        <w:t> Tableau 1 : </w:t>
      </w:r>
      <w:r>
        <w:rPr>
          <w:color w:val="44536A"/>
          <w:sz w:val="24"/>
        </w:rPr>
        <w:t>Statistique d’utilisation du service BaridiMob en 2924 et</w:t>
      </w:r>
      <w:r>
        <w:rPr>
          <w:color w:val="44536A"/>
          <w:spacing w:val="-21"/>
          <w:sz w:val="24"/>
        </w:rPr>
        <w:t> </w:t>
      </w:r>
      <w:r>
        <w:rPr>
          <w:color w:val="44536A"/>
          <w:sz w:val="24"/>
        </w:rPr>
        <w:t>2025</w:t>
      </w:r>
    </w:p>
    <w:p>
      <w:pPr>
        <w:pStyle w:val="BodyText"/>
        <w:rPr>
          <w:sz w:val="26"/>
        </w:rPr>
      </w:pPr>
    </w:p>
    <w:p>
      <w:pPr>
        <w:pStyle w:val="BodyText"/>
        <w:rPr>
          <w:sz w:val="26"/>
        </w:rPr>
      </w:pPr>
    </w:p>
    <w:p>
      <w:pPr>
        <w:pStyle w:val="BodyText"/>
        <w:rPr>
          <w:sz w:val="26"/>
        </w:rPr>
      </w:pPr>
    </w:p>
    <w:p>
      <w:pPr>
        <w:pStyle w:val="BodyText"/>
        <w:spacing w:before="5"/>
        <w:rPr>
          <w:sz w:val="31"/>
        </w:rPr>
      </w:pPr>
    </w:p>
    <w:p>
      <w:pPr>
        <w:spacing w:before="0"/>
        <w:ind w:left="3605" w:right="0" w:firstLine="0"/>
        <w:jc w:val="left"/>
        <w:rPr>
          <w:sz w:val="22"/>
        </w:rPr>
      </w:pPr>
      <w:r>
        <w:rPr>
          <w:b/>
          <w:sz w:val="22"/>
        </w:rPr>
        <w:t>Source </w:t>
      </w:r>
      <w:r>
        <w:rPr>
          <w:sz w:val="22"/>
        </w:rPr>
        <w:t>: Algérie Poste, données internes</w:t>
      </w:r>
    </w:p>
    <w:p>
      <w:pPr>
        <w:pStyle w:val="BodyText"/>
        <w:spacing w:line="362" w:lineRule="auto" w:before="122"/>
        <w:ind w:left="699" w:right="238" w:firstLine="360"/>
      </w:pPr>
      <w:r>
        <w:rPr/>
        <w:t>Ce tableau présente des statistiques relatives au service BARIDIMOB, ce service a enregistré en 2024 une croissance notable avec 1 351 431 nouveaux abonnés.</w:t>
      </w:r>
    </w:p>
    <w:p>
      <w:pPr>
        <w:spacing w:after="0" w:line="362" w:lineRule="auto"/>
        <w:sectPr>
          <w:pgSz w:w="12240" w:h="15840"/>
          <w:pgMar w:header="723" w:footer="850" w:top="1080" w:bottom="1040" w:left="1000" w:right="820"/>
        </w:sectPr>
      </w:pPr>
    </w:p>
    <w:p>
      <w:pPr>
        <w:pStyle w:val="BodyText"/>
        <w:spacing w:before="6"/>
        <w:rPr>
          <w:sz w:val="19"/>
        </w:rPr>
      </w:pPr>
    </w:p>
    <w:p>
      <w:pPr>
        <w:pStyle w:val="BodyText"/>
        <w:spacing w:line="362" w:lineRule="auto" w:before="90"/>
        <w:ind w:left="699" w:right="327" w:firstLine="360"/>
        <w:jc w:val="both"/>
      </w:pPr>
      <w:r>
        <w:rPr/>
        <w:t>Au cours des quatre premiers mois de 2025, la dynamique de croissance se poursuit avec 346 038 nouveaux abonnés, témoignant d’un intérêt constant et d’une adoption progressive du service par les utilisateurs.</w:t>
      </w:r>
    </w:p>
    <w:p>
      <w:pPr>
        <w:pStyle w:val="Heading5"/>
        <w:numPr>
          <w:ilvl w:val="0"/>
          <w:numId w:val="13"/>
        </w:numPr>
        <w:tabs>
          <w:tab w:pos="1315" w:val="left" w:leader="none"/>
        </w:tabs>
        <w:spacing w:line="240" w:lineRule="auto" w:before="156" w:after="0"/>
        <w:ind w:left="1314" w:right="0" w:hanging="433"/>
        <w:jc w:val="both"/>
      </w:pPr>
      <w:bookmarkStart w:name="3. Les défis rencontrés par BaridiMob" w:id="190"/>
      <w:bookmarkEnd w:id="190"/>
      <w:r>
        <w:rPr>
          <w:b w:val="0"/>
        </w:rPr>
      </w:r>
      <w:bookmarkStart w:name="3. Les défis rencontrés par BaridiMob" w:id="191"/>
      <w:bookmarkEnd w:id="191"/>
      <w:r>
        <w:rPr/>
        <w:t>L</w:t>
      </w:r>
      <w:r>
        <w:rPr/>
        <w:t>es défis rencontrés par BaridiMob</w:t>
      </w:r>
    </w:p>
    <w:p>
      <w:pPr>
        <w:pStyle w:val="BodyText"/>
        <w:spacing w:before="9"/>
        <w:rPr>
          <w:b/>
          <w:sz w:val="22"/>
        </w:rPr>
      </w:pPr>
    </w:p>
    <w:p>
      <w:pPr>
        <w:pStyle w:val="BodyText"/>
        <w:spacing w:line="362" w:lineRule="auto"/>
        <w:ind w:left="699" w:right="324" w:firstLine="360"/>
        <w:jc w:val="both"/>
      </w:pPr>
      <w:r>
        <w:rPr/>
        <w:t>D’après notre étude nous avons constaté que BaridiMob fait face à plusieurs défis qui freinent l’optimisation de l’expérience utilisateur. Ces obstacles se manifestent à différents niveaux :</w:t>
      </w:r>
    </w:p>
    <w:p>
      <w:pPr>
        <w:pStyle w:val="Heading5"/>
        <w:numPr>
          <w:ilvl w:val="0"/>
          <w:numId w:val="23"/>
        </w:numPr>
        <w:tabs>
          <w:tab w:pos="1421" w:val="left" w:leader="none"/>
        </w:tabs>
        <w:spacing w:line="240" w:lineRule="auto" w:before="156" w:after="0"/>
        <w:ind w:left="1420" w:right="0" w:hanging="361"/>
        <w:jc w:val="left"/>
      </w:pPr>
      <w:bookmarkStart w:name="A. Problèmes techniques et stabilité du " w:id="192"/>
      <w:bookmarkEnd w:id="192"/>
      <w:r>
        <w:rPr>
          <w:b w:val="0"/>
        </w:rPr>
      </w:r>
      <w:bookmarkStart w:name="A. Problèmes techniques et stabilité du " w:id="193"/>
      <w:bookmarkEnd w:id="193"/>
      <w:r>
        <w:rPr/>
        <w:t>P</w:t>
      </w:r>
      <w:r>
        <w:rPr/>
        <w:t>roblèmes techniques et stabilité du service</w:t>
      </w:r>
    </w:p>
    <w:p>
      <w:pPr>
        <w:pStyle w:val="BodyText"/>
        <w:spacing w:before="3"/>
        <w:rPr>
          <w:b/>
          <w:sz w:val="22"/>
        </w:rPr>
      </w:pPr>
    </w:p>
    <w:p>
      <w:pPr>
        <w:pStyle w:val="ListParagraph"/>
        <w:numPr>
          <w:ilvl w:val="1"/>
          <w:numId w:val="23"/>
        </w:numPr>
        <w:tabs>
          <w:tab w:pos="1781" w:val="left" w:leader="none"/>
        </w:tabs>
        <w:spacing w:line="240" w:lineRule="auto" w:before="1" w:after="0"/>
        <w:ind w:left="1780" w:right="0" w:hanging="361"/>
        <w:jc w:val="both"/>
        <w:rPr>
          <w:sz w:val="24"/>
        </w:rPr>
      </w:pPr>
      <w:r>
        <w:rPr>
          <w:sz w:val="24"/>
        </w:rPr>
        <w:t>Coupures fréquentes et interruption du</w:t>
      </w:r>
      <w:r>
        <w:rPr>
          <w:spacing w:val="-1"/>
          <w:sz w:val="24"/>
        </w:rPr>
        <w:t> </w:t>
      </w:r>
      <w:r>
        <w:rPr>
          <w:sz w:val="24"/>
        </w:rPr>
        <w:t>service</w:t>
      </w:r>
    </w:p>
    <w:p>
      <w:pPr>
        <w:pStyle w:val="ListParagraph"/>
        <w:numPr>
          <w:ilvl w:val="1"/>
          <w:numId w:val="23"/>
        </w:numPr>
        <w:tabs>
          <w:tab w:pos="1781" w:val="left" w:leader="none"/>
        </w:tabs>
        <w:spacing w:line="355" w:lineRule="auto" w:before="134" w:after="0"/>
        <w:ind w:left="1780" w:right="319" w:hanging="360"/>
        <w:jc w:val="both"/>
        <w:rPr>
          <w:sz w:val="24"/>
        </w:rPr>
      </w:pPr>
      <w:r>
        <w:rPr>
          <w:sz w:val="24"/>
        </w:rPr>
        <w:t>Le problème de </w:t>
      </w:r>
      <w:r>
        <w:rPr>
          <w:spacing w:val="-4"/>
          <w:sz w:val="24"/>
        </w:rPr>
        <w:t>la </w:t>
      </w:r>
      <w:r>
        <w:rPr>
          <w:sz w:val="24"/>
        </w:rPr>
        <w:t>surcharge dans </w:t>
      </w:r>
      <w:r>
        <w:rPr>
          <w:spacing w:val="-3"/>
          <w:sz w:val="24"/>
        </w:rPr>
        <w:t>les </w:t>
      </w:r>
      <w:r>
        <w:rPr>
          <w:sz w:val="24"/>
        </w:rPr>
        <w:t>journées de pic qui provoque une saturation des serveurs et des bugs dans l’application (début du mois flexy, </w:t>
      </w:r>
      <w:r>
        <w:rPr>
          <w:spacing w:val="-5"/>
          <w:sz w:val="24"/>
        </w:rPr>
        <w:t>la </w:t>
      </w:r>
      <w:r>
        <w:rPr>
          <w:sz w:val="24"/>
        </w:rPr>
        <w:t>paie, paiement des factures, recharge</w:t>
      </w:r>
      <w:r>
        <w:rPr>
          <w:spacing w:val="9"/>
          <w:sz w:val="24"/>
        </w:rPr>
        <w:t> </w:t>
      </w:r>
      <w:r>
        <w:rPr>
          <w:sz w:val="24"/>
        </w:rPr>
        <w:t>mobile…).</w:t>
      </w:r>
    </w:p>
    <w:p>
      <w:pPr>
        <w:pStyle w:val="ListParagraph"/>
        <w:numPr>
          <w:ilvl w:val="1"/>
          <w:numId w:val="23"/>
        </w:numPr>
        <w:tabs>
          <w:tab w:pos="1781" w:val="left" w:leader="none"/>
        </w:tabs>
        <w:spacing w:line="357" w:lineRule="auto" w:before="7" w:after="0"/>
        <w:ind w:left="1780" w:right="310" w:hanging="360"/>
        <w:jc w:val="both"/>
        <w:rPr>
          <w:sz w:val="24"/>
        </w:rPr>
      </w:pPr>
      <w:r>
        <w:rPr>
          <w:sz w:val="24"/>
        </w:rPr>
        <w:t>Bugs de l’application et </w:t>
      </w:r>
      <w:r>
        <w:rPr>
          <w:spacing w:val="-4"/>
          <w:sz w:val="24"/>
        </w:rPr>
        <w:t>les</w:t>
      </w:r>
      <w:r>
        <w:rPr>
          <w:spacing w:val="52"/>
          <w:sz w:val="24"/>
        </w:rPr>
        <w:t> </w:t>
      </w:r>
      <w:r>
        <w:rPr>
          <w:sz w:val="24"/>
        </w:rPr>
        <w:t>dysfonctionnements rencontrés par </w:t>
      </w:r>
      <w:r>
        <w:rPr>
          <w:spacing w:val="-3"/>
          <w:sz w:val="24"/>
        </w:rPr>
        <w:t>les </w:t>
      </w:r>
      <w:r>
        <w:rPr>
          <w:sz w:val="24"/>
        </w:rPr>
        <w:t>utilisateurs (transactions échouées, problème de connexion, erreurs d'affichage du solde, lenteur excessive de l'application, fermeture inopinée de l’application, mise à jour de l'application sans avertissement, </w:t>
      </w:r>
      <w:r>
        <w:rPr>
          <w:spacing w:val="-5"/>
          <w:sz w:val="24"/>
        </w:rPr>
        <w:t>la </w:t>
      </w:r>
      <w:r>
        <w:rPr>
          <w:sz w:val="24"/>
        </w:rPr>
        <w:t>sélection de </w:t>
      </w:r>
      <w:r>
        <w:rPr>
          <w:spacing w:val="-5"/>
          <w:sz w:val="24"/>
        </w:rPr>
        <w:t>la </w:t>
      </w:r>
      <w:r>
        <w:rPr>
          <w:sz w:val="24"/>
        </w:rPr>
        <w:t>source du virement ou du paiement…).</w:t>
      </w:r>
    </w:p>
    <w:p>
      <w:pPr>
        <w:pStyle w:val="Heading5"/>
        <w:numPr>
          <w:ilvl w:val="0"/>
          <w:numId w:val="23"/>
        </w:numPr>
        <w:tabs>
          <w:tab w:pos="1421" w:val="left" w:leader="none"/>
        </w:tabs>
        <w:spacing w:line="240" w:lineRule="auto" w:before="212" w:after="0"/>
        <w:ind w:left="1420" w:right="0" w:hanging="361"/>
        <w:jc w:val="left"/>
      </w:pPr>
      <w:bookmarkStart w:name="B. Sécurité et perception des utilisateu" w:id="194"/>
      <w:bookmarkEnd w:id="194"/>
      <w:r>
        <w:rPr>
          <w:b w:val="0"/>
        </w:rPr>
      </w:r>
      <w:bookmarkStart w:name="B. Sécurité et perception des utilisateu" w:id="195"/>
      <w:bookmarkEnd w:id="195"/>
      <w:r>
        <w:rPr/>
        <w:t>S</w:t>
      </w:r>
      <w:r>
        <w:rPr/>
        <w:t>écurité et perception des</w:t>
      </w:r>
      <w:r>
        <w:rPr>
          <w:spacing w:val="5"/>
        </w:rPr>
        <w:t> </w:t>
      </w:r>
      <w:r>
        <w:rPr/>
        <w:t>utilisateurs</w:t>
      </w:r>
    </w:p>
    <w:p>
      <w:pPr>
        <w:pStyle w:val="BodyText"/>
        <w:spacing w:before="4"/>
        <w:rPr>
          <w:b/>
          <w:sz w:val="22"/>
        </w:rPr>
      </w:pPr>
    </w:p>
    <w:p>
      <w:pPr>
        <w:pStyle w:val="ListParagraph"/>
        <w:numPr>
          <w:ilvl w:val="1"/>
          <w:numId w:val="23"/>
        </w:numPr>
        <w:tabs>
          <w:tab w:pos="1780" w:val="left" w:leader="none"/>
          <w:tab w:pos="1781" w:val="left" w:leader="none"/>
        </w:tabs>
        <w:spacing w:line="240" w:lineRule="auto" w:before="0" w:after="0"/>
        <w:ind w:left="1780" w:right="0" w:hanging="361"/>
        <w:jc w:val="left"/>
        <w:rPr>
          <w:sz w:val="24"/>
        </w:rPr>
      </w:pPr>
      <w:r>
        <w:rPr>
          <w:sz w:val="24"/>
        </w:rPr>
        <w:t>Risques d'attaques sur </w:t>
      </w:r>
      <w:r>
        <w:rPr>
          <w:spacing w:val="-4"/>
          <w:sz w:val="24"/>
        </w:rPr>
        <w:t>les </w:t>
      </w:r>
      <w:r>
        <w:rPr>
          <w:sz w:val="24"/>
        </w:rPr>
        <w:t>comptes</w:t>
      </w:r>
      <w:r>
        <w:rPr>
          <w:spacing w:val="6"/>
          <w:sz w:val="24"/>
        </w:rPr>
        <w:t> </w:t>
      </w:r>
      <w:r>
        <w:rPr>
          <w:sz w:val="24"/>
        </w:rPr>
        <w:t>BaridiMob.</w:t>
      </w:r>
    </w:p>
    <w:p>
      <w:pPr>
        <w:pStyle w:val="ListParagraph"/>
        <w:numPr>
          <w:ilvl w:val="1"/>
          <w:numId w:val="23"/>
        </w:numPr>
        <w:tabs>
          <w:tab w:pos="1780" w:val="left" w:leader="none"/>
          <w:tab w:pos="1781" w:val="left" w:leader="none"/>
        </w:tabs>
        <w:spacing w:line="240" w:lineRule="auto" w:before="135" w:after="0"/>
        <w:ind w:left="1780" w:right="0" w:hanging="361"/>
        <w:jc w:val="left"/>
        <w:rPr>
          <w:sz w:val="24"/>
        </w:rPr>
      </w:pPr>
      <w:r>
        <w:rPr>
          <w:sz w:val="24"/>
        </w:rPr>
        <w:t>La crainte des fraudes ou des erreurs de transaction par plusieurs</w:t>
      </w:r>
      <w:r>
        <w:rPr>
          <w:spacing w:val="-11"/>
          <w:sz w:val="24"/>
        </w:rPr>
        <w:t> </w:t>
      </w:r>
      <w:r>
        <w:rPr>
          <w:sz w:val="24"/>
        </w:rPr>
        <w:t>personnes.</w:t>
      </w:r>
    </w:p>
    <w:p>
      <w:pPr>
        <w:pStyle w:val="ListParagraph"/>
        <w:numPr>
          <w:ilvl w:val="1"/>
          <w:numId w:val="23"/>
        </w:numPr>
        <w:tabs>
          <w:tab w:pos="1780" w:val="left" w:leader="none"/>
          <w:tab w:pos="1781" w:val="left" w:leader="none"/>
        </w:tabs>
        <w:spacing w:line="350" w:lineRule="auto" w:before="129" w:after="0"/>
        <w:ind w:left="1780" w:right="317" w:hanging="360"/>
        <w:jc w:val="left"/>
        <w:rPr>
          <w:sz w:val="24"/>
        </w:rPr>
      </w:pPr>
      <w:r>
        <w:rPr>
          <w:sz w:val="24"/>
        </w:rPr>
        <w:t>Conformité</w:t>
      </w:r>
      <w:r>
        <w:rPr>
          <w:spacing w:val="-9"/>
          <w:sz w:val="24"/>
        </w:rPr>
        <w:t> </w:t>
      </w:r>
      <w:r>
        <w:rPr>
          <w:sz w:val="24"/>
        </w:rPr>
        <w:t>aux</w:t>
      </w:r>
      <w:r>
        <w:rPr>
          <w:spacing w:val="-12"/>
          <w:sz w:val="24"/>
        </w:rPr>
        <w:t> </w:t>
      </w:r>
      <w:r>
        <w:rPr>
          <w:sz w:val="24"/>
        </w:rPr>
        <w:t>normes</w:t>
      </w:r>
      <w:r>
        <w:rPr>
          <w:spacing w:val="-10"/>
          <w:sz w:val="24"/>
        </w:rPr>
        <w:t> </w:t>
      </w:r>
      <w:r>
        <w:rPr>
          <w:sz w:val="24"/>
        </w:rPr>
        <w:t>de</w:t>
      </w:r>
      <w:r>
        <w:rPr>
          <w:spacing w:val="-6"/>
          <w:sz w:val="24"/>
        </w:rPr>
        <w:t> </w:t>
      </w:r>
      <w:r>
        <w:rPr>
          <w:sz w:val="24"/>
        </w:rPr>
        <w:t>sécurité</w:t>
      </w:r>
      <w:r>
        <w:rPr>
          <w:spacing w:val="-8"/>
          <w:sz w:val="24"/>
        </w:rPr>
        <w:t> </w:t>
      </w:r>
      <w:r>
        <w:rPr>
          <w:sz w:val="24"/>
        </w:rPr>
        <w:t>:</w:t>
      </w:r>
      <w:r>
        <w:rPr>
          <w:spacing w:val="-6"/>
          <w:sz w:val="24"/>
        </w:rPr>
        <w:t> </w:t>
      </w:r>
      <w:r>
        <w:rPr>
          <w:sz w:val="24"/>
        </w:rPr>
        <w:t>Respect</w:t>
      </w:r>
      <w:r>
        <w:rPr>
          <w:spacing w:val="-7"/>
          <w:sz w:val="24"/>
        </w:rPr>
        <w:t> </w:t>
      </w:r>
      <w:r>
        <w:rPr>
          <w:sz w:val="24"/>
        </w:rPr>
        <w:t>des</w:t>
      </w:r>
      <w:r>
        <w:rPr>
          <w:spacing w:val="-9"/>
          <w:sz w:val="24"/>
        </w:rPr>
        <w:t> </w:t>
      </w:r>
      <w:r>
        <w:rPr>
          <w:sz w:val="24"/>
        </w:rPr>
        <w:t>standards</w:t>
      </w:r>
      <w:r>
        <w:rPr>
          <w:spacing w:val="-5"/>
          <w:sz w:val="24"/>
        </w:rPr>
        <w:t> </w:t>
      </w:r>
      <w:r>
        <w:rPr>
          <w:sz w:val="24"/>
        </w:rPr>
        <w:t>internationaux</w:t>
      </w:r>
      <w:r>
        <w:rPr>
          <w:spacing w:val="-12"/>
          <w:sz w:val="24"/>
        </w:rPr>
        <w:t> </w:t>
      </w:r>
      <w:r>
        <w:rPr>
          <w:sz w:val="24"/>
        </w:rPr>
        <w:t>(comme</w:t>
      </w:r>
      <w:r>
        <w:rPr>
          <w:spacing w:val="-9"/>
          <w:sz w:val="24"/>
        </w:rPr>
        <w:t> </w:t>
      </w:r>
      <w:r>
        <w:rPr>
          <w:sz w:val="24"/>
        </w:rPr>
        <w:t>PCI DSS, chiffrement des données poser une question sur ce</w:t>
      </w:r>
      <w:r>
        <w:rPr>
          <w:spacing w:val="10"/>
          <w:sz w:val="24"/>
        </w:rPr>
        <w:t> </w:t>
      </w:r>
      <w:r>
        <w:rPr>
          <w:spacing w:val="-3"/>
          <w:sz w:val="24"/>
        </w:rPr>
        <w:t>point</w:t>
      </w:r>
    </w:p>
    <w:p>
      <w:pPr>
        <w:pStyle w:val="Heading5"/>
        <w:numPr>
          <w:ilvl w:val="0"/>
          <w:numId w:val="23"/>
        </w:numPr>
        <w:tabs>
          <w:tab w:pos="1421" w:val="left" w:leader="none"/>
        </w:tabs>
        <w:spacing w:line="240" w:lineRule="auto" w:before="220" w:after="0"/>
        <w:ind w:left="1420" w:right="0" w:hanging="361"/>
        <w:jc w:val="left"/>
      </w:pPr>
      <w:bookmarkStart w:name="C. Accessibilité et disponibilité du ser" w:id="196"/>
      <w:bookmarkEnd w:id="196"/>
      <w:r>
        <w:rPr>
          <w:b w:val="0"/>
        </w:rPr>
      </w:r>
      <w:bookmarkStart w:name="C. Accessibilité et disponibilité du ser" w:id="197"/>
      <w:bookmarkEnd w:id="197"/>
      <w:r>
        <w:rPr/>
        <w:t>A</w:t>
      </w:r>
      <w:r>
        <w:rPr/>
        <w:t>ccessibilité et disponibilité du</w:t>
      </w:r>
      <w:r>
        <w:rPr>
          <w:spacing w:val="1"/>
        </w:rPr>
        <w:t> </w:t>
      </w:r>
      <w:r>
        <w:rPr/>
        <w:t>service</w:t>
      </w:r>
    </w:p>
    <w:p>
      <w:pPr>
        <w:pStyle w:val="BodyText"/>
        <w:spacing w:before="4"/>
        <w:rPr>
          <w:b/>
          <w:sz w:val="22"/>
        </w:rPr>
      </w:pPr>
    </w:p>
    <w:p>
      <w:pPr>
        <w:pStyle w:val="ListParagraph"/>
        <w:numPr>
          <w:ilvl w:val="1"/>
          <w:numId w:val="23"/>
        </w:numPr>
        <w:tabs>
          <w:tab w:pos="1780" w:val="left" w:leader="none"/>
          <w:tab w:pos="1781" w:val="left" w:leader="none"/>
        </w:tabs>
        <w:spacing w:line="240" w:lineRule="auto" w:before="0" w:after="0"/>
        <w:ind w:left="1780" w:right="0" w:hanging="361"/>
        <w:jc w:val="left"/>
        <w:rPr>
          <w:sz w:val="24"/>
        </w:rPr>
      </w:pPr>
      <w:r>
        <w:rPr>
          <w:sz w:val="24"/>
        </w:rPr>
        <w:t>L’indisponibilité du service à des heures tardives (de </w:t>
      </w:r>
      <w:r>
        <w:rPr>
          <w:spacing w:val="-4"/>
          <w:sz w:val="24"/>
        </w:rPr>
        <w:t>minuit </w:t>
      </w:r>
      <w:r>
        <w:rPr>
          <w:sz w:val="24"/>
        </w:rPr>
        <w:t>jusqu'à 2h du</w:t>
      </w:r>
      <w:r>
        <w:rPr>
          <w:spacing w:val="15"/>
          <w:sz w:val="24"/>
        </w:rPr>
        <w:t> </w:t>
      </w:r>
      <w:r>
        <w:rPr>
          <w:spacing w:val="-2"/>
          <w:sz w:val="24"/>
        </w:rPr>
        <w:t>matin)</w:t>
      </w:r>
    </w:p>
    <w:p>
      <w:pPr>
        <w:pStyle w:val="ListParagraph"/>
        <w:numPr>
          <w:ilvl w:val="1"/>
          <w:numId w:val="23"/>
        </w:numPr>
        <w:tabs>
          <w:tab w:pos="1780" w:val="left" w:leader="none"/>
          <w:tab w:pos="1781" w:val="left" w:leader="none"/>
        </w:tabs>
        <w:spacing w:line="240" w:lineRule="auto" w:before="129" w:after="0"/>
        <w:ind w:left="1780" w:right="0" w:hanging="361"/>
        <w:jc w:val="left"/>
        <w:rPr>
          <w:sz w:val="24"/>
        </w:rPr>
      </w:pPr>
      <w:r>
        <w:rPr>
          <w:sz w:val="24"/>
        </w:rPr>
        <w:t>L'indisponibilité du service pendant </w:t>
      </w:r>
      <w:r>
        <w:rPr>
          <w:spacing w:val="-3"/>
          <w:sz w:val="24"/>
        </w:rPr>
        <w:t>les </w:t>
      </w:r>
      <w:r>
        <w:rPr>
          <w:sz w:val="24"/>
        </w:rPr>
        <w:t>jours fériés et </w:t>
      </w:r>
      <w:r>
        <w:rPr>
          <w:spacing w:val="-3"/>
          <w:sz w:val="24"/>
        </w:rPr>
        <w:t>les</w:t>
      </w:r>
      <w:r>
        <w:rPr>
          <w:spacing w:val="19"/>
          <w:sz w:val="24"/>
        </w:rPr>
        <w:t> </w:t>
      </w:r>
      <w:r>
        <w:rPr>
          <w:sz w:val="24"/>
        </w:rPr>
        <w:t>weekends</w:t>
      </w:r>
    </w:p>
    <w:p>
      <w:pPr>
        <w:pStyle w:val="BodyText"/>
        <w:spacing w:before="3"/>
        <w:rPr>
          <w:sz w:val="29"/>
        </w:rPr>
      </w:pPr>
    </w:p>
    <w:p>
      <w:pPr>
        <w:pStyle w:val="Heading5"/>
        <w:numPr>
          <w:ilvl w:val="0"/>
          <w:numId w:val="23"/>
        </w:numPr>
        <w:tabs>
          <w:tab w:pos="1421" w:val="left" w:leader="none"/>
        </w:tabs>
        <w:spacing w:line="240" w:lineRule="auto" w:before="0" w:after="0"/>
        <w:ind w:left="1420" w:right="0" w:hanging="361"/>
        <w:jc w:val="left"/>
      </w:pPr>
      <w:bookmarkStart w:name="D. Support client" w:id="198"/>
      <w:bookmarkEnd w:id="198"/>
      <w:r>
        <w:rPr>
          <w:b w:val="0"/>
        </w:rPr>
      </w:r>
      <w:bookmarkStart w:name="D. Support client" w:id="199"/>
      <w:bookmarkEnd w:id="199"/>
      <w:r>
        <w:rPr/>
        <w:t>Supp</w:t>
      </w:r>
      <w:r>
        <w:rPr/>
        <w:t>ort</w:t>
      </w:r>
      <w:r>
        <w:rPr>
          <w:spacing w:val="2"/>
        </w:rPr>
        <w:t> </w:t>
      </w:r>
      <w:r>
        <w:rPr/>
        <w:t>client</w:t>
      </w:r>
    </w:p>
    <w:p>
      <w:pPr>
        <w:pStyle w:val="BodyText"/>
        <w:spacing w:before="4"/>
        <w:rPr>
          <w:b/>
          <w:sz w:val="22"/>
        </w:rPr>
      </w:pPr>
    </w:p>
    <w:p>
      <w:pPr>
        <w:pStyle w:val="ListParagraph"/>
        <w:numPr>
          <w:ilvl w:val="1"/>
          <w:numId w:val="23"/>
        </w:numPr>
        <w:tabs>
          <w:tab w:pos="1780" w:val="left" w:leader="none"/>
          <w:tab w:pos="1781" w:val="left" w:leader="none"/>
        </w:tabs>
        <w:spacing w:line="350" w:lineRule="auto" w:before="0" w:after="0"/>
        <w:ind w:left="1780" w:right="316" w:hanging="360"/>
        <w:jc w:val="left"/>
        <w:rPr>
          <w:sz w:val="24"/>
        </w:rPr>
      </w:pPr>
      <w:r>
        <w:rPr>
          <w:sz w:val="24"/>
        </w:rPr>
        <w:t>Temps</w:t>
      </w:r>
      <w:r>
        <w:rPr>
          <w:spacing w:val="-7"/>
          <w:sz w:val="24"/>
        </w:rPr>
        <w:t> </w:t>
      </w:r>
      <w:r>
        <w:rPr>
          <w:sz w:val="24"/>
        </w:rPr>
        <w:t>d'attente</w:t>
      </w:r>
      <w:r>
        <w:rPr>
          <w:spacing w:val="-14"/>
          <w:sz w:val="24"/>
        </w:rPr>
        <w:t> </w:t>
      </w:r>
      <w:r>
        <w:rPr>
          <w:sz w:val="24"/>
        </w:rPr>
        <w:t>trop</w:t>
      </w:r>
      <w:r>
        <w:rPr>
          <w:spacing w:val="-4"/>
          <w:sz w:val="24"/>
        </w:rPr>
        <w:t> </w:t>
      </w:r>
      <w:r>
        <w:rPr>
          <w:spacing w:val="-3"/>
          <w:sz w:val="24"/>
        </w:rPr>
        <w:t>long</w:t>
      </w:r>
      <w:r>
        <w:rPr>
          <w:spacing w:val="-5"/>
          <w:sz w:val="24"/>
        </w:rPr>
        <w:t> </w:t>
      </w:r>
      <w:r>
        <w:rPr>
          <w:sz w:val="24"/>
        </w:rPr>
        <w:t>pour</w:t>
      </w:r>
      <w:r>
        <w:rPr>
          <w:spacing w:val="-12"/>
          <w:sz w:val="24"/>
        </w:rPr>
        <w:t> </w:t>
      </w:r>
      <w:r>
        <w:rPr>
          <w:sz w:val="24"/>
        </w:rPr>
        <w:t>obtenir</w:t>
      </w:r>
      <w:r>
        <w:rPr>
          <w:spacing w:val="-2"/>
          <w:sz w:val="24"/>
        </w:rPr>
        <w:t> </w:t>
      </w:r>
      <w:r>
        <w:rPr>
          <w:sz w:val="24"/>
        </w:rPr>
        <w:t>une</w:t>
      </w:r>
      <w:r>
        <w:rPr>
          <w:spacing w:val="-6"/>
          <w:sz w:val="24"/>
        </w:rPr>
        <w:t> </w:t>
      </w:r>
      <w:r>
        <w:rPr>
          <w:sz w:val="24"/>
        </w:rPr>
        <w:t>réponse en</w:t>
      </w:r>
      <w:r>
        <w:rPr>
          <w:spacing w:val="-9"/>
          <w:sz w:val="24"/>
        </w:rPr>
        <w:t> </w:t>
      </w:r>
      <w:r>
        <w:rPr>
          <w:sz w:val="24"/>
        </w:rPr>
        <w:t>vue</w:t>
      </w:r>
      <w:r>
        <w:rPr>
          <w:spacing w:val="-6"/>
          <w:sz w:val="24"/>
        </w:rPr>
        <w:t> </w:t>
      </w:r>
      <w:r>
        <w:rPr>
          <w:sz w:val="24"/>
        </w:rPr>
        <w:t>de</w:t>
      </w:r>
      <w:r>
        <w:rPr>
          <w:spacing w:val="-5"/>
          <w:sz w:val="24"/>
        </w:rPr>
        <w:t> </w:t>
      </w:r>
      <w:r>
        <w:rPr>
          <w:sz w:val="24"/>
        </w:rPr>
        <w:t>régler</w:t>
      </w:r>
      <w:r>
        <w:rPr>
          <w:spacing w:val="2"/>
          <w:sz w:val="24"/>
        </w:rPr>
        <w:t> </w:t>
      </w:r>
      <w:r>
        <w:rPr>
          <w:sz w:val="24"/>
        </w:rPr>
        <w:t>leurs</w:t>
      </w:r>
      <w:r>
        <w:rPr>
          <w:spacing w:val="-7"/>
          <w:sz w:val="24"/>
        </w:rPr>
        <w:t> </w:t>
      </w:r>
      <w:r>
        <w:rPr>
          <w:sz w:val="24"/>
        </w:rPr>
        <w:t>problèmes</w:t>
      </w:r>
      <w:r>
        <w:rPr>
          <w:spacing w:val="-6"/>
          <w:sz w:val="24"/>
        </w:rPr>
        <w:t> </w:t>
      </w:r>
      <w:r>
        <w:rPr>
          <w:sz w:val="24"/>
        </w:rPr>
        <w:t>ou Pas de réponse obtenue ou Obtenir une réponse</w:t>
      </w:r>
      <w:r>
        <w:rPr>
          <w:spacing w:val="8"/>
          <w:sz w:val="24"/>
        </w:rPr>
        <w:t> </w:t>
      </w:r>
      <w:r>
        <w:rPr>
          <w:sz w:val="24"/>
        </w:rPr>
        <w:t>insatisfaisante</w:t>
      </w:r>
    </w:p>
    <w:p>
      <w:pPr>
        <w:pStyle w:val="ListParagraph"/>
        <w:numPr>
          <w:ilvl w:val="1"/>
          <w:numId w:val="23"/>
        </w:numPr>
        <w:tabs>
          <w:tab w:pos="1780" w:val="left" w:leader="none"/>
          <w:tab w:pos="1781" w:val="left" w:leader="none"/>
        </w:tabs>
        <w:spacing w:line="240" w:lineRule="auto" w:before="18" w:after="0"/>
        <w:ind w:left="1780" w:right="0" w:hanging="361"/>
        <w:jc w:val="left"/>
        <w:rPr>
          <w:sz w:val="24"/>
        </w:rPr>
      </w:pPr>
      <w:r>
        <w:rPr>
          <w:sz w:val="24"/>
        </w:rPr>
        <w:t>L'absence du service client durant </w:t>
      </w:r>
      <w:r>
        <w:rPr>
          <w:spacing w:val="-4"/>
          <w:sz w:val="24"/>
        </w:rPr>
        <w:t>les </w:t>
      </w:r>
      <w:r>
        <w:rPr>
          <w:sz w:val="24"/>
        </w:rPr>
        <w:t>jours fériés et </w:t>
      </w:r>
      <w:r>
        <w:rPr>
          <w:spacing w:val="-3"/>
          <w:sz w:val="24"/>
        </w:rPr>
        <w:t>les</w:t>
      </w:r>
      <w:r>
        <w:rPr>
          <w:spacing w:val="30"/>
          <w:sz w:val="24"/>
        </w:rPr>
        <w:t> </w:t>
      </w:r>
      <w:r>
        <w:rPr>
          <w:sz w:val="24"/>
        </w:rPr>
        <w:t>week-ends</w:t>
      </w:r>
    </w:p>
    <w:p>
      <w:pPr>
        <w:spacing w:after="0" w:line="240" w:lineRule="auto"/>
        <w:jc w:val="left"/>
        <w:rPr>
          <w:sz w:val="24"/>
        </w:rPr>
        <w:sectPr>
          <w:pgSz w:w="12240" w:h="15840"/>
          <w:pgMar w:header="723" w:footer="850" w:top="1080" w:bottom="1040" w:left="1000" w:right="820"/>
        </w:sectPr>
      </w:pPr>
    </w:p>
    <w:p>
      <w:pPr>
        <w:pStyle w:val="BodyText"/>
        <w:spacing w:before="7"/>
        <w:rPr>
          <w:sz w:val="23"/>
        </w:rPr>
      </w:pPr>
    </w:p>
    <w:p>
      <w:pPr>
        <w:pStyle w:val="Heading3"/>
        <w:ind w:left="983"/>
        <w:jc w:val="both"/>
      </w:pPr>
      <w:bookmarkStart w:name="Section 02 : Étude empirique" w:id="200"/>
      <w:bookmarkEnd w:id="200"/>
      <w:r>
        <w:rPr>
          <w:b w:val="0"/>
        </w:rPr>
      </w:r>
      <w:bookmarkStart w:name="_bookmark15" w:id="201"/>
      <w:bookmarkEnd w:id="201"/>
      <w:r>
        <w:rPr>
          <w:b w:val="0"/>
        </w:rPr>
      </w:r>
      <w:r>
        <w:rPr/>
        <w:t>Section 02 : Étude empirique</w:t>
      </w:r>
    </w:p>
    <w:p>
      <w:pPr>
        <w:pStyle w:val="BodyText"/>
        <w:spacing w:line="360" w:lineRule="auto" w:before="157"/>
        <w:ind w:left="699" w:right="309" w:firstLine="360"/>
        <w:jc w:val="both"/>
      </w:pPr>
      <w:r>
        <w:rPr/>
        <w:t>Dans</w:t>
      </w:r>
      <w:r>
        <w:rPr>
          <w:spacing w:val="-10"/>
        </w:rPr>
        <w:t> </w:t>
      </w:r>
      <w:r>
        <w:rPr/>
        <w:t>cette</w:t>
      </w:r>
      <w:r>
        <w:rPr>
          <w:spacing w:val="-14"/>
        </w:rPr>
        <w:t> </w:t>
      </w:r>
      <w:r>
        <w:rPr/>
        <w:t>Partie,</w:t>
      </w:r>
      <w:r>
        <w:rPr>
          <w:spacing w:val="-6"/>
        </w:rPr>
        <w:t> </w:t>
      </w:r>
      <w:r>
        <w:rPr/>
        <w:t>nous</w:t>
      </w:r>
      <w:r>
        <w:rPr>
          <w:spacing w:val="-10"/>
        </w:rPr>
        <w:t> </w:t>
      </w:r>
      <w:r>
        <w:rPr/>
        <w:t>présentons</w:t>
      </w:r>
      <w:r>
        <w:rPr>
          <w:spacing w:val="-10"/>
        </w:rPr>
        <w:t> </w:t>
      </w:r>
      <w:r>
        <w:rPr/>
        <w:t>les</w:t>
      </w:r>
      <w:r>
        <w:rPr>
          <w:spacing w:val="-9"/>
        </w:rPr>
        <w:t> </w:t>
      </w:r>
      <w:r>
        <w:rPr/>
        <w:t>résultats</w:t>
      </w:r>
      <w:r>
        <w:rPr>
          <w:spacing w:val="-10"/>
        </w:rPr>
        <w:t> </w:t>
      </w:r>
      <w:r>
        <w:rPr/>
        <w:t>d'une</w:t>
      </w:r>
      <w:r>
        <w:rPr>
          <w:spacing w:val="-9"/>
        </w:rPr>
        <w:t> </w:t>
      </w:r>
      <w:r>
        <w:rPr/>
        <w:t>étude</w:t>
      </w:r>
      <w:r>
        <w:rPr>
          <w:spacing w:val="-8"/>
        </w:rPr>
        <w:t> </w:t>
      </w:r>
      <w:r>
        <w:rPr/>
        <w:t>quantitative</w:t>
      </w:r>
      <w:r>
        <w:rPr>
          <w:spacing w:val="-7"/>
        </w:rPr>
        <w:t> </w:t>
      </w:r>
      <w:r>
        <w:rPr/>
        <w:t>centrée</w:t>
      </w:r>
      <w:r>
        <w:rPr>
          <w:spacing w:val="-9"/>
        </w:rPr>
        <w:t> </w:t>
      </w:r>
      <w:r>
        <w:rPr/>
        <w:t>sur</w:t>
      </w:r>
      <w:r>
        <w:rPr>
          <w:spacing w:val="-11"/>
        </w:rPr>
        <w:t> </w:t>
      </w:r>
      <w:r>
        <w:rPr/>
        <w:t>l'expérience des utilisateurs de l'application mobile BaridiMob. L’étude examine plusieurs dimensions essentielles telles que </w:t>
      </w:r>
      <w:r>
        <w:rPr>
          <w:spacing w:val="-3"/>
        </w:rPr>
        <w:t>la </w:t>
      </w:r>
      <w:r>
        <w:rPr/>
        <w:t>satisfaction des clients, </w:t>
      </w:r>
      <w:r>
        <w:rPr>
          <w:spacing w:val="-3"/>
        </w:rPr>
        <w:t>la </w:t>
      </w:r>
      <w:r>
        <w:rPr/>
        <w:t>sécurité, </w:t>
      </w:r>
      <w:r>
        <w:rPr>
          <w:spacing w:val="-4"/>
        </w:rPr>
        <w:t>les </w:t>
      </w:r>
      <w:r>
        <w:rPr/>
        <w:t>bugs et dysfonctionnements, </w:t>
      </w:r>
      <w:r>
        <w:rPr>
          <w:spacing w:val="-5"/>
        </w:rPr>
        <w:t>la </w:t>
      </w:r>
      <w:r>
        <w:rPr/>
        <w:t>disponibilité</w:t>
      </w:r>
      <w:r>
        <w:rPr>
          <w:spacing w:val="-17"/>
        </w:rPr>
        <w:t> </w:t>
      </w:r>
      <w:r>
        <w:rPr/>
        <w:t>du</w:t>
      </w:r>
      <w:r>
        <w:rPr>
          <w:spacing w:val="-15"/>
        </w:rPr>
        <w:t> </w:t>
      </w:r>
      <w:r>
        <w:rPr/>
        <w:t>service</w:t>
      </w:r>
      <w:r>
        <w:rPr>
          <w:spacing w:val="-17"/>
        </w:rPr>
        <w:t> </w:t>
      </w:r>
      <w:r>
        <w:rPr/>
        <w:t>et</w:t>
      </w:r>
      <w:r>
        <w:rPr>
          <w:spacing w:val="-10"/>
        </w:rPr>
        <w:t> </w:t>
      </w:r>
      <w:r>
        <w:rPr>
          <w:spacing w:val="-5"/>
        </w:rPr>
        <w:t>le</w:t>
      </w:r>
      <w:r>
        <w:rPr>
          <w:spacing w:val="-17"/>
        </w:rPr>
        <w:t> </w:t>
      </w:r>
      <w:r>
        <w:rPr/>
        <w:t>service</w:t>
      </w:r>
      <w:r>
        <w:rPr>
          <w:spacing w:val="-16"/>
        </w:rPr>
        <w:t> </w:t>
      </w:r>
      <w:r>
        <w:rPr/>
        <w:t>client.</w:t>
      </w:r>
      <w:r>
        <w:rPr>
          <w:spacing w:val="-18"/>
        </w:rPr>
        <w:t> </w:t>
      </w:r>
      <w:r>
        <w:rPr/>
        <w:t>En</w:t>
      </w:r>
      <w:r>
        <w:rPr>
          <w:spacing w:val="-20"/>
        </w:rPr>
        <w:t> </w:t>
      </w:r>
      <w:r>
        <w:rPr/>
        <w:t>s'appuyant</w:t>
      </w:r>
      <w:r>
        <w:rPr>
          <w:spacing w:val="-11"/>
        </w:rPr>
        <w:t> </w:t>
      </w:r>
      <w:r>
        <w:rPr/>
        <w:t>principalement</w:t>
      </w:r>
      <w:r>
        <w:rPr>
          <w:spacing w:val="-11"/>
        </w:rPr>
        <w:t> </w:t>
      </w:r>
      <w:r>
        <w:rPr/>
        <w:t>sur</w:t>
      </w:r>
      <w:r>
        <w:rPr>
          <w:spacing w:val="-10"/>
        </w:rPr>
        <w:t> </w:t>
      </w:r>
      <w:r>
        <w:rPr>
          <w:spacing w:val="-4"/>
        </w:rPr>
        <w:t>les</w:t>
      </w:r>
      <w:r>
        <w:rPr>
          <w:spacing w:val="-18"/>
        </w:rPr>
        <w:t> </w:t>
      </w:r>
      <w:r>
        <w:rPr/>
        <w:t>réponses</w:t>
      </w:r>
      <w:r>
        <w:rPr>
          <w:spacing w:val="-18"/>
        </w:rPr>
        <w:t> </w:t>
      </w:r>
      <w:r>
        <w:rPr/>
        <w:t>collectées via un questionnaire pour mettre en évidence les points forts du service ainsi que les difficultés rencontrées par </w:t>
      </w:r>
      <w:r>
        <w:rPr>
          <w:spacing w:val="-4"/>
        </w:rPr>
        <w:t>les </w:t>
      </w:r>
      <w:r>
        <w:rPr/>
        <w:t>utilisateurs. Cette étude vise à mettre en évidence </w:t>
      </w:r>
      <w:r>
        <w:rPr>
          <w:spacing w:val="-3"/>
        </w:rPr>
        <w:t>les </w:t>
      </w:r>
      <w:r>
        <w:rPr/>
        <w:t>points forts du service, à identifier les</w:t>
      </w:r>
      <w:r>
        <w:rPr>
          <w:spacing w:val="-8"/>
        </w:rPr>
        <w:t> </w:t>
      </w:r>
      <w:r>
        <w:rPr/>
        <w:t>difficultés</w:t>
      </w:r>
      <w:r>
        <w:rPr>
          <w:spacing w:val="-8"/>
        </w:rPr>
        <w:t> </w:t>
      </w:r>
      <w:r>
        <w:rPr/>
        <w:t>rencontrées</w:t>
      </w:r>
      <w:r>
        <w:rPr>
          <w:spacing w:val="-7"/>
        </w:rPr>
        <w:t> </w:t>
      </w:r>
      <w:r>
        <w:rPr/>
        <w:t>par</w:t>
      </w:r>
      <w:r>
        <w:rPr>
          <w:spacing w:val="-4"/>
        </w:rPr>
        <w:t> les</w:t>
      </w:r>
      <w:r>
        <w:rPr>
          <w:spacing w:val="-7"/>
        </w:rPr>
        <w:t> </w:t>
      </w:r>
      <w:r>
        <w:rPr/>
        <w:t>utilisateurs</w:t>
      </w:r>
      <w:r>
        <w:rPr>
          <w:spacing w:val="-8"/>
        </w:rPr>
        <w:t> </w:t>
      </w:r>
      <w:r>
        <w:rPr/>
        <w:t>et</w:t>
      </w:r>
      <w:r>
        <w:rPr>
          <w:spacing w:val="-5"/>
        </w:rPr>
        <w:t> </w:t>
      </w:r>
      <w:r>
        <w:rPr/>
        <w:t>à</w:t>
      </w:r>
      <w:r>
        <w:rPr>
          <w:spacing w:val="-6"/>
        </w:rPr>
        <w:t> </w:t>
      </w:r>
      <w:r>
        <w:rPr/>
        <w:t>proposer</w:t>
      </w:r>
      <w:r>
        <w:rPr>
          <w:spacing w:val="-4"/>
        </w:rPr>
        <w:t> </w:t>
      </w:r>
      <w:r>
        <w:rPr/>
        <w:t>des</w:t>
      </w:r>
      <w:r>
        <w:rPr>
          <w:spacing w:val="-8"/>
        </w:rPr>
        <w:t> </w:t>
      </w:r>
      <w:r>
        <w:rPr/>
        <w:t>pistes</w:t>
      </w:r>
      <w:r>
        <w:rPr>
          <w:spacing w:val="-7"/>
        </w:rPr>
        <w:t> </w:t>
      </w:r>
      <w:r>
        <w:rPr/>
        <w:t>d’amélioration</w:t>
      </w:r>
      <w:r>
        <w:rPr>
          <w:spacing w:val="-11"/>
        </w:rPr>
        <w:t> </w:t>
      </w:r>
      <w:r>
        <w:rPr/>
        <w:t>pour renforcer </w:t>
      </w:r>
      <w:r>
        <w:rPr>
          <w:spacing w:val="-3"/>
        </w:rPr>
        <w:t>leur </w:t>
      </w:r>
      <w:r>
        <w:rPr/>
        <w:t>satisfaction et </w:t>
      </w:r>
      <w:r>
        <w:rPr>
          <w:spacing w:val="-3"/>
        </w:rPr>
        <w:t>leur </w:t>
      </w:r>
      <w:r>
        <w:rPr/>
        <w:t>confiance envers ce service digital d’Algérie</w:t>
      </w:r>
      <w:r>
        <w:rPr>
          <w:spacing w:val="15"/>
        </w:rPr>
        <w:t> </w:t>
      </w:r>
      <w:r>
        <w:rPr/>
        <w:t>Poste.</w:t>
      </w:r>
    </w:p>
    <w:p>
      <w:pPr>
        <w:pStyle w:val="BodyText"/>
        <w:spacing w:before="9"/>
        <w:rPr>
          <w:sz w:val="21"/>
        </w:rPr>
      </w:pPr>
    </w:p>
    <w:p>
      <w:pPr>
        <w:pStyle w:val="Heading5"/>
        <w:numPr>
          <w:ilvl w:val="0"/>
          <w:numId w:val="24"/>
        </w:numPr>
        <w:tabs>
          <w:tab w:pos="1421" w:val="left" w:leader="none"/>
        </w:tabs>
        <w:spacing w:line="240" w:lineRule="auto" w:before="0" w:after="0"/>
        <w:ind w:left="1420" w:right="0" w:hanging="361"/>
        <w:jc w:val="left"/>
      </w:pPr>
      <w:bookmarkStart w:name="1. Outil de collecte et d’évaluation des" w:id="202"/>
      <w:bookmarkEnd w:id="202"/>
      <w:r>
        <w:rPr>
          <w:b w:val="0"/>
        </w:rPr>
      </w:r>
      <w:bookmarkStart w:name="1. Outil de collecte et d’évaluation des" w:id="203"/>
      <w:bookmarkEnd w:id="203"/>
      <w:r>
        <w:rPr/>
        <w:t>O</w:t>
      </w:r>
      <w:r>
        <w:rPr/>
        <w:t>util de collecte et d’évaluation des</w:t>
      </w:r>
      <w:r>
        <w:rPr>
          <w:spacing w:val="3"/>
        </w:rPr>
        <w:t> </w:t>
      </w:r>
      <w:r>
        <w:rPr/>
        <w:t>données</w:t>
      </w:r>
    </w:p>
    <w:p>
      <w:pPr>
        <w:pStyle w:val="BodyText"/>
        <w:spacing w:before="5"/>
        <w:rPr>
          <w:b/>
          <w:sz w:val="32"/>
        </w:rPr>
      </w:pPr>
    </w:p>
    <w:p>
      <w:pPr>
        <w:pStyle w:val="BodyText"/>
        <w:spacing w:line="360" w:lineRule="auto"/>
        <w:ind w:left="699" w:right="313" w:firstLine="360"/>
        <w:jc w:val="both"/>
      </w:pPr>
      <w:r>
        <w:rPr/>
        <w:t>Nous avons mené une étude approfondie auprès de 412 répondants au questionnaire, dont 376 utilisent l’application mobile BaridiMob, afin d’analyser </w:t>
      </w:r>
      <w:r>
        <w:rPr>
          <w:spacing w:val="-3"/>
        </w:rPr>
        <w:t>leur </w:t>
      </w:r>
      <w:r>
        <w:rPr/>
        <w:t>perception de ce service digital proposé par Algérie Poste. Les données ont été recueillies avec soin à l’aide d’un questionnaire structuré</w:t>
      </w:r>
      <w:r>
        <w:rPr>
          <w:spacing w:val="-13"/>
        </w:rPr>
        <w:t> </w:t>
      </w:r>
      <w:r>
        <w:rPr/>
        <w:t>diffusé</w:t>
      </w:r>
      <w:r>
        <w:rPr>
          <w:spacing w:val="-12"/>
        </w:rPr>
        <w:t> </w:t>
      </w:r>
      <w:r>
        <w:rPr/>
        <w:t>au</w:t>
      </w:r>
      <w:r>
        <w:rPr>
          <w:spacing w:val="-11"/>
        </w:rPr>
        <w:t> </w:t>
      </w:r>
      <w:r>
        <w:rPr/>
        <w:t>public</w:t>
      </w:r>
      <w:r>
        <w:rPr>
          <w:spacing w:val="-7"/>
        </w:rPr>
        <w:t> </w:t>
      </w:r>
      <w:r>
        <w:rPr/>
        <w:t>via</w:t>
      </w:r>
      <w:r>
        <w:rPr>
          <w:spacing w:val="-13"/>
        </w:rPr>
        <w:t> </w:t>
      </w:r>
      <w:r>
        <w:rPr/>
        <w:t>Google</w:t>
      </w:r>
      <w:r>
        <w:rPr>
          <w:spacing w:val="-7"/>
        </w:rPr>
        <w:t> </w:t>
      </w:r>
      <w:r>
        <w:rPr/>
        <w:t>Forms,</w:t>
      </w:r>
      <w:r>
        <w:rPr>
          <w:spacing w:val="-9"/>
        </w:rPr>
        <w:t> </w:t>
      </w:r>
      <w:r>
        <w:rPr/>
        <w:t>afin</w:t>
      </w:r>
      <w:r>
        <w:rPr>
          <w:spacing w:val="-7"/>
        </w:rPr>
        <w:t> </w:t>
      </w:r>
      <w:r>
        <w:rPr/>
        <w:t>de</w:t>
      </w:r>
      <w:r>
        <w:rPr>
          <w:spacing w:val="-12"/>
        </w:rPr>
        <w:t> </w:t>
      </w:r>
      <w:r>
        <w:rPr/>
        <w:t>garantir</w:t>
      </w:r>
      <w:r>
        <w:rPr>
          <w:spacing w:val="-9"/>
        </w:rPr>
        <w:t> </w:t>
      </w:r>
      <w:r>
        <w:rPr/>
        <w:t>une</w:t>
      </w:r>
      <w:r>
        <w:rPr>
          <w:spacing w:val="-8"/>
        </w:rPr>
        <w:t> </w:t>
      </w:r>
      <w:r>
        <w:rPr/>
        <w:t>large</w:t>
      </w:r>
      <w:r>
        <w:rPr>
          <w:spacing w:val="-12"/>
        </w:rPr>
        <w:t> </w:t>
      </w:r>
      <w:r>
        <w:rPr/>
        <w:t>couverture</w:t>
      </w:r>
      <w:r>
        <w:rPr>
          <w:spacing w:val="-3"/>
        </w:rPr>
        <w:t> et</w:t>
      </w:r>
      <w:r>
        <w:rPr>
          <w:spacing w:val="-7"/>
        </w:rPr>
        <w:t> </w:t>
      </w:r>
      <w:r>
        <w:rPr/>
        <w:t>une</w:t>
      </w:r>
      <w:r>
        <w:rPr>
          <w:spacing w:val="-12"/>
        </w:rPr>
        <w:t> </w:t>
      </w:r>
      <w:r>
        <w:rPr/>
        <w:t>efficacité de collecte optimale. Des outils de vérification et de traitement ont été mobilisés pour garantir </w:t>
      </w:r>
      <w:r>
        <w:rPr>
          <w:spacing w:val="-5"/>
        </w:rPr>
        <w:t>la </w:t>
      </w:r>
      <w:r>
        <w:rPr/>
        <w:t>cohérence et </w:t>
      </w:r>
      <w:r>
        <w:rPr>
          <w:spacing w:val="-5"/>
        </w:rPr>
        <w:t>la </w:t>
      </w:r>
      <w:r>
        <w:rPr/>
        <w:t>fiabilité des réponses. En complément, une analyse documentaire a été menée sur des documents internes liés à BaridiMob, afin de renforcer </w:t>
      </w:r>
      <w:r>
        <w:rPr>
          <w:spacing w:val="-5"/>
        </w:rPr>
        <w:t>la </w:t>
      </w:r>
      <w:r>
        <w:rPr/>
        <w:t>crédibilité et </w:t>
      </w:r>
      <w:r>
        <w:rPr>
          <w:spacing w:val="-3"/>
        </w:rPr>
        <w:t>la </w:t>
      </w:r>
      <w:r>
        <w:rPr/>
        <w:t>profondeur des informations</w:t>
      </w:r>
      <w:r>
        <w:rPr>
          <w:spacing w:val="-16"/>
        </w:rPr>
        <w:t> </w:t>
      </w:r>
      <w:r>
        <w:rPr/>
        <w:t>collectées.</w:t>
      </w:r>
      <w:r>
        <w:rPr>
          <w:spacing w:val="-12"/>
        </w:rPr>
        <w:t> </w:t>
      </w:r>
      <w:r>
        <w:rPr/>
        <w:t>Ces</w:t>
      </w:r>
      <w:r>
        <w:rPr>
          <w:spacing w:val="-15"/>
        </w:rPr>
        <w:t> </w:t>
      </w:r>
      <w:r>
        <w:rPr/>
        <w:t>donnes</w:t>
      </w:r>
      <w:r>
        <w:rPr>
          <w:spacing w:val="-16"/>
        </w:rPr>
        <w:t> </w:t>
      </w:r>
      <w:r>
        <w:rPr/>
        <w:t>obtenues</w:t>
      </w:r>
      <w:r>
        <w:rPr>
          <w:spacing w:val="-15"/>
        </w:rPr>
        <w:t> </w:t>
      </w:r>
      <w:r>
        <w:rPr/>
        <w:t>ont</w:t>
      </w:r>
      <w:r>
        <w:rPr>
          <w:spacing w:val="-13"/>
        </w:rPr>
        <w:t> </w:t>
      </w:r>
      <w:r>
        <w:rPr/>
        <w:t>été</w:t>
      </w:r>
      <w:r>
        <w:rPr>
          <w:spacing w:val="-14"/>
        </w:rPr>
        <w:t> </w:t>
      </w:r>
      <w:r>
        <w:rPr/>
        <w:t>évalues</w:t>
      </w:r>
      <w:r>
        <w:rPr>
          <w:spacing w:val="-15"/>
        </w:rPr>
        <w:t> </w:t>
      </w:r>
      <w:r>
        <w:rPr/>
        <w:t>et</w:t>
      </w:r>
      <w:r>
        <w:rPr>
          <w:spacing w:val="-13"/>
        </w:rPr>
        <w:t> </w:t>
      </w:r>
      <w:r>
        <w:rPr/>
        <w:t>analysées</w:t>
      </w:r>
      <w:r>
        <w:rPr>
          <w:spacing w:val="-15"/>
        </w:rPr>
        <w:t> </w:t>
      </w:r>
      <w:r>
        <w:rPr/>
        <w:t>à</w:t>
      </w:r>
      <w:r>
        <w:rPr>
          <w:spacing w:val="-15"/>
        </w:rPr>
        <w:t> </w:t>
      </w:r>
      <w:r>
        <w:rPr/>
        <w:t>l’aide</w:t>
      </w:r>
      <w:r>
        <w:rPr>
          <w:spacing w:val="-15"/>
        </w:rPr>
        <w:t> </w:t>
      </w:r>
      <w:r>
        <w:rPr/>
        <w:t>du</w:t>
      </w:r>
      <w:r>
        <w:rPr>
          <w:spacing w:val="-13"/>
        </w:rPr>
        <w:t> </w:t>
      </w:r>
      <w:r>
        <w:rPr/>
        <w:t>logiciel</w:t>
      </w:r>
      <w:r>
        <w:rPr>
          <w:spacing w:val="-14"/>
        </w:rPr>
        <w:t> </w:t>
      </w:r>
      <w:r>
        <w:rPr/>
        <w:t>SPSS, ce qui a permis d’en tirer des résultats statistiques fiables et pertinents pour</w:t>
      </w:r>
      <w:r>
        <w:rPr>
          <w:spacing w:val="-15"/>
        </w:rPr>
        <w:t> </w:t>
      </w:r>
      <w:r>
        <w:rPr/>
        <w:t>l’étude.</w:t>
      </w:r>
    </w:p>
    <w:p>
      <w:pPr>
        <w:pStyle w:val="BodyText"/>
        <w:rPr>
          <w:sz w:val="25"/>
        </w:rPr>
      </w:pPr>
    </w:p>
    <w:p>
      <w:pPr>
        <w:pStyle w:val="Heading5"/>
        <w:numPr>
          <w:ilvl w:val="1"/>
          <w:numId w:val="24"/>
        </w:numPr>
        <w:tabs>
          <w:tab w:pos="1421" w:val="left" w:leader="none"/>
        </w:tabs>
        <w:spacing w:line="240" w:lineRule="auto" w:before="0" w:after="0"/>
        <w:ind w:left="1420" w:right="0" w:hanging="361"/>
        <w:jc w:val="left"/>
      </w:pPr>
      <w:r>
        <w:rPr/>
        <w:pict>
          <v:shape style="position:absolute;margin-left:426pt;margin-top:17.803137pt;width:128.0500pt;height:28.8pt;mso-position-horizontal-relative:page;mso-position-vertical-relative:paragraph;z-index:251693056" type="#_x0000_t202" filled="true" fillcolor="#f1f1f1" stroked="false">
            <v:textbox inset="0,0,0,0">
              <w:txbxContent>
                <w:p>
                  <w:pPr>
                    <w:spacing w:line="252" w:lineRule="auto" w:before="0"/>
                    <w:ind w:left="617" w:right="248" w:hanging="346"/>
                    <w:jc w:val="left"/>
                    <w:rPr>
                      <w:sz w:val="20"/>
                    </w:rPr>
                  </w:pPr>
                  <w:r>
                    <w:rPr>
                      <w:b/>
                      <w:color w:val="44536A"/>
                      <w:sz w:val="20"/>
                    </w:rPr>
                    <w:t>Figure 2 </w:t>
                  </w:r>
                  <w:r>
                    <w:rPr>
                      <w:color w:val="44536A"/>
                      <w:sz w:val="20"/>
                    </w:rPr>
                    <w:t>: Première page du questionnaire</w:t>
                  </w:r>
                </w:p>
              </w:txbxContent>
            </v:textbox>
            <v:fill type="solid"/>
            <w10:wrap type="none"/>
          </v:shape>
        </w:pict>
      </w:r>
      <w:bookmarkStart w:name="1.1 Le Questionnaire" w:id="204"/>
      <w:bookmarkEnd w:id="204"/>
      <w:r>
        <w:rPr>
          <w:b w:val="0"/>
        </w:rPr>
      </w:r>
      <w:bookmarkStart w:name="1.1 Le Questionnaire" w:id="205"/>
      <w:bookmarkEnd w:id="205"/>
      <w:r>
        <w:rPr/>
        <w:t>L</w:t>
      </w:r>
      <w:r>
        <w:rPr/>
        <w:t>e Questionnaire</w:t>
      </w:r>
    </w:p>
    <w:p>
      <w:pPr>
        <w:pStyle w:val="BodyText"/>
        <w:spacing w:before="1"/>
        <w:rPr>
          <w:b/>
        </w:rPr>
      </w:pPr>
    </w:p>
    <w:p>
      <w:pPr>
        <w:pStyle w:val="ListParagraph"/>
        <w:numPr>
          <w:ilvl w:val="0"/>
          <w:numId w:val="25"/>
        </w:numPr>
        <w:tabs>
          <w:tab w:pos="1468" w:val="left" w:leader="none"/>
          <w:tab w:pos="1469" w:val="left" w:leader="none"/>
        </w:tabs>
        <w:spacing w:line="240" w:lineRule="auto" w:before="0" w:after="0"/>
        <w:ind w:left="1468" w:right="0" w:hanging="361"/>
        <w:jc w:val="left"/>
        <w:rPr>
          <w:rFonts w:ascii="Symbol" w:hAnsi="Symbol"/>
          <w:b/>
          <w:sz w:val="22"/>
        </w:rPr>
      </w:pPr>
      <w:r>
        <w:rPr>
          <w:b/>
          <w:sz w:val="24"/>
        </w:rPr>
        <w:t>Principaux axes du questionnaire</w:t>
      </w:r>
      <w:r>
        <w:rPr>
          <w:b/>
          <w:spacing w:val="-2"/>
          <w:sz w:val="24"/>
        </w:rPr>
        <w:t> </w:t>
      </w:r>
      <w:r>
        <w:rPr>
          <w:b/>
          <w:sz w:val="22"/>
        </w:rPr>
        <w:t>:</w:t>
      </w:r>
    </w:p>
    <w:p>
      <w:pPr>
        <w:pStyle w:val="BodyText"/>
        <w:spacing w:before="7"/>
        <w:rPr>
          <w:b/>
          <w:sz w:val="20"/>
        </w:rPr>
      </w:pPr>
    </w:p>
    <w:p>
      <w:pPr>
        <w:pStyle w:val="BodyText"/>
        <w:spacing w:line="360" w:lineRule="auto" w:before="1"/>
        <w:ind w:left="699" w:right="3078" w:firstLine="706"/>
        <w:jc w:val="both"/>
      </w:pPr>
      <w:r>
        <w:rPr/>
        <w:drawing>
          <wp:anchor distT="0" distB="0" distL="0" distR="0" allowOverlap="1" layoutInCell="1" locked="0" behindDoc="0" simplePos="0" relativeHeight="251692032">
            <wp:simplePos x="0" y="0"/>
            <wp:positionH relativeFrom="page">
              <wp:posOffset>5410200</wp:posOffset>
            </wp:positionH>
            <wp:positionV relativeFrom="paragraph">
              <wp:posOffset>-23645</wp:posOffset>
            </wp:positionV>
            <wp:extent cx="1635759" cy="1859280"/>
            <wp:effectExtent l="0" t="0" r="0" b="0"/>
            <wp:wrapNone/>
            <wp:docPr id="7" name="image4.jpeg"/>
            <wp:cNvGraphicFramePr>
              <a:graphicFrameLocks noChangeAspect="1"/>
            </wp:cNvGraphicFramePr>
            <a:graphic>
              <a:graphicData uri="http://schemas.openxmlformats.org/drawingml/2006/picture">
                <pic:pic>
                  <pic:nvPicPr>
                    <pic:cNvPr id="8" name="image4.jpeg"/>
                    <pic:cNvPicPr/>
                  </pic:nvPicPr>
                  <pic:blipFill>
                    <a:blip r:embed="rId58" cstate="print"/>
                    <a:stretch>
                      <a:fillRect/>
                    </a:stretch>
                  </pic:blipFill>
                  <pic:spPr>
                    <a:xfrm>
                      <a:off x="0" y="0"/>
                      <a:ext cx="1635759" cy="1859280"/>
                    </a:xfrm>
                    <a:prstGeom prst="rect">
                      <a:avLst/>
                    </a:prstGeom>
                  </pic:spPr>
                </pic:pic>
              </a:graphicData>
            </a:graphic>
          </wp:anchor>
        </w:drawing>
      </w:r>
      <w:r>
        <w:rPr/>
        <w:t>L’enquête est basée sur un questionnaire subdivisé en six parties principales afin de recueillir les informations détaillées et l’avis des utilisateurs de l’application BaridiMob. Le questionnaire a été proposé en français et en arabe, afin de garantir une meilleure accessibilité et une compréhension facile et fiable. Cette approche bilingue a permis de favoriser une participation plus large, de mieux comprendre les besoins des utilisateurs, et d’identifier les principaux</w:t>
      </w:r>
    </w:p>
    <w:p>
      <w:pPr>
        <w:pStyle w:val="BodyText"/>
        <w:spacing w:before="2"/>
        <w:ind w:left="699"/>
        <w:jc w:val="both"/>
      </w:pPr>
      <w:r>
        <w:rPr/>
        <w:t>leviers d’amélioration de l’application ainsi que l’efficacité de la rec</w:t>
      </w:r>
      <w:bookmarkStart w:name="_bookmark16" w:id="206"/>
      <w:bookmarkEnd w:id="206"/>
      <w:r>
        <w:rPr/>
        <w:t>h</w:t>
      </w:r>
      <w:r>
        <w:rPr/>
        <w:t>erche.</w:t>
      </w:r>
    </w:p>
    <w:p>
      <w:pPr>
        <w:spacing w:after="0"/>
        <w:jc w:val="both"/>
        <w:sectPr>
          <w:pgSz w:w="12240" w:h="15840"/>
          <w:pgMar w:header="723" w:footer="850" w:top="1080" w:bottom="1040" w:left="1000" w:right="820"/>
        </w:sectPr>
      </w:pPr>
    </w:p>
    <w:p>
      <w:pPr>
        <w:pStyle w:val="BodyText"/>
        <w:spacing w:before="4"/>
        <w:rPr>
          <w:sz w:val="20"/>
        </w:rPr>
      </w:pPr>
    </w:p>
    <w:p>
      <w:pPr>
        <w:pStyle w:val="Heading5"/>
        <w:numPr>
          <w:ilvl w:val="0"/>
          <w:numId w:val="26"/>
        </w:numPr>
        <w:tabs>
          <w:tab w:pos="1488" w:val="left" w:leader="none"/>
        </w:tabs>
        <w:spacing w:line="240" w:lineRule="auto" w:before="90" w:after="0"/>
        <w:ind w:left="1487" w:right="0" w:hanging="361"/>
        <w:jc w:val="both"/>
      </w:pPr>
      <w:r>
        <w:rPr/>
        <w:t>Partie 01 : Données personnelles (04 questions)</w:t>
      </w:r>
      <w:r>
        <w:rPr>
          <w:spacing w:val="4"/>
        </w:rPr>
        <w:t> </w:t>
      </w:r>
      <w:r>
        <w:rPr/>
        <w:t>:</w:t>
      </w:r>
    </w:p>
    <w:p>
      <w:pPr>
        <w:pStyle w:val="BodyText"/>
        <w:rPr>
          <w:b/>
          <w:sz w:val="29"/>
        </w:rPr>
      </w:pPr>
    </w:p>
    <w:p>
      <w:pPr>
        <w:pStyle w:val="BodyText"/>
        <w:spacing w:line="362" w:lineRule="auto"/>
        <w:ind w:left="699" w:right="315" w:firstLine="360"/>
        <w:jc w:val="both"/>
      </w:pPr>
      <w:r>
        <w:rPr/>
        <w:t>Cette</w:t>
      </w:r>
      <w:r>
        <w:rPr>
          <w:spacing w:val="-12"/>
        </w:rPr>
        <w:t> </w:t>
      </w:r>
      <w:r>
        <w:rPr/>
        <w:t>partie</w:t>
      </w:r>
      <w:r>
        <w:rPr>
          <w:spacing w:val="-12"/>
        </w:rPr>
        <w:t> </w:t>
      </w:r>
      <w:r>
        <w:rPr/>
        <w:t>a</w:t>
      </w:r>
      <w:r>
        <w:rPr>
          <w:spacing w:val="-11"/>
        </w:rPr>
        <w:t> </w:t>
      </w:r>
      <w:r>
        <w:rPr/>
        <w:t>pour</w:t>
      </w:r>
      <w:r>
        <w:rPr>
          <w:spacing w:val="-14"/>
        </w:rPr>
        <w:t> </w:t>
      </w:r>
      <w:r>
        <w:rPr/>
        <w:t>objectif</w:t>
      </w:r>
      <w:r>
        <w:rPr>
          <w:spacing w:val="-18"/>
        </w:rPr>
        <w:t> </w:t>
      </w:r>
      <w:r>
        <w:rPr/>
        <w:t>de</w:t>
      </w:r>
      <w:r>
        <w:rPr>
          <w:spacing w:val="-12"/>
        </w:rPr>
        <w:t> </w:t>
      </w:r>
      <w:r>
        <w:rPr/>
        <w:t>recueillir</w:t>
      </w:r>
      <w:r>
        <w:rPr>
          <w:spacing w:val="-5"/>
        </w:rPr>
        <w:t> </w:t>
      </w:r>
      <w:r>
        <w:rPr/>
        <w:t>des</w:t>
      </w:r>
      <w:r>
        <w:rPr>
          <w:spacing w:val="-8"/>
        </w:rPr>
        <w:t> </w:t>
      </w:r>
      <w:r>
        <w:rPr/>
        <w:t>informations</w:t>
      </w:r>
      <w:r>
        <w:rPr>
          <w:spacing w:val="-12"/>
        </w:rPr>
        <w:t> </w:t>
      </w:r>
      <w:r>
        <w:rPr/>
        <w:t>de</w:t>
      </w:r>
      <w:r>
        <w:rPr>
          <w:spacing w:val="-7"/>
        </w:rPr>
        <w:t> </w:t>
      </w:r>
      <w:r>
        <w:rPr/>
        <w:t>base</w:t>
      </w:r>
      <w:r>
        <w:rPr>
          <w:spacing w:val="-12"/>
        </w:rPr>
        <w:t> </w:t>
      </w:r>
      <w:r>
        <w:rPr/>
        <w:t>essentielles</w:t>
      </w:r>
      <w:r>
        <w:rPr>
          <w:spacing w:val="-12"/>
        </w:rPr>
        <w:t> </w:t>
      </w:r>
      <w:r>
        <w:rPr/>
        <w:t>sur</w:t>
      </w:r>
      <w:r>
        <w:rPr>
          <w:spacing w:val="-4"/>
        </w:rPr>
        <w:t> </w:t>
      </w:r>
      <w:r>
        <w:rPr>
          <w:spacing w:val="-3"/>
        </w:rPr>
        <w:t>les</w:t>
      </w:r>
      <w:r>
        <w:rPr>
          <w:spacing w:val="-13"/>
        </w:rPr>
        <w:t> </w:t>
      </w:r>
      <w:r>
        <w:rPr/>
        <w:t>utilisateurs de l’application BaridiMob. Elle contient quatre questions portant sur </w:t>
      </w:r>
      <w:r>
        <w:rPr>
          <w:spacing w:val="-5"/>
        </w:rPr>
        <w:t>le </w:t>
      </w:r>
      <w:r>
        <w:rPr/>
        <w:t>sexe, </w:t>
      </w:r>
      <w:r>
        <w:rPr>
          <w:spacing w:val="-3"/>
        </w:rPr>
        <w:t>la </w:t>
      </w:r>
      <w:r>
        <w:rPr/>
        <w:t>tranche d’âge, </w:t>
      </w:r>
      <w:r>
        <w:rPr>
          <w:spacing w:val="-5"/>
        </w:rPr>
        <w:t>la </w:t>
      </w:r>
      <w:r>
        <w:rPr/>
        <w:t>situation professionnelle et </w:t>
      </w:r>
      <w:r>
        <w:rPr>
          <w:spacing w:val="-5"/>
        </w:rPr>
        <w:t>le </w:t>
      </w:r>
      <w:r>
        <w:rPr/>
        <w:t>revenu </w:t>
      </w:r>
      <w:r>
        <w:rPr>
          <w:spacing w:val="-3"/>
        </w:rPr>
        <w:t>mensuel. </w:t>
      </w:r>
      <w:r>
        <w:rPr/>
        <w:t>Ces données permettent d’analyser l’impact des caractéristiques sociodémographiques sur l’usage de l’application et </w:t>
      </w:r>
      <w:r>
        <w:rPr>
          <w:spacing w:val="-5"/>
        </w:rPr>
        <w:t>la </w:t>
      </w:r>
      <w:r>
        <w:rPr/>
        <w:t>perception des services proposés par Algérie Poste. Les questions de cette partie servent à identifier les profils types d’utilisateurs, leurs attentes, leurs comportements </w:t>
      </w:r>
      <w:r>
        <w:rPr>
          <w:spacing w:val="-3"/>
        </w:rPr>
        <w:t>et </w:t>
      </w:r>
      <w:r>
        <w:rPr/>
        <w:t>leurs difficultés dans l’usage de ce </w:t>
      </w:r>
      <w:r>
        <w:rPr>
          <w:spacing w:val="-3"/>
        </w:rPr>
        <w:t>moyen, </w:t>
      </w:r>
      <w:r>
        <w:rPr/>
        <w:t>afin de mieux comprendre les facteurs influençant leur expérience avec</w:t>
      </w:r>
      <w:r>
        <w:rPr>
          <w:spacing w:val="5"/>
        </w:rPr>
        <w:t> </w:t>
      </w:r>
      <w:r>
        <w:rPr/>
        <w:t>BaridiMob.</w:t>
      </w:r>
    </w:p>
    <w:p>
      <w:pPr>
        <w:pStyle w:val="Heading5"/>
        <w:numPr>
          <w:ilvl w:val="0"/>
          <w:numId w:val="26"/>
        </w:numPr>
        <w:tabs>
          <w:tab w:pos="1488" w:val="left" w:leader="none"/>
        </w:tabs>
        <w:spacing w:line="362" w:lineRule="auto" w:before="146" w:after="0"/>
        <w:ind w:left="1487" w:right="325" w:hanging="360"/>
        <w:jc w:val="both"/>
      </w:pPr>
      <w:r>
        <w:rPr/>
        <w:t>Partie 02 : Profil utilisateur de BaridiMob et évaluation de </w:t>
      </w:r>
      <w:r>
        <w:rPr>
          <w:spacing w:val="-3"/>
        </w:rPr>
        <w:t>la </w:t>
      </w:r>
      <w:r>
        <w:rPr/>
        <w:t>satisfaction à travers l’expérience d’utilisation (04 questions)</w:t>
      </w:r>
      <w:r>
        <w:rPr>
          <w:spacing w:val="3"/>
        </w:rPr>
        <w:t> </w:t>
      </w:r>
      <w:r>
        <w:rPr/>
        <w:t>:</w:t>
      </w:r>
    </w:p>
    <w:p>
      <w:pPr>
        <w:pStyle w:val="BodyText"/>
        <w:spacing w:line="360" w:lineRule="auto" w:before="151"/>
        <w:ind w:left="699" w:right="317" w:firstLine="360"/>
        <w:jc w:val="both"/>
      </w:pPr>
      <w:r>
        <w:rPr/>
        <w:t>Cette partie vise à identifier les habitudes d’utilisation de l’application BaridiMob. Elle comprend des questions sur la fréquence d’utilisation, les fonctionnalités les plus utilisées (recharge mobile, transferts d’argent, consultation du solde, paiements de factures, retrait sans carte) et une question d’évaluation permettant de mesurer le niveau de satisfaction global des utilisateurs concernant l’usage de cette l’application.</w:t>
      </w:r>
    </w:p>
    <w:p>
      <w:pPr>
        <w:pStyle w:val="Heading5"/>
        <w:numPr>
          <w:ilvl w:val="0"/>
          <w:numId w:val="26"/>
        </w:numPr>
        <w:tabs>
          <w:tab w:pos="1488" w:val="left" w:leader="none"/>
        </w:tabs>
        <w:spacing w:line="240" w:lineRule="auto" w:before="168" w:after="0"/>
        <w:ind w:left="1487" w:right="0" w:hanging="361"/>
        <w:jc w:val="both"/>
      </w:pPr>
      <w:r>
        <w:rPr/>
        <w:t>Partie 03 : Évaluation du niveau de sécurité de l’application (06 questions)</w:t>
      </w:r>
      <w:r>
        <w:rPr>
          <w:spacing w:val="-1"/>
        </w:rPr>
        <w:t> </w:t>
      </w:r>
      <w:r>
        <w:rPr/>
        <w:t>:</w:t>
      </w:r>
    </w:p>
    <w:p>
      <w:pPr>
        <w:pStyle w:val="BodyText"/>
        <w:spacing w:before="2"/>
        <w:rPr>
          <w:b/>
          <w:sz w:val="25"/>
        </w:rPr>
      </w:pPr>
    </w:p>
    <w:p>
      <w:pPr>
        <w:pStyle w:val="BodyText"/>
        <w:spacing w:line="360" w:lineRule="auto" w:before="1"/>
        <w:ind w:left="699" w:right="315" w:firstLine="360"/>
        <w:jc w:val="both"/>
      </w:pPr>
      <w:r>
        <w:rPr/>
        <w:t>Dans</w:t>
      </w:r>
      <w:r>
        <w:rPr>
          <w:spacing w:val="-14"/>
        </w:rPr>
        <w:t> </w:t>
      </w:r>
      <w:r>
        <w:rPr/>
        <w:t>cette</w:t>
      </w:r>
      <w:r>
        <w:rPr>
          <w:spacing w:val="-17"/>
        </w:rPr>
        <w:t> </w:t>
      </w:r>
      <w:r>
        <w:rPr/>
        <w:t>partie</w:t>
      </w:r>
      <w:r>
        <w:rPr>
          <w:spacing w:val="-13"/>
        </w:rPr>
        <w:t> </w:t>
      </w:r>
      <w:r>
        <w:rPr/>
        <w:t>nous</w:t>
      </w:r>
      <w:r>
        <w:rPr>
          <w:spacing w:val="-13"/>
        </w:rPr>
        <w:t> </w:t>
      </w:r>
      <w:r>
        <w:rPr/>
        <w:t>allons</w:t>
      </w:r>
      <w:r>
        <w:rPr>
          <w:spacing w:val="-14"/>
        </w:rPr>
        <w:t> </w:t>
      </w:r>
      <w:r>
        <w:rPr/>
        <w:t>évaluer</w:t>
      </w:r>
      <w:r>
        <w:rPr>
          <w:spacing w:val="-6"/>
        </w:rPr>
        <w:t> </w:t>
      </w:r>
      <w:r>
        <w:rPr>
          <w:spacing w:val="-5"/>
        </w:rPr>
        <w:t>le</w:t>
      </w:r>
      <w:r>
        <w:rPr>
          <w:spacing w:val="-12"/>
        </w:rPr>
        <w:t> </w:t>
      </w:r>
      <w:r>
        <w:rPr/>
        <w:t>sentiment</w:t>
      </w:r>
      <w:r>
        <w:rPr>
          <w:spacing w:val="-8"/>
        </w:rPr>
        <w:t> </w:t>
      </w:r>
      <w:r>
        <w:rPr>
          <w:spacing w:val="-3"/>
        </w:rPr>
        <w:t>de</w:t>
      </w:r>
      <w:r>
        <w:rPr>
          <w:spacing w:val="-12"/>
        </w:rPr>
        <w:t> </w:t>
      </w:r>
      <w:r>
        <w:rPr/>
        <w:t>sécurité</w:t>
      </w:r>
      <w:r>
        <w:rPr>
          <w:spacing w:val="-13"/>
        </w:rPr>
        <w:t> </w:t>
      </w:r>
      <w:r>
        <w:rPr/>
        <w:t>des</w:t>
      </w:r>
      <w:r>
        <w:rPr>
          <w:spacing w:val="-19"/>
        </w:rPr>
        <w:t> </w:t>
      </w:r>
      <w:r>
        <w:rPr/>
        <w:t>utilisateurs</w:t>
      </w:r>
      <w:r>
        <w:rPr>
          <w:spacing w:val="-13"/>
        </w:rPr>
        <w:t> </w:t>
      </w:r>
      <w:r>
        <w:rPr/>
        <w:t>lors</w:t>
      </w:r>
      <w:r>
        <w:rPr>
          <w:spacing w:val="-14"/>
        </w:rPr>
        <w:t> </w:t>
      </w:r>
      <w:r>
        <w:rPr/>
        <w:t>de</w:t>
      </w:r>
      <w:r>
        <w:rPr>
          <w:spacing w:val="-17"/>
        </w:rPr>
        <w:t> </w:t>
      </w:r>
      <w:r>
        <w:rPr/>
        <w:t>l’utilisation de</w:t>
      </w:r>
      <w:r>
        <w:rPr>
          <w:spacing w:val="-7"/>
        </w:rPr>
        <w:t> </w:t>
      </w:r>
      <w:r>
        <w:rPr/>
        <w:t>BaridiMob</w:t>
      </w:r>
      <w:r>
        <w:rPr>
          <w:spacing w:val="-10"/>
        </w:rPr>
        <w:t> </w:t>
      </w:r>
      <w:r>
        <w:rPr/>
        <w:t>à</w:t>
      </w:r>
      <w:r>
        <w:rPr>
          <w:spacing w:val="-1"/>
        </w:rPr>
        <w:t> </w:t>
      </w:r>
      <w:r>
        <w:rPr/>
        <w:t>l’aide</w:t>
      </w:r>
      <w:r>
        <w:rPr>
          <w:spacing w:val="-7"/>
        </w:rPr>
        <w:t> </w:t>
      </w:r>
      <w:r>
        <w:rPr/>
        <w:t>d’une</w:t>
      </w:r>
      <w:r>
        <w:rPr>
          <w:spacing w:val="-6"/>
        </w:rPr>
        <w:t> </w:t>
      </w:r>
      <w:r>
        <w:rPr/>
        <w:t>échelle</w:t>
      </w:r>
      <w:r>
        <w:rPr>
          <w:spacing w:val="-6"/>
        </w:rPr>
        <w:t> </w:t>
      </w:r>
      <w:r>
        <w:rPr/>
        <w:t>de</w:t>
      </w:r>
      <w:r>
        <w:rPr>
          <w:spacing w:val="-7"/>
        </w:rPr>
        <w:t> </w:t>
      </w:r>
      <w:r>
        <w:rPr/>
        <w:t>Likert.</w:t>
      </w:r>
      <w:r>
        <w:rPr>
          <w:spacing w:val="-3"/>
        </w:rPr>
        <w:t> </w:t>
      </w:r>
      <w:r>
        <w:rPr/>
        <w:t>Cette</w:t>
      </w:r>
      <w:r>
        <w:rPr>
          <w:spacing w:val="-6"/>
        </w:rPr>
        <w:t> </w:t>
      </w:r>
      <w:r>
        <w:rPr/>
        <w:t>dernière</w:t>
      </w:r>
      <w:r>
        <w:rPr>
          <w:spacing w:val="-7"/>
        </w:rPr>
        <w:t> </w:t>
      </w:r>
      <w:r>
        <w:rPr/>
        <w:t>aborde</w:t>
      </w:r>
      <w:r>
        <w:rPr>
          <w:spacing w:val="-6"/>
        </w:rPr>
        <w:t> </w:t>
      </w:r>
      <w:r>
        <w:rPr>
          <w:spacing w:val="-3"/>
        </w:rPr>
        <w:t>les</w:t>
      </w:r>
      <w:r>
        <w:rPr>
          <w:spacing w:val="-7"/>
        </w:rPr>
        <w:t> </w:t>
      </w:r>
      <w:r>
        <w:rPr/>
        <w:t>préoccupations</w:t>
      </w:r>
      <w:r>
        <w:rPr>
          <w:spacing w:val="-7"/>
        </w:rPr>
        <w:t> </w:t>
      </w:r>
      <w:r>
        <w:rPr/>
        <w:t>relatives</w:t>
      </w:r>
      <w:r>
        <w:rPr>
          <w:spacing w:val="-8"/>
        </w:rPr>
        <w:t> </w:t>
      </w:r>
      <w:r>
        <w:rPr/>
        <w:t>à </w:t>
      </w:r>
      <w:r>
        <w:rPr>
          <w:spacing w:val="-3"/>
        </w:rPr>
        <w:t>la </w:t>
      </w:r>
      <w:r>
        <w:rPr/>
        <w:t>protection des données, </w:t>
      </w:r>
      <w:r>
        <w:rPr>
          <w:spacing w:val="-3"/>
        </w:rPr>
        <w:t>les </w:t>
      </w:r>
      <w:r>
        <w:rPr/>
        <w:t>incidents de sécurité rencontrés (fraude, piratage </w:t>
      </w:r>
      <w:r>
        <w:rPr>
          <w:spacing w:val="-3"/>
        </w:rPr>
        <w:t>et </w:t>
      </w:r>
      <w:r>
        <w:rPr/>
        <w:t>vol de données), les</w:t>
      </w:r>
      <w:r>
        <w:rPr>
          <w:spacing w:val="-12"/>
        </w:rPr>
        <w:t> </w:t>
      </w:r>
      <w:r>
        <w:rPr/>
        <w:t>comportements</w:t>
      </w:r>
      <w:r>
        <w:rPr>
          <w:spacing w:val="-11"/>
        </w:rPr>
        <w:t> </w:t>
      </w:r>
      <w:r>
        <w:rPr/>
        <w:t>adoptés</w:t>
      </w:r>
      <w:r>
        <w:rPr>
          <w:spacing w:val="-12"/>
        </w:rPr>
        <w:t> </w:t>
      </w:r>
      <w:r>
        <w:rPr/>
        <w:t>en</w:t>
      </w:r>
      <w:r>
        <w:rPr>
          <w:spacing w:val="-13"/>
        </w:rPr>
        <w:t> </w:t>
      </w:r>
      <w:r>
        <w:rPr/>
        <w:t>cas</w:t>
      </w:r>
      <w:r>
        <w:rPr>
          <w:spacing w:val="-11"/>
        </w:rPr>
        <w:t> </w:t>
      </w:r>
      <w:r>
        <w:rPr/>
        <w:t>de</w:t>
      </w:r>
      <w:r>
        <w:rPr>
          <w:spacing w:val="-10"/>
        </w:rPr>
        <w:t> </w:t>
      </w:r>
      <w:r>
        <w:rPr/>
        <w:t>doute</w:t>
      </w:r>
      <w:r>
        <w:rPr>
          <w:spacing w:val="-11"/>
        </w:rPr>
        <w:t> </w:t>
      </w:r>
      <w:r>
        <w:rPr/>
        <w:t>sur</w:t>
      </w:r>
      <w:r>
        <w:rPr>
          <w:spacing w:val="-7"/>
        </w:rPr>
        <w:t> </w:t>
      </w:r>
      <w:r>
        <w:rPr>
          <w:spacing w:val="-5"/>
        </w:rPr>
        <w:t>la</w:t>
      </w:r>
      <w:r>
        <w:rPr>
          <w:spacing w:val="-11"/>
        </w:rPr>
        <w:t> </w:t>
      </w:r>
      <w:r>
        <w:rPr/>
        <w:t>sécurité</w:t>
      </w:r>
      <w:r>
        <w:rPr>
          <w:spacing w:val="-10"/>
        </w:rPr>
        <w:t> </w:t>
      </w:r>
      <w:r>
        <w:rPr/>
        <w:t>et</w:t>
      </w:r>
      <w:r>
        <w:rPr>
          <w:spacing w:val="-8"/>
        </w:rPr>
        <w:t> </w:t>
      </w:r>
      <w:r>
        <w:rPr>
          <w:spacing w:val="-3"/>
        </w:rPr>
        <w:t>les</w:t>
      </w:r>
      <w:r>
        <w:rPr>
          <w:spacing w:val="-12"/>
        </w:rPr>
        <w:t> </w:t>
      </w:r>
      <w:r>
        <w:rPr/>
        <w:t>suggestions</w:t>
      </w:r>
      <w:r>
        <w:rPr>
          <w:spacing w:val="-11"/>
        </w:rPr>
        <w:t> </w:t>
      </w:r>
      <w:r>
        <w:rPr/>
        <w:t>d’amélioration</w:t>
      </w:r>
      <w:r>
        <w:rPr>
          <w:spacing w:val="-13"/>
        </w:rPr>
        <w:t> </w:t>
      </w:r>
      <w:r>
        <w:rPr/>
        <w:t>(double authentification, </w:t>
      </w:r>
      <w:r>
        <w:rPr>
          <w:spacing w:val="-3"/>
        </w:rPr>
        <w:t>les </w:t>
      </w:r>
      <w:r>
        <w:rPr/>
        <w:t>alertes instantanées, meilleur cryptage des données et ajout d’un code de confirmation secret), ainsi que </w:t>
      </w:r>
      <w:r>
        <w:rPr>
          <w:spacing w:val="-3"/>
        </w:rPr>
        <w:t>la </w:t>
      </w:r>
      <w:r>
        <w:rPr/>
        <w:t>recherche des utilisateurs sur un autre dispositif de paiement digital à adopter si l’application BaridiMob était jugée totalement non</w:t>
      </w:r>
      <w:r>
        <w:rPr>
          <w:spacing w:val="-10"/>
        </w:rPr>
        <w:t> </w:t>
      </w:r>
      <w:r>
        <w:rPr/>
        <w:t>sécurisée.</w:t>
      </w:r>
    </w:p>
    <w:p>
      <w:pPr>
        <w:pStyle w:val="Heading5"/>
        <w:numPr>
          <w:ilvl w:val="0"/>
          <w:numId w:val="26"/>
        </w:numPr>
        <w:tabs>
          <w:tab w:pos="1488" w:val="left" w:leader="none"/>
        </w:tabs>
        <w:spacing w:line="362" w:lineRule="auto" w:before="165" w:after="0"/>
        <w:ind w:left="1487" w:right="317" w:hanging="360"/>
        <w:jc w:val="both"/>
      </w:pPr>
      <w:r>
        <w:rPr/>
        <w:t>Partie 04 : Analyse des problèmes de fonctionnement rencontrés sur BaridiMob comme bugs et dysfonctionnements (04 questions)</w:t>
      </w:r>
      <w:r>
        <w:rPr>
          <w:spacing w:val="6"/>
        </w:rPr>
        <w:t> </w:t>
      </w:r>
      <w:r>
        <w:rPr/>
        <w:t>:</w:t>
      </w:r>
    </w:p>
    <w:p>
      <w:pPr>
        <w:pStyle w:val="BodyText"/>
        <w:spacing w:line="360" w:lineRule="auto" w:before="151"/>
        <w:ind w:left="699" w:right="315" w:firstLine="360"/>
        <w:jc w:val="both"/>
      </w:pPr>
      <w:r>
        <w:rPr/>
        <w:t>Cette phase s’intéresse aux problèmes techniques rencontrés par les utilisateurs lors de l’utilisation de l’application. Elle est structurée autour de quatre questions clés portant sur la fréquence des bugs ou erreurs, les types de bugs et dysfonctionnements observés (transactions échouées, lenteur excessive de l'application, Fermeture inopinée de l’application, etc.), les</w:t>
      </w:r>
    </w:p>
    <w:p>
      <w:pPr>
        <w:spacing w:after="0" w:line="360" w:lineRule="auto"/>
        <w:jc w:val="both"/>
        <w:sectPr>
          <w:pgSz w:w="12240" w:h="15840"/>
          <w:pgMar w:header="723" w:footer="850" w:top="1080" w:bottom="1040" w:left="1000" w:right="820"/>
        </w:sectPr>
      </w:pPr>
    </w:p>
    <w:p>
      <w:pPr>
        <w:pStyle w:val="BodyText"/>
        <w:spacing w:before="6"/>
        <w:rPr>
          <w:sz w:val="19"/>
        </w:rPr>
      </w:pPr>
    </w:p>
    <w:p>
      <w:pPr>
        <w:pStyle w:val="BodyText"/>
        <w:spacing w:line="362" w:lineRule="auto" w:before="90"/>
        <w:ind w:left="699" w:right="315"/>
        <w:jc w:val="both"/>
      </w:pPr>
      <w:r>
        <w:rPr/>
        <w:t>réactions des utilisateurs face à ces problèmes, ainsi que l’impact de ces problèmes sur l’usage global de l’application. L’objectif est de mieux comprendre dans quelle mesure ces défaillances affectent l’expérience utilisateur et la fiabilité de ce service.</w:t>
      </w:r>
    </w:p>
    <w:p>
      <w:pPr>
        <w:pStyle w:val="Heading5"/>
        <w:numPr>
          <w:ilvl w:val="0"/>
          <w:numId w:val="26"/>
        </w:numPr>
        <w:tabs>
          <w:tab w:pos="1488" w:val="left" w:leader="none"/>
        </w:tabs>
        <w:spacing w:line="240" w:lineRule="auto" w:before="161" w:after="0"/>
        <w:ind w:left="1487" w:right="0" w:hanging="361"/>
        <w:jc w:val="both"/>
      </w:pPr>
      <w:r>
        <w:rPr/>
        <w:t>Partie 05 : Disponibilité du service (04 questions)</w:t>
      </w:r>
      <w:r>
        <w:rPr>
          <w:spacing w:val="15"/>
        </w:rPr>
        <w:t> </w:t>
      </w:r>
      <w:r>
        <w:rPr/>
        <w:t>:</w:t>
      </w:r>
    </w:p>
    <w:p>
      <w:pPr>
        <w:pStyle w:val="BodyText"/>
        <w:spacing w:before="3"/>
        <w:rPr>
          <w:b/>
          <w:sz w:val="25"/>
        </w:rPr>
      </w:pPr>
    </w:p>
    <w:p>
      <w:pPr>
        <w:pStyle w:val="BodyText"/>
        <w:spacing w:line="360" w:lineRule="auto"/>
        <w:ind w:left="699" w:right="314" w:firstLine="360"/>
        <w:jc w:val="both"/>
      </w:pPr>
      <w:r>
        <w:rPr/>
        <w:t>Dans cette partie de l’étude, nous allons voir la perception des utilisateurs concernant la régularité et l’accessibilité du service BaridiMob. Alors, on se focalise aux moments d’indisponibilité de ce service à travers quatre questions portant sur la fréquence des interruptions du service à certaines heures, les moments ou bien les créneaux horaires les plus courants, la réaction des utilisateurs face à ces pannes et aussi leur confiance à cause ces indisponibilités.</w:t>
      </w:r>
    </w:p>
    <w:p>
      <w:pPr>
        <w:pStyle w:val="Heading5"/>
        <w:numPr>
          <w:ilvl w:val="0"/>
          <w:numId w:val="26"/>
        </w:numPr>
        <w:tabs>
          <w:tab w:pos="1550" w:val="left" w:leader="none"/>
        </w:tabs>
        <w:spacing w:line="240" w:lineRule="auto" w:before="173" w:after="0"/>
        <w:ind w:left="1549" w:right="0" w:hanging="423"/>
        <w:jc w:val="both"/>
      </w:pPr>
      <w:r>
        <w:rPr/>
        <w:t>Partie 06 : Qualité du service client (04 questions)</w:t>
      </w:r>
      <w:r>
        <w:rPr>
          <w:spacing w:val="20"/>
        </w:rPr>
        <w:t> </w:t>
      </w:r>
      <w:r>
        <w:rPr/>
        <w:t>:</w:t>
      </w:r>
    </w:p>
    <w:p>
      <w:pPr>
        <w:pStyle w:val="BodyText"/>
        <w:spacing w:before="9"/>
        <w:rPr>
          <w:b/>
        </w:rPr>
      </w:pPr>
    </w:p>
    <w:p>
      <w:pPr>
        <w:pStyle w:val="BodyText"/>
        <w:spacing w:line="362" w:lineRule="auto" w:before="1"/>
        <w:ind w:left="699" w:right="318" w:firstLine="360"/>
        <w:jc w:val="both"/>
      </w:pPr>
      <w:r>
        <w:rPr/>
        <w:t>La</w:t>
      </w:r>
      <w:r>
        <w:rPr>
          <w:spacing w:val="-7"/>
        </w:rPr>
        <w:t> </w:t>
      </w:r>
      <w:r>
        <w:rPr/>
        <w:t>dernière</w:t>
      </w:r>
      <w:r>
        <w:rPr>
          <w:spacing w:val="-7"/>
        </w:rPr>
        <w:t> </w:t>
      </w:r>
      <w:r>
        <w:rPr/>
        <w:t>section</w:t>
      </w:r>
      <w:r>
        <w:rPr>
          <w:spacing w:val="-11"/>
        </w:rPr>
        <w:t> </w:t>
      </w:r>
      <w:r>
        <w:rPr/>
        <w:t>de</w:t>
      </w:r>
      <w:r>
        <w:rPr>
          <w:spacing w:val="-7"/>
        </w:rPr>
        <w:t> </w:t>
      </w:r>
      <w:r>
        <w:rPr/>
        <w:t>cette</w:t>
      </w:r>
      <w:r>
        <w:rPr>
          <w:spacing w:val="-7"/>
        </w:rPr>
        <w:t> </w:t>
      </w:r>
      <w:r>
        <w:rPr/>
        <w:t>étude</w:t>
      </w:r>
      <w:r>
        <w:rPr>
          <w:spacing w:val="-7"/>
        </w:rPr>
        <w:t> </w:t>
      </w:r>
      <w:r>
        <w:rPr/>
        <w:t>évalue</w:t>
      </w:r>
      <w:r>
        <w:rPr>
          <w:spacing w:val="-2"/>
        </w:rPr>
        <w:t> </w:t>
      </w:r>
      <w:r>
        <w:rPr/>
        <w:t>les</w:t>
      </w:r>
      <w:r>
        <w:rPr>
          <w:spacing w:val="-8"/>
        </w:rPr>
        <w:t> </w:t>
      </w:r>
      <w:r>
        <w:rPr/>
        <w:t>performances</w:t>
      </w:r>
      <w:r>
        <w:rPr>
          <w:spacing w:val="-8"/>
        </w:rPr>
        <w:t> </w:t>
      </w:r>
      <w:r>
        <w:rPr/>
        <w:t>du</w:t>
      </w:r>
      <w:r>
        <w:rPr>
          <w:spacing w:val="-6"/>
        </w:rPr>
        <w:t> </w:t>
      </w:r>
      <w:r>
        <w:rPr/>
        <w:t>service</w:t>
      </w:r>
      <w:r>
        <w:rPr>
          <w:spacing w:val="-7"/>
        </w:rPr>
        <w:t> </w:t>
      </w:r>
      <w:r>
        <w:rPr/>
        <w:t>client</w:t>
      </w:r>
      <w:r>
        <w:rPr>
          <w:spacing w:val="-1"/>
        </w:rPr>
        <w:t> </w:t>
      </w:r>
      <w:r>
        <w:rPr/>
        <w:t>de</w:t>
      </w:r>
      <w:r>
        <w:rPr>
          <w:spacing w:val="-7"/>
        </w:rPr>
        <w:t> </w:t>
      </w:r>
      <w:r>
        <w:rPr/>
        <w:t>BaridiMob.</w:t>
      </w:r>
      <w:r>
        <w:rPr>
          <w:spacing w:val="-4"/>
        </w:rPr>
        <w:t> </w:t>
      </w:r>
      <w:r>
        <w:rPr/>
        <w:t>Les utilisateurs évaluent </w:t>
      </w:r>
      <w:r>
        <w:rPr>
          <w:spacing w:val="-5"/>
        </w:rPr>
        <w:t>la </w:t>
      </w:r>
      <w:r>
        <w:rPr/>
        <w:t>rapidité de réponse en cas de problème, </w:t>
      </w:r>
      <w:r>
        <w:rPr>
          <w:spacing w:val="-4"/>
        </w:rPr>
        <w:t>les </w:t>
      </w:r>
      <w:r>
        <w:rPr/>
        <w:t>difficultés rencontrées lors </w:t>
      </w:r>
      <w:r>
        <w:rPr>
          <w:spacing w:val="-5"/>
        </w:rPr>
        <w:t>la </w:t>
      </w:r>
      <w:r>
        <w:rPr/>
        <w:t>prise</w:t>
      </w:r>
      <w:r>
        <w:rPr>
          <w:spacing w:val="-9"/>
        </w:rPr>
        <w:t> </w:t>
      </w:r>
      <w:r>
        <w:rPr/>
        <w:t>de</w:t>
      </w:r>
      <w:r>
        <w:rPr>
          <w:spacing w:val="-8"/>
        </w:rPr>
        <w:t> </w:t>
      </w:r>
      <w:r>
        <w:rPr/>
        <w:t>contact</w:t>
      </w:r>
      <w:r>
        <w:rPr>
          <w:spacing w:val="-3"/>
        </w:rPr>
        <w:t> et</w:t>
      </w:r>
      <w:r>
        <w:rPr>
          <w:spacing w:val="-6"/>
        </w:rPr>
        <w:t> </w:t>
      </w:r>
      <w:r>
        <w:rPr/>
        <w:t>formulent</w:t>
      </w:r>
      <w:r>
        <w:rPr>
          <w:spacing w:val="-3"/>
        </w:rPr>
        <w:t> </w:t>
      </w:r>
      <w:r>
        <w:rPr/>
        <w:t>des</w:t>
      </w:r>
      <w:r>
        <w:rPr>
          <w:spacing w:val="-10"/>
        </w:rPr>
        <w:t> </w:t>
      </w:r>
      <w:r>
        <w:rPr/>
        <w:t>propositions</w:t>
      </w:r>
      <w:r>
        <w:rPr>
          <w:spacing w:val="-9"/>
        </w:rPr>
        <w:t> </w:t>
      </w:r>
      <w:r>
        <w:rPr/>
        <w:t>pour</w:t>
      </w:r>
      <w:r>
        <w:rPr>
          <w:spacing w:val="-15"/>
        </w:rPr>
        <w:t> </w:t>
      </w:r>
      <w:r>
        <w:rPr/>
        <w:t>améliorer</w:t>
      </w:r>
      <w:r>
        <w:rPr>
          <w:spacing w:val="-5"/>
        </w:rPr>
        <w:t> </w:t>
      </w:r>
      <w:r>
        <w:rPr/>
        <w:t>ce</w:t>
      </w:r>
      <w:r>
        <w:rPr>
          <w:spacing w:val="-1"/>
        </w:rPr>
        <w:t> </w:t>
      </w:r>
      <w:r>
        <w:rPr/>
        <w:t>service,</w:t>
      </w:r>
      <w:r>
        <w:rPr>
          <w:spacing w:val="-6"/>
        </w:rPr>
        <w:t> </w:t>
      </w:r>
      <w:r>
        <w:rPr/>
        <w:t>telles</w:t>
      </w:r>
      <w:r>
        <w:rPr>
          <w:spacing w:val="-9"/>
        </w:rPr>
        <w:t> </w:t>
      </w:r>
      <w:r>
        <w:rPr/>
        <w:t>que</w:t>
      </w:r>
      <w:r>
        <w:rPr>
          <w:spacing w:val="-4"/>
        </w:rPr>
        <w:t> </w:t>
      </w:r>
      <w:r>
        <w:rPr>
          <w:spacing w:val="-5"/>
        </w:rPr>
        <w:t>la</w:t>
      </w:r>
      <w:r>
        <w:rPr>
          <w:spacing w:val="-4"/>
        </w:rPr>
        <w:t> </w:t>
      </w:r>
      <w:r>
        <w:rPr/>
        <w:t>mise</w:t>
      </w:r>
      <w:r>
        <w:rPr>
          <w:spacing w:val="-8"/>
        </w:rPr>
        <w:t> </w:t>
      </w:r>
      <w:r>
        <w:rPr/>
        <w:t>en</w:t>
      </w:r>
      <w:r>
        <w:rPr>
          <w:spacing w:val="-12"/>
        </w:rPr>
        <w:t> </w:t>
      </w:r>
      <w:r>
        <w:rPr/>
        <w:t>place d’une assistance en </w:t>
      </w:r>
      <w:r>
        <w:rPr>
          <w:spacing w:val="-2"/>
        </w:rPr>
        <w:t>ligne, </w:t>
      </w:r>
      <w:r>
        <w:rPr>
          <w:spacing w:val="-5"/>
        </w:rPr>
        <w:t>la </w:t>
      </w:r>
      <w:r>
        <w:rPr/>
        <w:t>disponibilité 24h/24 et </w:t>
      </w:r>
      <w:r>
        <w:rPr>
          <w:spacing w:val="-3"/>
        </w:rPr>
        <w:t>7j/7 </w:t>
      </w:r>
      <w:r>
        <w:rPr/>
        <w:t>ou plus de rapidité dans </w:t>
      </w:r>
      <w:r>
        <w:rPr>
          <w:spacing w:val="-3"/>
        </w:rPr>
        <w:t>les</w:t>
      </w:r>
      <w:r>
        <w:rPr>
          <w:spacing w:val="18"/>
        </w:rPr>
        <w:t> </w:t>
      </w:r>
      <w:r>
        <w:rPr/>
        <w:t>réponses.</w:t>
      </w:r>
    </w:p>
    <w:p>
      <w:pPr>
        <w:pStyle w:val="BodyText"/>
        <w:spacing w:before="1"/>
      </w:pPr>
    </w:p>
    <w:p>
      <w:pPr>
        <w:pStyle w:val="Heading5"/>
        <w:numPr>
          <w:ilvl w:val="1"/>
          <w:numId w:val="24"/>
        </w:numPr>
        <w:tabs>
          <w:tab w:pos="1421" w:val="left" w:leader="none"/>
        </w:tabs>
        <w:spacing w:line="240" w:lineRule="auto" w:before="0" w:after="0"/>
        <w:ind w:left="1420" w:right="0" w:hanging="361"/>
        <w:jc w:val="both"/>
      </w:pPr>
      <w:bookmarkStart w:name="1.2 Processus d’évaluation" w:id="207"/>
      <w:bookmarkEnd w:id="207"/>
      <w:r>
        <w:rPr>
          <w:b w:val="0"/>
        </w:rPr>
      </w:r>
      <w:bookmarkStart w:name="1.2 Processus d’évaluation" w:id="208"/>
      <w:bookmarkEnd w:id="208"/>
      <w:r>
        <w:rPr/>
        <w:t>P</w:t>
      </w:r>
      <w:r>
        <w:rPr/>
        <w:t>rocessus</w:t>
      </w:r>
      <w:r>
        <w:rPr>
          <w:spacing w:val="-2"/>
        </w:rPr>
        <w:t> </w:t>
      </w:r>
      <w:r>
        <w:rPr/>
        <w:t>d’évaluation</w:t>
      </w:r>
    </w:p>
    <w:p>
      <w:pPr>
        <w:pStyle w:val="BodyText"/>
        <w:spacing w:before="7"/>
        <w:rPr>
          <w:b/>
          <w:sz w:val="23"/>
        </w:rPr>
      </w:pPr>
    </w:p>
    <w:p>
      <w:pPr>
        <w:pStyle w:val="BodyText"/>
        <w:spacing w:line="362" w:lineRule="auto"/>
        <w:ind w:left="699" w:right="322" w:firstLine="360"/>
        <w:jc w:val="both"/>
      </w:pPr>
      <w:r>
        <w:rPr/>
        <w:t>Dans</w:t>
      </w:r>
      <w:r>
        <w:rPr>
          <w:spacing w:val="-8"/>
        </w:rPr>
        <w:t> </w:t>
      </w:r>
      <w:r>
        <w:rPr>
          <w:spacing w:val="-3"/>
        </w:rPr>
        <w:t>le</w:t>
      </w:r>
      <w:r>
        <w:rPr>
          <w:spacing w:val="-11"/>
        </w:rPr>
        <w:t> </w:t>
      </w:r>
      <w:r>
        <w:rPr/>
        <w:t>cadre</w:t>
      </w:r>
      <w:r>
        <w:rPr>
          <w:spacing w:val="-12"/>
        </w:rPr>
        <w:t> </w:t>
      </w:r>
      <w:r>
        <w:rPr/>
        <w:t>de</w:t>
      </w:r>
      <w:r>
        <w:rPr>
          <w:spacing w:val="-11"/>
        </w:rPr>
        <w:t> </w:t>
      </w:r>
      <w:r>
        <w:rPr/>
        <w:t>notre</w:t>
      </w:r>
      <w:r>
        <w:rPr>
          <w:spacing w:val="-15"/>
        </w:rPr>
        <w:t> </w:t>
      </w:r>
      <w:r>
        <w:rPr/>
        <w:t>questionnaire,</w:t>
      </w:r>
      <w:r>
        <w:rPr>
          <w:spacing w:val="-8"/>
        </w:rPr>
        <w:t> </w:t>
      </w:r>
      <w:r>
        <w:rPr/>
        <w:t>notre</w:t>
      </w:r>
      <w:r>
        <w:rPr>
          <w:spacing w:val="-12"/>
        </w:rPr>
        <w:t> </w:t>
      </w:r>
      <w:r>
        <w:rPr/>
        <w:t>évaluation</w:t>
      </w:r>
      <w:r>
        <w:rPr>
          <w:spacing w:val="-14"/>
        </w:rPr>
        <w:t> </w:t>
      </w:r>
      <w:r>
        <w:rPr/>
        <w:t>repose</w:t>
      </w:r>
      <w:r>
        <w:rPr>
          <w:spacing w:val="-11"/>
        </w:rPr>
        <w:t> </w:t>
      </w:r>
      <w:r>
        <w:rPr/>
        <w:t>sur</w:t>
      </w:r>
      <w:r>
        <w:rPr>
          <w:spacing w:val="-8"/>
        </w:rPr>
        <w:t> </w:t>
      </w:r>
      <w:r>
        <w:rPr/>
        <w:t>une</w:t>
      </w:r>
      <w:r>
        <w:rPr>
          <w:spacing w:val="-12"/>
        </w:rPr>
        <w:t> </w:t>
      </w:r>
      <w:r>
        <w:rPr/>
        <w:t>combinaison</w:t>
      </w:r>
      <w:r>
        <w:rPr>
          <w:spacing w:val="-14"/>
        </w:rPr>
        <w:t> </w:t>
      </w:r>
      <w:r>
        <w:rPr/>
        <w:t>de</w:t>
      </w:r>
      <w:r>
        <w:rPr>
          <w:spacing w:val="-11"/>
        </w:rPr>
        <w:t> </w:t>
      </w:r>
      <w:r>
        <w:rPr/>
        <w:t>questions ouvertes, de questions fermées et de questions à choix multiples, en utilisant principalement l’échelle de Likert à </w:t>
      </w:r>
      <w:r>
        <w:rPr>
          <w:spacing w:val="-3"/>
        </w:rPr>
        <w:t>cinq </w:t>
      </w:r>
      <w:r>
        <w:rPr/>
        <w:t>points. Cette méthode nous permet d’analyser de manière structurée </w:t>
      </w:r>
      <w:r>
        <w:rPr>
          <w:spacing w:val="-3"/>
        </w:rPr>
        <w:t>les </w:t>
      </w:r>
      <w:r>
        <w:rPr/>
        <w:t>opinions, attitudes et ressentis des utilisateurs vis-à-vis de l’application mobile BaridiMob. L’échelle de Likert nous aide à mesurer de façon plus précise leur niveau de satisfaction, </w:t>
      </w:r>
      <w:r>
        <w:rPr>
          <w:spacing w:val="-3"/>
        </w:rPr>
        <w:t>leur </w:t>
      </w:r>
      <w:r>
        <w:rPr/>
        <w:t>opinion</w:t>
      </w:r>
      <w:r>
        <w:rPr>
          <w:spacing w:val="-5"/>
        </w:rPr>
        <w:t> </w:t>
      </w:r>
      <w:r>
        <w:rPr/>
        <w:t>vers</w:t>
      </w:r>
      <w:r>
        <w:rPr>
          <w:spacing w:val="-2"/>
        </w:rPr>
        <w:t> </w:t>
      </w:r>
      <w:r>
        <w:rPr>
          <w:spacing w:val="-3"/>
        </w:rPr>
        <w:t>la</w:t>
      </w:r>
      <w:r>
        <w:rPr>
          <w:spacing w:val="-6"/>
        </w:rPr>
        <w:t> </w:t>
      </w:r>
      <w:r>
        <w:rPr/>
        <w:t>qualité</w:t>
      </w:r>
      <w:r>
        <w:rPr>
          <w:spacing w:val="-6"/>
        </w:rPr>
        <w:t> </w:t>
      </w:r>
      <w:r>
        <w:rPr/>
        <w:t>des</w:t>
      </w:r>
      <w:r>
        <w:rPr>
          <w:spacing w:val="-7"/>
        </w:rPr>
        <w:t> </w:t>
      </w:r>
      <w:r>
        <w:rPr/>
        <w:t>services</w:t>
      </w:r>
      <w:r>
        <w:rPr>
          <w:spacing w:val="-6"/>
        </w:rPr>
        <w:t> </w:t>
      </w:r>
      <w:r>
        <w:rPr/>
        <w:t>offerts</w:t>
      </w:r>
      <w:r>
        <w:rPr>
          <w:spacing w:val="-7"/>
        </w:rPr>
        <w:t> </w:t>
      </w:r>
      <w:r>
        <w:rPr/>
        <w:t>et </w:t>
      </w:r>
      <w:r>
        <w:rPr>
          <w:spacing w:val="-3"/>
        </w:rPr>
        <w:t>leur </w:t>
      </w:r>
      <w:r>
        <w:rPr/>
        <w:t>confiance</w:t>
      </w:r>
      <w:r>
        <w:rPr>
          <w:spacing w:val="-6"/>
        </w:rPr>
        <w:t> </w:t>
      </w:r>
      <w:r>
        <w:rPr/>
        <w:t>envers</w:t>
      </w:r>
      <w:r>
        <w:rPr>
          <w:spacing w:val="-6"/>
        </w:rPr>
        <w:t> </w:t>
      </w:r>
      <w:r>
        <w:rPr/>
        <w:t>ce</w:t>
      </w:r>
      <w:r>
        <w:rPr>
          <w:spacing w:val="-6"/>
        </w:rPr>
        <w:t> </w:t>
      </w:r>
      <w:r>
        <w:rPr/>
        <w:t>service</w:t>
      </w:r>
      <w:r>
        <w:rPr>
          <w:spacing w:val="-6"/>
        </w:rPr>
        <w:t> </w:t>
      </w:r>
      <w:r>
        <w:rPr/>
        <w:t>proposés</w:t>
      </w:r>
      <w:r>
        <w:rPr>
          <w:spacing w:val="-7"/>
        </w:rPr>
        <w:t> </w:t>
      </w:r>
      <w:r>
        <w:rPr/>
        <w:t>par</w:t>
      </w:r>
      <w:r>
        <w:rPr>
          <w:spacing w:val="-3"/>
        </w:rPr>
        <w:t> </w:t>
      </w:r>
      <w:r>
        <w:rPr/>
        <w:t>Algérie Poste.</w:t>
      </w:r>
    </w:p>
    <w:p>
      <w:pPr>
        <w:pStyle w:val="Heading5"/>
        <w:numPr>
          <w:ilvl w:val="0"/>
          <w:numId w:val="24"/>
        </w:numPr>
        <w:tabs>
          <w:tab w:pos="1421" w:val="left" w:leader="none"/>
        </w:tabs>
        <w:spacing w:line="240" w:lineRule="auto" w:before="146" w:after="0"/>
        <w:ind w:left="1420" w:right="0" w:hanging="361"/>
        <w:jc w:val="both"/>
      </w:pPr>
      <w:bookmarkStart w:name="2. Analyse des résultats" w:id="209"/>
      <w:bookmarkEnd w:id="209"/>
      <w:r>
        <w:rPr>
          <w:b w:val="0"/>
        </w:rPr>
      </w:r>
      <w:bookmarkStart w:name="2. Analyse des résultats" w:id="210"/>
      <w:bookmarkEnd w:id="210"/>
      <w:r>
        <w:rPr/>
        <w:t>Ana</w:t>
      </w:r>
      <w:r>
        <w:rPr/>
        <w:t>lyse des</w:t>
      </w:r>
      <w:r>
        <w:rPr>
          <w:spacing w:val="4"/>
        </w:rPr>
        <w:t> </w:t>
      </w:r>
      <w:r>
        <w:rPr/>
        <w:t>résultats</w:t>
      </w:r>
    </w:p>
    <w:p>
      <w:pPr>
        <w:pStyle w:val="BodyText"/>
        <w:spacing w:before="4"/>
        <w:rPr>
          <w:b/>
          <w:sz w:val="22"/>
        </w:rPr>
      </w:pPr>
    </w:p>
    <w:p>
      <w:pPr>
        <w:pStyle w:val="BodyText"/>
        <w:spacing w:line="367" w:lineRule="auto"/>
        <w:ind w:left="699" w:right="319" w:firstLine="360"/>
        <w:jc w:val="both"/>
      </w:pPr>
      <w:r>
        <w:rPr/>
        <w:t>Dans cette partie, nous allons analyser les données recueillies à partir de notre enquête en combinant des méthodes d’analyse descriptive et inférentielle.</w:t>
      </w:r>
    </w:p>
    <w:p>
      <w:pPr>
        <w:spacing w:after="0" w:line="367" w:lineRule="auto"/>
        <w:jc w:val="both"/>
        <w:sectPr>
          <w:pgSz w:w="12240" w:h="15840"/>
          <w:pgMar w:header="723" w:footer="850" w:top="1080" w:bottom="1040" w:left="1000" w:right="820"/>
        </w:sectPr>
      </w:pPr>
    </w:p>
    <w:p>
      <w:pPr>
        <w:pStyle w:val="BodyText"/>
        <w:spacing w:before="4"/>
        <w:rPr>
          <w:sz w:val="20"/>
        </w:rPr>
      </w:pPr>
    </w:p>
    <w:p>
      <w:pPr>
        <w:pStyle w:val="Heading5"/>
        <w:numPr>
          <w:ilvl w:val="0"/>
          <w:numId w:val="27"/>
        </w:numPr>
        <w:tabs>
          <w:tab w:pos="1488" w:val="left" w:leader="none"/>
        </w:tabs>
        <w:spacing w:line="240" w:lineRule="auto" w:before="90" w:after="0"/>
        <w:ind w:left="1487" w:right="0" w:hanging="361"/>
        <w:jc w:val="left"/>
      </w:pPr>
      <w:r>
        <w:rPr/>
        <w:t>Partie 01 : Données personnelles (04 questions)</w:t>
      </w:r>
      <w:r>
        <w:rPr>
          <w:spacing w:val="4"/>
        </w:rPr>
        <w:t> </w:t>
      </w:r>
      <w:r>
        <w:rPr/>
        <w:t>:</w:t>
      </w:r>
    </w:p>
    <w:p>
      <w:pPr>
        <w:pStyle w:val="BodyText"/>
        <w:spacing w:before="1"/>
        <w:rPr>
          <w:b/>
        </w:rPr>
      </w:pPr>
    </w:p>
    <w:p>
      <w:pPr>
        <w:spacing w:after="0"/>
        <w:sectPr>
          <w:pgSz w:w="12240" w:h="15840"/>
          <w:pgMar w:header="723" w:footer="850" w:top="1080" w:bottom="1040" w:left="1000" w:right="820"/>
        </w:sectPr>
      </w:pPr>
    </w:p>
    <w:p>
      <w:pPr>
        <w:spacing w:line="360" w:lineRule="auto" w:before="90"/>
        <w:ind w:left="776" w:right="18" w:hanging="77"/>
        <w:jc w:val="left"/>
        <w:rPr>
          <w:sz w:val="24"/>
        </w:rPr>
      </w:pPr>
      <w:r>
        <w:rPr>
          <w:b/>
          <w:sz w:val="24"/>
        </w:rPr>
        <w:t>Q1_Vous êtes</w:t>
      </w:r>
      <w:bookmarkStart w:name="_bookmark17" w:id="211"/>
      <w:bookmarkEnd w:id="211"/>
      <w:r>
        <w:rPr>
          <w:b/>
          <w:sz w:val="24"/>
        </w:rPr>
      </w:r>
      <w:r>
        <w:rPr>
          <w:b/>
          <w:sz w:val="24"/>
        </w:rPr>
        <w:t> </w:t>
      </w:r>
      <w:r>
        <w:rPr>
          <w:b/>
          <w:color w:val="44536A"/>
          <w:sz w:val="24"/>
        </w:rPr>
        <w:t>Tableau 2 </w:t>
      </w:r>
      <w:r>
        <w:rPr>
          <w:color w:val="44536A"/>
          <w:sz w:val="24"/>
        </w:rPr>
        <w:t>: Sexe</w:t>
      </w:r>
    </w:p>
    <w:p>
      <w:pPr>
        <w:pStyle w:val="BodyText"/>
        <w:rPr>
          <w:sz w:val="26"/>
        </w:rPr>
      </w:pPr>
      <w:r>
        <w:rPr/>
        <w:br w:type="column"/>
      </w:r>
      <w:r>
        <w:rPr>
          <w:sz w:val="26"/>
        </w:rPr>
      </w:r>
    </w:p>
    <w:p>
      <w:pPr>
        <w:spacing w:before="219"/>
        <w:ind w:left="699" w:right="0" w:firstLine="0"/>
        <w:jc w:val="left"/>
        <w:rPr>
          <w:sz w:val="24"/>
        </w:rPr>
      </w:pPr>
      <w:r>
        <w:rPr/>
        <w:pict>
          <v:group style="position:absolute;margin-left:356.625pt;margin-top:28.948101pt;width:196.55pt;height:89.55pt;mso-position-horizontal-relative:page;mso-position-vertical-relative:paragraph;z-index:251703296" coordorigin="7133,579" coordsize="3931,1791">
            <v:shape style="position:absolute;left:7140;top:586;width:3916;height:1776" type="#_x0000_t75" stroked="false">
              <v:imagedata r:id="rId59" o:title=""/>
            </v:shape>
            <v:shape style="position:absolute;left:7137;top:744;width:3918;height:1442" type="#_x0000_t75" stroked="false">
              <v:imagedata r:id="rId60" o:title=""/>
            </v:shape>
            <v:rect style="position:absolute;left:8286;top:2156;width:1907;height:190" filled="true" fillcolor="#ffffff" stroked="false">
              <v:fill opacity="51143f" type="solid"/>
            </v:rect>
            <v:shape style="position:absolute;left:8462;top:2203;width:123;height:123" type="#_x0000_t75" stroked="false">
              <v:imagedata r:id="rId61" o:title=""/>
            </v:shape>
            <v:shape style="position:absolute;left:9374;top:2203;width:118;height:123" type="#_x0000_t75" stroked="false">
              <v:imagedata r:id="rId62" o:title=""/>
            </v:shape>
            <v:rect style="position:absolute;left:7140;top:586;width:3916;height:1776" filled="false" stroked="true" strokeweight=".75pt" strokecolor="#d9d9d9">
              <v:stroke dashstyle="solid"/>
            </v:rect>
            <v:shape style="position:absolute;left:9076;top:1248;width:475;height:399" type="#_x0000_t202" filled="false" stroked="false">
              <v:textbox inset="0,0,0,0">
                <w:txbxContent>
                  <w:p>
                    <w:pPr>
                      <w:spacing w:line="183" w:lineRule="exact" w:before="0"/>
                      <w:ind w:left="91" w:right="0" w:firstLine="0"/>
                      <w:jc w:val="left"/>
                      <w:rPr>
                        <w:rFonts w:ascii="Calibri"/>
                        <w:b/>
                        <w:sz w:val="18"/>
                      </w:rPr>
                    </w:pPr>
                    <w:r>
                      <w:rPr>
                        <w:rFonts w:ascii="Calibri"/>
                        <w:b/>
                        <w:color w:val="FFFFFF"/>
                        <w:sz w:val="18"/>
                      </w:rPr>
                      <w:t>254</w:t>
                    </w:r>
                  </w:p>
                  <w:p>
                    <w:pPr>
                      <w:spacing w:line="215" w:lineRule="exact" w:before="0"/>
                      <w:ind w:left="0" w:right="0" w:firstLine="0"/>
                      <w:jc w:val="left"/>
                      <w:rPr>
                        <w:rFonts w:ascii="Calibri"/>
                        <w:b/>
                        <w:sz w:val="18"/>
                      </w:rPr>
                    </w:pPr>
                    <w:r>
                      <w:rPr>
                        <w:rFonts w:ascii="Calibri"/>
                        <w:b/>
                        <w:color w:val="FFFFFF"/>
                        <w:sz w:val="18"/>
                      </w:rPr>
                      <w:t>61,7%</w:t>
                    </w:r>
                  </w:p>
                </w:txbxContent>
              </v:textbox>
              <w10:wrap type="none"/>
            </v:shape>
            <v:shape style="position:absolute;left:8468;top:966;width:475;height:399" type="#_x0000_t202" filled="false" stroked="false">
              <v:textbox inset="0,0,0,0">
                <w:txbxContent>
                  <w:p>
                    <w:pPr>
                      <w:spacing w:line="183" w:lineRule="exact" w:before="0"/>
                      <w:ind w:left="86" w:right="0" w:firstLine="0"/>
                      <w:jc w:val="left"/>
                      <w:rPr>
                        <w:rFonts w:ascii="Calibri"/>
                        <w:b/>
                        <w:sz w:val="18"/>
                      </w:rPr>
                    </w:pPr>
                    <w:r>
                      <w:rPr>
                        <w:rFonts w:ascii="Calibri"/>
                        <w:b/>
                        <w:color w:val="FFFFFF"/>
                        <w:sz w:val="18"/>
                      </w:rPr>
                      <w:t>158</w:t>
                    </w:r>
                  </w:p>
                  <w:p>
                    <w:pPr>
                      <w:spacing w:line="215" w:lineRule="exact" w:before="0"/>
                      <w:ind w:left="0" w:right="0" w:firstLine="0"/>
                      <w:jc w:val="left"/>
                      <w:rPr>
                        <w:rFonts w:ascii="Calibri"/>
                        <w:b/>
                        <w:sz w:val="18"/>
                      </w:rPr>
                    </w:pPr>
                    <w:r>
                      <w:rPr>
                        <w:rFonts w:ascii="Calibri"/>
                        <w:b/>
                        <w:color w:val="FFFFFF"/>
                        <w:sz w:val="18"/>
                      </w:rPr>
                      <w:t>38,3%</w:t>
                    </w:r>
                  </w:p>
                </w:txbxContent>
              </v:textbox>
              <w10:wrap type="none"/>
            </v:shape>
            <v:shape style="position:absolute;left:8286;top:2156;width:1907;height:190" type="#_x0000_t202" filled="false" stroked="false">
              <v:textbox inset="0,0,0,0">
                <w:txbxContent>
                  <w:p>
                    <w:pPr>
                      <w:tabs>
                        <w:tab w:pos="1241" w:val="left" w:leader="none"/>
                      </w:tabs>
                      <w:spacing w:line="190" w:lineRule="exact" w:before="0"/>
                      <w:ind w:left="334" w:right="0" w:firstLine="0"/>
                      <w:jc w:val="left"/>
                      <w:rPr>
                        <w:rFonts w:ascii="Calibri"/>
                        <w:sz w:val="18"/>
                      </w:rPr>
                    </w:pPr>
                    <w:r>
                      <w:rPr>
                        <w:rFonts w:ascii="Calibri"/>
                        <w:color w:val="585858"/>
                        <w:sz w:val="18"/>
                      </w:rPr>
                      <w:t>Homme</w:t>
                      <w:tab/>
                      <w:t>Femme</w:t>
                    </w:r>
                  </w:p>
                </w:txbxContent>
              </v:textbox>
              <w10:wrap type="none"/>
            </v:shape>
            <w10:wrap type="none"/>
          </v:group>
        </w:pict>
      </w:r>
      <w:bookmarkStart w:name="_bookmark18" w:id="212"/>
      <w:bookmarkEnd w:id="212"/>
      <w:r>
        <w:rPr/>
      </w:r>
      <w:r>
        <w:rPr>
          <w:b/>
          <w:color w:val="44536A"/>
          <w:sz w:val="24"/>
        </w:rPr>
        <w:t>Figure 3 : </w:t>
      </w:r>
      <w:r>
        <w:rPr>
          <w:color w:val="44536A"/>
          <w:sz w:val="24"/>
        </w:rPr>
        <w:t>Sexe</w:t>
      </w:r>
    </w:p>
    <w:p>
      <w:pPr>
        <w:spacing w:after="0"/>
        <w:jc w:val="left"/>
        <w:rPr>
          <w:sz w:val="24"/>
        </w:rPr>
        <w:sectPr>
          <w:type w:val="continuous"/>
          <w:pgSz w:w="12240" w:h="15840"/>
          <w:pgMar w:top="3140" w:bottom="280" w:left="1000" w:right="820"/>
          <w:cols w:num="2" w:equalWidth="0">
            <w:col w:w="2488" w:space="3519"/>
            <w:col w:w="4413"/>
          </w:cols>
        </w:sectPr>
      </w:pPr>
    </w:p>
    <w:p>
      <w:pPr>
        <w:pStyle w:val="BodyText"/>
        <w:spacing w:before="10"/>
        <w:rPr>
          <w:sz w:val="5"/>
        </w:rPr>
      </w:pPr>
    </w:p>
    <w:p>
      <w:pPr>
        <w:pStyle w:val="BodyText"/>
        <w:ind w:left="701"/>
        <w:rPr>
          <w:sz w:val="20"/>
        </w:rPr>
      </w:pPr>
      <w:r>
        <w:rPr>
          <w:sz w:val="20"/>
        </w:rPr>
        <w:drawing>
          <wp:inline distT="0" distB="0" distL="0" distR="0">
            <wp:extent cx="3155156" cy="911351"/>
            <wp:effectExtent l="0" t="0" r="0" b="0"/>
            <wp:docPr id="9" name="image9.jpeg"/>
            <wp:cNvGraphicFramePr>
              <a:graphicFrameLocks noChangeAspect="1"/>
            </wp:cNvGraphicFramePr>
            <a:graphic>
              <a:graphicData uri="http://schemas.openxmlformats.org/drawingml/2006/picture">
                <pic:pic>
                  <pic:nvPicPr>
                    <pic:cNvPr id="10" name="image9.jpeg"/>
                    <pic:cNvPicPr/>
                  </pic:nvPicPr>
                  <pic:blipFill>
                    <a:blip r:embed="rId63" cstate="print"/>
                    <a:stretch>
                      <a:fillRect/>
                    </a:stretch>
                  </pic:blipFill>
                  <pic:spPr>
                    <a:xfrm>
                      <a:off x="0" y="0"/>
                      <a:ext cx="3155156" cy="911351"/>
                    </a:xfrm>
                    <a:prstGeom prst="rect">
                      <a:avLst/>
                    </a:prstGeom>
                  </pic:spPr>
                </pic:pic>
              </a:graphicData>
            </a:graphic>
          </wp:inline>
        </w:drawing>
      </w:r>
      <w:r>
        <w:rPr>
          <w:sz w:val="20"/>
        </w:rPr>
      </w:r>
    </w:p>
    <w:p>
      <w:pPr>
        <w:pStyle w:val="BodyText"/>
        <w:spacing w:before="6"/>
        <w:rPr>
          <w:sz w:val="23"/>
        </w:rPr>
      </w:pPr>
    </w:p>
    <w:p>
      <w:pPr>
        <w:spacing w:before="91"/>
        <w:ind w:left="825" w:right="445" w:firstLine="0"/>
        <w:jc w:val="center"/>
        <w:rPr>
          <w:sz w:val="22"/>
        </w:rPr>
      </w:pPr>
      <w:r>
        <w:rPr>
          <w:b/>
          <w:sz w:val="22"/>
        </w:rPr>
        <w:t>Source </w:t>
      </w:r>
      <w:r>
        <w:rPr>
          <w:sz w:val="22"/>
        </w:rPr>
        <w:t>: élaboré par nous-même sur la base </w:t>
      </w:r>
      <w:r>
        <w:rPr>
          <w:spacing w:val="-3"/>
          <w:sz w:val="22"/>
        </w:rPr>
        <w:t>des </w:t>
      </w:r>
      <w:r>
        <w:rPr>
          <w:sz w:val="22"/>
        </w:rPr>
        <w:t>outputs</w:t>
      </w:r>
      <w:r>
        <w:rPr>
          <w:spacing w:val="-4"/>
          <w:sz w:val="22"/>
        </w:rPr>
        <w:t> </w:t>
      </w:r>
      <w:r>
        <w:rPr>
          <w:sz w:val="22"/>
        </w:rPr>
        <w:t>SPSS</w:t>
      </w:r>
    </w:p>
    <w:p>
      <w:pPr>
        <w:pStyle w:val="BodyText"/>
        <w:spacing w:before="1"/>
        <w:rPr>
          <w:sz w:val="21"/>
        </w:rPr>
      </w:pPr>
    </w:p>
    <w:p>
      <w:pPr>
        <w:pStyle w:val="BodyText"/>
        <w:spacing w:line="362" w:lineRule="auto"/>
        <w:ind w:left="699" w:right="311" w:firstLine="360"/>
        <w:jc w:val="both"/>
      </w:pPr>
      <w:r>
        <w:rPr/>
        <w:t>La majorité des répondants à ce questionnaire sont des hommes, représentant environ 62% de l’échantillon, par ailleurs </w:t>
      </w:r>
      <w:r>
        <w:rPr>
          <w:spacing w:val="-3"/>
        </w:rPr>
        <w:t>les </w:t>
      </w:r>
      <w:r>
        <w:rPr/>
        <w:t>femmes représentent environ 38% de l’échantillon. Cette répartition met en évidence une présence masculine plus marquée parmi les</w:t>
      </w:r>
      <w:r>
        <w:rPr>
          <w:spacing w:val="4"/>
        </w:rPr>
        <w:t> </w:t>
      </w:r>
      <w:r>
        <w:rPr/>
        <w:t>participants.</w:t>
      </w:r>
    </w:p>
    <w:p>
      <w:pPr>
        <w:pStyle w:val="BodyText"/>
        <w:spacing w:before="8"/>
        <w:rPr>
          <w:sz w:val="20"/>
        </w:rPr>
      </w:pPr>
    </w:p>
    <w:p>
      <w:pPr>
        <w:pStyle w:val="Heading5"/>
        <w:ind w:left="699" w:firstLine="0"/>
        <w:jc w:val="left"/>
      </w:pPr>
      <w:r>
        <w:rPr/>
        <w:t>Q2_Vous avez</w:t>
      </w:r>
    </w:p>
    <w:p>
      <w:pPr>
        <w:pStyle w:val="BodyText"/>
        <w:spacing w:before="7"/>
        <w:rPr>
          <w:b/>
          <w:sz w:val="19"/>
        </w:rPr>
      </w:pPr>
    </w:p>
    <w:p>
      <w:pPr>
        <w:tabs>
          <w:tab w:pos="5882" w:val="left" w:leader="none"/>
        </w:tabs>
        <w:spacing w:before="89"/>
        <w:ind w:left="0" w:right="2375" w:firstLine="0"/>
        <w:jc w:val="right"/>
        <w:rPr>
          <w:sz w:val="24"/>
        </w:rPr>
      </w:pPr>
      <w:bookmarkStart w:name="_bookmark20" w:id="213"/>
      <w:bookmarkEnd w:id="213"/>
      <w:r>
        <w:rPr/>
      </w:r>
      <w:r>
        <w:rPr>
          <w:b/>
          <w:color w:val="44536A"/>
          <w:position w:val="1"/>
          <w:sz w:val="24"/>
        </w:rPr>
        <w:t>Tableau 3</w:t>
      </w:r>
      <w:r>
        <w:rPr>
          <w:b/>
          <w:color w:val="44536A"/>
          <w:spacing w:val="-12"/>
          <w:position w:val="1"/>
          <w:sz w:val="24"/>
        </w:rPr>
        <w:t> </w:t>
      </w:r>
      <w:r>
        <w:rPr>
          <w:color w:val="44536A"/>
          <w:position w:val="1"/>
          <w:sz w:val="24"/>
        </w:rPr>
        <w:t>: Age</w:t>
        <w:tab/>
      </w:r>
      <w:bookmarkStart w:name="_bookmark19" w:id="214"/>
      <w:bookmarkEnd w:id="214"/>
      <w:r>
        <w:rPr>
          <w:color w:val="44536A"/>
          <w:position w:val="1"/>
          <w:sz w:val="24"/>
        </w:rPr>
      </w:r>
      <w:r>
        <w:rPr>
          <w:b/>
          <w:color w:val="44536A"/>
          <w:sz w:val="24"/>
        </w:rPr>
        <w:t>Figure 4:</w:t>
      </w:r>
      <w:r>
        <w:rPr>
          <w:b/>
          <w:color w:val="44536A"/>
          <w:spacing w:val="-18"/>
          <w:sz w:val="24"/>
        </w:rPr>
        <w:t> </w:t>
      </w:r>
      <w:r>
        <w:rPr>
          <w:color w:val="44536A"/>
          <w:sz w:val="24"/>
        </w:rPr>
        <w:t>Age</w:t>
      </w:r>
    </w:p>
    <w:p>
      <w:pPr>
        <w:pStyle w:val="BodyText"/>
        <w:rPr>
          <w:sz w:val="10"/>
        </w:rPr>
      </w:pPr>
      <w:r>
        <w:rPr/>
        <w:drawing>
          <wp:anchor distT="0" distB="0" distL="0" distR="0" allowOverlap="1" layoutInCell="1" locked="0" behindDoc="0" simplePos="0" relativeHeight="35">
            <wp:simplePos x="0" y="0"/>
            <wp:positionH relativeFrom="page">
              <wp:posOffset>1080135</wp:posOffset>
            </wp:positionH>
            <wp:positionV relativeFrom="paragraph">
              <wp:posOffset>124472</wp:posOffset>
            </wp:positionV>
            <wp:extent cx="3154542" cy="1072896"/>
            <wp:effectExtent l="0" t="0" r="0" b="0"/>
            <wp:wrapTopAndBottom/>
            <wp:docPr id="11" name="image10.jpeg"/>
            <wp:cNvGraphicFramePr>
              <a:graphicFrameLocks noChangeAspect="1"/>
            </wp:cNvGraphicFramePr>
            <a:graphic>
              <a:graphicData uri="http://schemas.openxmlformats.org/drawingml/2006/picture">
                <pic:pic>
                  <pic:nvPicPr>
                    <pic:cNvPr id="12" name="image10.jpeg"/>
                    <pic:cNvPicPr/>
                  </pic:nvPicPr>
                  <pic:blipFill>
                    <a:blip r:embed="rId64" cstate="print"/>
                    <a:stretch>
                      <a:fillRect/>
                    </a:stretch>
                  </pic:blipFill>
                  <pic:spPr>
                    <a:xfrm>
                      <a:off x="0" y="0"/>
                      <a:ext cx="3154542" cy="1072896"/>
                    </a:xfrm>
                    <a:prstGeom prst="rect">
                      <a:avLst/>
                    </a:prstGeom>
                  </pic:spPr>
                </pic:pic>
              </a:graphicData>
            </a:graphic>
          </wp:anchor>
        </w:drawing>
      </w:r>
      <w:r>
        <w:rPr/>
        <w:pict>
          <v:group style="position:absolute;margin-left:360.825012pt;margin-top:7.74086pt;width:192.35pt;height:99pt;mso-position-horizontal-relative:page;mso-position-vertical-relative:paragraph;z-index:-251617280;mso-wrap-distance-left:0;mso-wrap-distance-right:0" coordorigin="7217,155" coordsize="3847,1980">
            <v:shape style="position:absolute;left:7535;top:536;width:1835;height:1090" type="#_x0000_t75" stroked="false">
              <v:imagedata r:id="rId65" o:title=""/>
            </v:shape>
            <v:rect style="position:absolute;left:9345;top:429;width:99;height:99" filled="true" fillcolor="#5b9bd4" stroked="false">
              <v:fill type="solid"/>
            </v:rect>
            <v:rect style="position:absolute;left:9345;top:429;width:99;height:99" filled="false" stroked="true" strokeweight="2pt" strokecolor="#ffffff">
              <v:stroke dashstyle="solid"/>
            </v:rect>
            <v:rect style="position:absolute;left:9345;top:763;width:99;height:99" filled="true" fillcolor="#ec7c30" stroked="false">
              <v:fill type="solid"/>
            </v:rect>
            <v:rect style="position:absolute;left:9345;top:763;width:99;height:99" filled="false" stroked="true" strokeweight="2pt" strokecolor="#ffffff">
              <v:stroke dashstyle="solid"/>
            </v:rect>
            <v:rect style="position:absolute;left:9345;top:1097;width:99;height:99" filled="true" fillcolor="#a4a4a4" stroked="false">
              <v:fill type="solid"/>
            </v:rect>
            <v:rect style="position:absolute;left:9345;top:1097;width:99;height:99" filled="false" stroked="true" strokeweight="2pt" strokecolor="#ffffff">
              <v:stroke dashstyle="solid"/>
            </v:rect>
            <v:rect style="position:absolute;left:9345;top:1431;width:99;height:99" filled="true" fillcolor="#ffc000" stroked="false">
              <v:fill type="solid"/>
            </v:rect>
            <v:rect style="position:absolute;left:9345;top:1431;width:99;height:99" filled="false" stroked="true" strokeweight="2pt" strokecolor="#ffffff">
              <v:stroke dashstyle="solid"/>
            </v:rect>
            <v:rect style="position:absolute;left:7224;top:162;width:3832;height:1965" filled="false" stroked="true" strokeweight=".75pt" strokecolor="#d9d9d9">
              <v:stroke dashstyle="solid"/>
            </v:rect>
            <v:shape style="position:absolute;left:9014;top:397;width:1820;height:1533" type="#_x0000_t202" filled="false" stroked="false">
              <v:textbox inset="0,0,0,0">
                <w:txbxContent>
                  <w:p>
                    <w:pPr>
                      <w:spacing w:line="185" w:lineRule="exact" w:before="0"/>
                      <w:ind w:left="476" w:right="0" w:firstLine="0"/>
                      <w:jc w:val="left"/>
                      <w:rPr>
                        <w:rFonts w:ascii="Calibri"/>
                        <w:sz w:val="18"/>
                      </w:rPr>
                    </w:pPr>
                    <w:r>
                      <w:rPr>
                        <w:rFonts w:ascii="Calibri"/>
                        <w:color w:val="585858"/>
                        <w:sz w:val="18"/>
                      </w:rPr>
                      <w:t>Entre 18 et 25</w:t>
                    </w:r>
                    <w:r>
                      <w:rPr>
                        <w:rFonts w:ascii="Calibri"/>
                        <w:color w:val="585858"/>
                        <w:spacing w:val="-8"/>
                        <w:sz w:val="18"/>
                      </w:rPr>
                      <w:t> </w:t>
                    </w:r>
                    <w:r>
                      <w:rPr>
                        <w:rFonts w:ascii="Calibri"/>
                        <w:color w:val="585858"/>
                        <w:sz w:val="18"/>
                      </w:rPr>
                      <w:t>ans</w:t>
                    </w:r>
                  </w:p>
                  <w:p>
                    <w:pPr>
                      <w:spacing w:before="114"/>
                      <w:ind w:left="476" w:right="0" w:firstLine="0"/>
                      <w:jc w:val="left"/>
                      <w:rPr>
                        <w:rFonts w:ascii="Calibri"/>
                        <w:sz w:val="18"/>
                      </w:rPr>
                    </w:pPr>
                    <w:r>
                      <w:rPr>
                        <w:rFonts w:ascii="Calibri"/>
                        <w:color w:val="585858"/>
                        <w:sz w:val="18"/>
                      </w:rPr>
                      <w:t>Entre 26 et 35</w:t>
                    </w:r>
                    <w:r>
                      <w:rPr>
                        <w:rFonts w:ascii="Calibri"/>
                        <w:color w:val="585858"/>
                        <w:spacing w:val="-8"/>
                        <w:sz w:val="18"/>
                      </w:rPr>
                      <w:t> </w:t>
                    </w:r>
                    <w:r>
                      <w:rPr>
                        <w:rFonts w:ascii="Calibri"/>
                        <w:color w:val="585858"/>
                        <w:sz w:val="18"/>
                      </w:rPr>
                      <w:t>ans</w:t>
                    </w:r>
                  </w:p>
                  <w:p>
                    <w:pPr>
                      <w:spacing w:before="114"/>
                      <w:ind w:left="476" w:right="0" w:firstLine="0"/>
                      <w:jc w:val="left"/>
                      <w:rPr>
                        <w:rFonts w:ascii="Calibri"/>
                        <w:sz w:val="18"/>
                      </w:rPr>
                    </w:pPr>
                    <w:r>
                      <w:rPr>
                        <w:rFonts w:ascii="Calibri"/>
                        <w:color w:val="585858"/>
                        <w:sz w:val="18"/>
                      </w:rPr>
                      <w:t>Entre 36 et 45</w:t>
                    </w:r>
                    <w:r>
                      <w:rPr>
                        <w:rFonts w:ascii="Calibri"/>
                        <w:color w:val="585858"/>
                        <w:spacing w:val="-8"/>
                        <w:sz w:val="18"/>
                      </w:rPr>
                      <w:t> </w:t>
                    </w:r>
                    <w:r>
                      <w:rPr>
                        <w:rFonts w:ascii="Calibri"/>
                        <w:color w:val="585858"/>
                        <w:sz w:val="18"/>
                      </w:rPr>
                      <w:t>ans</w:t>
                    </w:r>
                  </w:p>
                  <w:p>
                    <w:pPr>
                      <w:spacing w:line="176" w:lineRule="exact" w:before="114"/>
                      <w:ind w:left="476" w:right="0" w:firstLine="0"/>
                      <w:jc w:val="left"/>
                      <w:rPr>
                        <w:rFonts w:ascii="Calibri"/>
                        <w:sz w:val="18"/>
                      </w:rPr>
                    </w:pPr>
                    <w:r>
                      <w:rPr>
                        <w:rFonts w:ascii="Calibri"/>
                        <w:color w:val="585858"/>
                        <w:sz w:val="18"/>
                      </w:rPr>
                      <w:t>Plus de 45 ans</w:t>
                    </w:r>
                  </w:p>
                  <w:p>
                    <w:pPr>
                      <w:spacing w:line="175" w:lineRule="exact" w:before="0"/>
                      <w:ind w:left="91" w:right="0" w:firstLine="0"/>
                      <w:jc w:val="left"/>
                      <w:rPr>
                        <w:rFonts w:ascii="Calibri"/>
                        <w:b/>
                        <w:sz w:val="18"/>
                      </w:rPr>
                    </w:pPr>
                    <w:r>
                      <w:rPr>
                        <w:rFonts w:ascii="Calibri"/>
                        <w:b/>
                        <w:color w:val="006FC0"/>
                        <w:spacing w:val="-2"/>
                        <w:sz w:val="18"/>
                      </w:rPr>
                      <w:t>207</w:t>
                    </w:r>
                  </w:p>
                  <w:p>
                    <w:pPr>
                      <w:spacing w:line="215" w:lineRule="exact" w:before="0"/>
                      <w:ind w:left="0" w:right="0" w:firstLine="0"/>
                      <w:jc w:val="left"/>
                      <w:rPr>
                        <w:rFonts w:ascii="Calibri"/>
                        <w:b/>
                        <w:sz w:val="18"/>
                      </w:rPr>
                    </w:pPr>
                    <w:r>
                      <w:rPr>
                        <w:rFonts w:ascii="Calibri"/>
                        <w:b/>
                        <w:color w:val="006FC0"/>
                        <w:sz w:val="18"/>
                      </w:rPr>
                      <w:t>50,2%</w:t>
                    </w:r>
                  </w:p>
                </w:txbxContent>
              </v:textbox>
              <w10:wrap type="none"/>
            </v:shape>
            <v:shape style="position:absolute;left:7519;top:1513;width:475;height:399" type="#_x0000_t202" filled="false" stroked="false">
              <v:textbox inset="0,0,0,0">
                <w:txbxContent>
                  <w:p>
                    <w:pPr>
                      <w:spacing w:line="183" w:lineRule="exact" w:before="0"/>
                      <w:ind w:left="91" w:right="0" w:firstLine="0"/>
                      <w:jc w:val="left"/>
                      <w:rPr>
                        <w:rFonts w:ascii="Calibri"/>
                        <w:b/>
                        <w:sz w:val="18"/>
                      </w:rPr>
                    </w:pPr>
                    <w:r>
                      <w:rPr>
                        <w:rFonts w:ascii="Calibri"/>
                        <w:b/>
                        <w:color w:val="EC7C30"/>
                        <w:sz w:val="18"/>
                      </w:rPr>
                      <w:t>119</w:t>
                    </w:r>
                  </w:p>
                  <w:p>
                    <w:pPr>
                      <w:spacing w:line="215" w:lineRule="exact" w:before="0"/>
                      <w:ind w:left="0" w:right="0" w:firstLine="0"/>
                      <w:jc w:val="left"/>
                      <w:rPr>
                        <w:rFonts w:ascii="Calibri"/>
                        <w:b/>
                        <w:sz w:val="18"/>
                      </w:rPr>
                    </w:pPr>
                    <w:r>
                      <w:rPr>
                        <w:rFonts w:ascii="Calibri"/>
                        <w:b/>
                        <w:color w:val="EC7C30"/>
                        <w:sz w:val="18"/>
                      </w:rPr>
                      <w:t>28,9%</w:t>
                    </w:r>
                  </w:p>
                </w:txbxContent>
              </v:textbox>
              <w10:wrap type="none"/>
            </v:shape>
            <v:shape style="position:absolute;left:8347;top:309;width:609;height:183" type="#_x0000_t202" filled="false" stroked="false">
              <v:textbox inset="0,0,0,0">
                <w:txbxContent>
                  <w:p>
                    <w:pPr>
                      <w:spacing w:line="182" w:lineRule="exact" w:before="0"/>
                      <w:ind w:left="0" w:right="0" w:firstLine="0"/>
                      <w:jc w:val="left"/>
                      <w:rPr>
                        <w:rFonts w:ascii="Calibri"/>
                        <w:b/>
                        <w:sz w:val="18"/>
                      </w:rPr>
                    </w:pPr>
                    <w:r>
                      <w:rPr>
                        <w:rFonts w:ascii="Calibri"/>
                        <w:b/>
                        <w:color w:val="FFC000"/>
                        <w:sz w:val="18"/>
                      </w:rPr>
                      <w:t>23 5,6%</w:t>
                    </w:r>
                  </w:p>
                </w:txbxContent>
              </v:textbox>
              <w10:wrap type="none"/>
            </v:shape>
            <v:shape style="position:absolute;left:7296;top:274;width:475;height:400" type="#_x0000_t202" filled="false" stroked="false">
              <v:textbox inset="0,0,0,0">
                <w:txbxContent>
                  <w:p>
                    <w:pPr>
                      <w:spacing w:line="184" w:lineRule="exact" w:before="0"/>
                      <w:ind w:left="7" w:right="18" w:firstLine="0"/>
                      <w:jc w:val="center"/>
                      <w:rPr>
                        <w:rFonts w:ascii="Calibri"/>
                        <w:b/>
                        <w:sz w:val="18"/>
                      </w:rPr>
                    </w:pPr>
                    <w:r>
                      <w:rPr>
                        <w:rFonts w:ascii="Calibri"/>
                        <w:b/>
                        <w:color w:val="585858"/>
                        <w:sz w:val="18"/>
                      </w:rPr>
                      <w:t>63</w:t>
                    </w:r>
                  </w:p>
                  <w:p>
                    <w:pPr>
                      <w:spacing w:line="215" w:lineRule="exact" w:before="0"/>
                      <w:ind w:left="-1" w:right="18" w:firstLine="0"/>
                      <w:jc w:val="center"/>
                      <w:rPr>
                        <w:rFonts w:ascii="Calibri"/>
                        <w:b/>
                        <w:sz w:val="18"/>
                      </w:rPr>
                    </w:pPr>
                    <w:r>
                      <w:rPr>
                        <w:rFonts w:ascii="Calibri"/>
                        <w:b/>
                        <w:color w:val="585858"/>
                        <w:spacing w:val="-1"/>
                        <w:sz w:val="18"/>
                      </w:rPr>
                      <w:t>15,3%</w:t>
                    </w:r>
                  </w:p>
                </w:txbxContent>
              </v:textbox>
              <w10:wrap type="none"/>
            </v:shape>
            <w10:wrap type="topAndBottom"/>
          </v:group>
        </w:pict>
      </w:r>
    </w:p>
    <w:p>
      <w:pPr>
        <w:pStyle w:val="BodyText"/>
        <w:spacing w:before="7"/>
        <w:rPr>
          <w:sz w:val="33"/>
        </w:rPr>
      </w:pPr>
    </w:p>
    <w:p>
      <w:pPr>
        <w:spacing w:before="0"/>
        <w:ind w:left="347" w:right="2281" w:firstLine="0"/>
        <w:jc w:val="right"/>
        <w:rPr>
          <w:sz w:val="22"/>
        </w:rPr>
      </w:pPr>
      <w:r>
        <w:rPr>
          <w:b/>
          <w:sz w:val="22"/>
        </w:rPr>
        <w:t>Source : </w:t>
      </w:r>
      <w:r>
        <w:rPr>
          <w:sz w:val="22"/>
        </w:rPr>
        <w:t>élaboré par nous-même sur la base des outputs SPSS</w:t>
      </w:r>
    </w:p>
    <w:p>
      <w:pPr>
        <w:pStyle w:val="BodyText"/>
        <w:spacing w:before="10"/>
      </w:pPr>
    </w:p>
    <w:p>
      <w:pPr>
        <w:pStyle w:val="BodyText"/>
        <w:spacing w:line="360" w:lineRule="auto"/>
        <w:ind w:left="699" w:right="314" w:firstLine="360"/>
        <w:jc w:val="both"/>
      </w:pPr>
      <w:r>
        <w:rPr/>
        <w:t>Selon les données présentées dans le tableau, montrent que la majorité des participants au questionnaire ont entre 18 à 25 ans, qui représentent plus de la moitié de l’échantillon 50,2%. Les personnes âgées de 26 à 35 ans constituent le deuxième groupe le plus représenté 28,9%, suivies des tranches de 36 à 45 ans 15,3% et de plus de 45 ans 5,6%. Cette répartition met en lumière une forte participation des jeunes.</w:t>
      </w:r>
    </w:p>
    <w:p>
      <w:pPr>
        <w:spacing w:after="0" w:line="360" w:lineRule="auto"/>
        <w:jc w:val="both"/>
        <w:sectPr>
          <w:type w:val="continuous"/>
          <w:pgSz w:w="12240" w:h="15840"/>
          <w:pgMar w:top="3140" w:bottom="280" w:left="1000" w:right="820"/>
        </w:sectPr>
      </w:pPr>
    </w:p>
    <w:p>
      <w:pPr>
        <w:pStyle w:val="BodyText"/>
        <w:spacing w:before="4"/>
        <w:rPr>
          <w:sz w:val="20"/>
        </w:rPr>
      </w:pPr>
    </w:p>
    <w:p>
      <w:pPr>
        <w:pStyle w:val="Heading5"/>
        <w:spacing w:before="90"/>
        <w:ind w:left="699" w:firstLine="0"/>
      </w:pPr>
      <w:r>
        <w:rPr/>
        <w:t>Q3_Situation Professionnelle</w:t>
      </w:r>
    </w:p>
    <w:p>
      <w:pPr>
        <w:tabs>
          <w:tab w:pos="6145" w:val="left" w:leader="none"/>
        </w:tabs>
        <w:spacing w:before="170"/>
        <w:ind w:left="776" w:right="0" w:firstLine="0"/>
        <w:jc w:val="both"/>
        <w:rPr>
          <w:sz w:val="24"/>
        </w:rPr>
      </w:pPr>
      <w:r>
        <w:rPr/>
        <w:drawing>
          <wp:anchor distT="0" distB="0" distL="0" distR="0" allowOverlap="1" layoutInCell="1" locked="0" behindDoc="0" simplePos="0" relativeHeight="45">
            <wp:simplePos x="0" y="0"/>
            <wp:positionH relativeFrom="page">
              <wp:posOffset>1082039</wp:posOffset>
            </wp:positionH>
            <wp:positionV relativeFrom="paragraph">
              <wp:posOffset>315569</wp:posOffset>
            </wp:positionV>
            <wp:extent cx="3316773" cy="1496187"/>
            <wp:effectExtent l="0" t="0" r="0" b="0"/>
            <wp:wrapTopAndBottom/>
            <wp:docPr id="13" name="image12.jpeg"/>
            <wp:cNvGraphicFramePr>
              <a:graphicFrameLocks noChangeAspect="1"/>
            </wp:cNvGraphicFramePr>
            <a:graphic>
              <a:graphicData uri="http://schemas.openxmlformats.org/drawingml/2006/picture">
                <pic:pic>
                  <pic:nvPicPr>
                    <pic:cNvPr id="14" name="image12.jpeg"/>
                    <pic:cNvPicPr/>
                  </pic:nvPicPr>
                  <pic:blipFill>
                    <a:blip r:embed="rId66" cstate="print"/>
                    <a:stretch>
                      <a:fillRect/>
                    </a:stretch>
                  </pic:blipFill>
                  <pic:spPr>
                    <a:xfrm>
                      <a:off x="0" y="0"/>
                      <a:ext cx="3316773" cy="1496187"/>
                    </a:xfrm>
                    <a:prstGeom prst="rect">
                      <a:avLst/>
                    </a:prstGeom>
                  </pic:spPr>
                </pic:pic>
              </a:graphicData>
            </a:graphic>
          </wp:anchor>
        </w:drawing>
      </w:r>
      <w:r>
        <w:rPr/>
        <w:pict>
          <v:group style="position:absolute;margin-left:354.825012pt;margin-top:27.090809pt;width:196.95pt;height:169.95pt;mso-position-horizontal-relative:page;mso-position-vertical-relative:paragraph;z-index:-251607040;mso-wrap-distance-left:0;mso-wrap-distance-right:0" coordorigin="7097,542" coordsize="3939,3399">
            <v:shape style="position:absolute;left:7725;top:1806;width:2179;height:1199" type="#_x0000_t75" stroked="false">
              <v:imagedata r:id="rId67" o:title=""/>
            </v:shape>
            <v:shape style="position:absolute;left:7699;top:743;width:2152;height:1322" type="#_x0000_t75" stroked="false">
              <v:imagedata r:id="rId68" o:title=""/>
            </v:shape>
            <v:shape style="position:absolute;left:8745;top:1290;width:1216;height:683" type="#_x0000_t75" stroked="false">
              <v:imagedata r:id="rId69" o:title=""/>
            </v:shape>
            <v:shape style="position:absolute;left:8745;top:1602;width:1230;height:568" type="#_x0000_t75" stroked="false">
              <v:imagedata r:id="rId70" o:title=""/>
            </v:shape>
            <v:shape style="position:absolute;left:8745;top:1785;width:1211;height:419" type="#_x0000_t75" stroked="false">
              <v:imagedata r:id="rId71" o:title=""/>
            </v:shape>
            <v:shape style="position:absolute;left:8745;top:1785;width:1206;height:496" type="#_x0000_t75" stroked="false">
              <v:imagedata r:id="rId72" o:title=""/>
            </v:shape>
            <v:shape style="position:absolute;left:7800;top:1853;width:2039;height:1045" coordorigin="7801,1853" coordsize="2039,1045" path="m8841,1853l7801,1942,7811,2020,7826,2098,7847,2173,7873,2245,7905,2316,7942,2383,7983,2448,8029,2509,8079,2567,8133,2621,8192,2671,8254,2717,8320,2758,8389,2794,8461,2826,8536,2852,8608,2871,8680,2885,8752,2894,8824,2897,8895,2896,8966,2890,9035,2879,9104,2864,9171,2844,9236,2820,9300,2791,9361,2758,9421,2721,9477,2681,9531,2636,9583,2588,9630,2537,9675,2482,9716,2423,9753,2361,9786,2297,9815,2229,9839,2159,8841,1853xe" filled="true" fillcolor="#ff0000" stroked="false">
              <v:path arrowok="t"/>
              <v:fill type="solid"/>
            </v:shape>
            <v:shape style="position:absolute;left:7797;top:809;width:2088;height:1349" type="#_x0000_t75" stroked="false">
              <v:imagedata r:id="rId73" o:title=""/>
            </v:shape>
            <v:rect style="position:absolute;left:7239;top:3452;width:99;height:99" filled="true" fillcolor="#ff0000" stroked="false">
              <v:fill type="solid"/>
            </v:rect>
            <v:shape style="position:absolute;left:8498;top:3452;width:99;height:99" type="#_x0000_t75" stroked="false">
              <v:imagedata r:id="rId74" o:title=""/>
            </v:shape>
            <v:shape style="position:absolute;left:9756;top:3452;width:99;height:99" type="#_x0000_t75" stroked="false">
              <v:imagedata r:id="rId75" o:title=""/>
            </v:shape>
            <v:shape style="position:absolute;left:7239;top:3699;width:99;height:99" type="#_x0000_t75" stroked="false">
              <v:imagedata r:id="rId76" o:title=""/>
            </v:shape>
            <v:shape style="position:absolute;left:8498;top:3699;width:99;height:99" type="#_x0000_t75" stroked="false">
              <v:imagedata r:id="rId77" o:title=""/>
            </v:shape>
            <v:shape style="position:absolute;left:9756;top:3699;width:99;height:99" type="#_x0000_t75" stroked="false">
              <v:imagedata r:id="rId78" o:title=""/>
            </v:shape>
            <v:rect style="position:absolute;left:7104;top:549;width:3924;height:3384" filled="false" stroked="true" strokeweight=".75pt" strokecolor="#d9d9d9">
              <v:stroke dashstyle="solid"/>
            </v:rect>
            <v:shape style="position:absolute;left:7383;top:2893;width:3216;height:955" type="#_x0000_t202" filled="false" stroked="false">
              <v:textbox inset="0,0,0,0">
                <w:txbxContent>
                  <w:p>
                    <w:pPr>
                      <w:spacing w:line="141" w:lineRule="exact" w:before="0"/>
                      <w:ind w:left="499" w:right="0" w:firstLine="0"/>
                      <w:jc w:val="left"/>
                      <w:rPr>
                        <w:rFonts w:ascii="Calibri"/>
                        <w:b/>
                        <w:sz w:val="14"/>
                      </w:rPr>
                    </w:pPr>
                    <w:r>
                      <w:rPr>
                        <w:rFonts w:ascii="Calibri"/>
                        <w:b/>
                        <w:color w:val="FF0000"/>
                        <w:sz w:val="14"/>
                      </w:rPr>
                      <w:t>181</w:t>
                    </w:r>
                  </w:p>
                  <w:p>
                    <w:pPr>
                      <w:spacing w:line="169" w:lineRule="exact" w:before="0"/>
                      <w:ind w:left="432" w:right="0" w:firstLine="0"/>
                      <w:jc w:val="left"/>
                      <w:rPr>
                        <w:rFonts w:ascii="Calibri"/>
                        <w:b/>
                        <w:sz w:val="14"/>
                      </w:rPr>
                    </w:pPr>
                    <w:r>
                      <w:rPr>
                        <w:rFonts w:ascii="Calibri"/>
                        <w:b/>
                        <w:color w:val="FF0000"/>
                        <w:sz w:val="14"/>
                      </w:rPr>
                      <w:t>43,9%</w:t>
                    </w:r>
                  </w:p>
                  <w:p>
                    <w:pPr>
                      <w:spacing w:line="240" w:lineRule="auto" w:before="10"/>
                      <w:rPr>
                        <w:rFonts w:ascii="Calibri"/>
                        <w:b/>
                        <w:sz w:val="14"/>
                      </w:rPr>
                    </w:pPr>
                  </w:p>
                  <w:p>
                    <w:pPr>
                      <w:tabs>
                        <w:tab w:pos="1258" w:val="left" w:leader="none"/>
                        <w:tab w:pos="2517" w:val="left" w:leader="none"/>
                      </w:tabs>
                      <w:spacing w:line="268" w:lineRule="auto" w:before="0"/>
                      <w:ind w:left="0" w:right="18" w:firstLine="0"/>
                      <w:jc w:val="left"/>
                      <w:rPr>
                        <w:rFonts w:ascii="Calibri" w:hAnsi="Calibri"/>
                        <w:sz w:val="18"/>
                      </w:rPr>
                    </w:pPr>
                    <w:r>
                      <w:rPr>
                        <w:rFonts w:ascii="Calibri" w:hAnsi="Calibri"/>
                        <w:color w:val="585858"/>
                        <w:sz w:val="18"/>
                      </w:rPr>
                      <w:t>Etudiant(e)</w:t>
                      <w:tab/>
                      <w:t>Salarié(e)</w:t>
                      <w:tab/>
                    </w:r>
                    <w:r>
                      <w:rPr>
                        <w:rFonts w:ascii="Calibri" w:hAnsi="Calibri"/>
                        <w:color w:val="585858"/>
                        <w:spacing w:val="-5"/>
                        <w:sz w:val="18"/>
                      </w:rPr>
                      <w:t>Chômeur </w:t>
                    </w:r>
                    <w:r>
                      <w:rPr>
                        <w:rFonts w:ascii="Calibri" w:hAnsi="Calibri"/>
                        <w:color w:val="585858"/>
                        <w:sz w:val="18"/>
                      </w:rPr>
                      <w:t>Free-lancer</w:t>
                      <w:tab/>
                      <w:t>Commerçant</w:t>
                      <w:tab/>
                      <w:t>Retraité</w:t>
                    </w:r>
                  </w:p>
                </w:txbxContent>
              </v:textbox>
              <w10:wrap type="none"/>
            </v:shape>
            <v:shape style="position:absolute;left:9959;top:1573;width:731;height:1278" type="#_x0000_t202" filled="false" stroked="false">
              <v:textbox inset="0,0,0,0">
                <w:txbxContent>
                  <w:p>
                    <w:pPr>
                      <w:spacing w:line="142" w:lineRule="exact" w:before="0"/>
                      <w:ind w:left="258" w:right="0" w:firstLine="0"/>
                      <w:jc w:val="left"/>
                      <w:rPr>
                        <w:rFonts w:ascii="Calibri"/>
                        <w:b/>
                        <w:sz w:val="14"/>
                      </w:rPr>
                    </w:pPr>
                    <w:r>
                      <w:rPr>
                        <w:rFonts w:ascii="Calibri"/>
                        <w:b/>
                        <w:color w:val="FFC000"/>
                        <w:sz w:val="14"/>
                      </w:rPr>
                      <w:t>24</w:t>
                    </w:r>
                    <w:r>
                      <w:rPr>
                        <w:rFonts w:ascii="Calibri"/>
                        <w:b/>
                        <w:color w:val="FFC000"/>
                        <w:spacing w:val="-4"/>
                        <w:sz w:val="14"/>
                      </w:rPr>
                      <w:t> </w:t>
                    </w:r>
                    <w:r>
                      <w:rPr>
                        <w:rFonts w:ascii="Calibri"/>
                        <w:b/>
                        <w:color w:val="FFC000"/>
                        <w:sz w:val="14"/>
                      </w:rPr>
                      <w:t>5,8%</w:t>
                    </w:r>
                  </w:p>
                  <w:p>
                    <w:pPr>
                      <w:spacing w:line="240" w:lineRule="auto" w:before="0"/>
                      <w:rPr>
                        <w:rFonts w:ascii="Calibri"/>
                        <w:b/>
                        <w:sz w:val="14"/>
                      </w:rPr>
                    </w:pPr>
                  </w:p>
                  <w:p>
                    <w:pPr>
                      <w:spacing w:line="240" w:lineRule="auto" w:before="0"/>
                      <w:rPr>
                        <w:rFonts w:ascii="Calibri"/>
                        <w:b/>
                        <w:sz w:val="15"/>
                      </w:rPr>
                    </w:pPr>
                  </w:p>
                  <w:p>
                    <w:pPr>
                      <w:spacing w:line="169" w:lineRule="exact" w:before="0"/>
                      <w:ind w:left="391" w:right="0" w:firstLine="0"/>
                      <w:jc w:val="center"/>
                      <w:rPr>
                        <w:rFonts w:ascii="Calibri"/>
                        <w:b/>
                        <w:sz w:val="14"/>
                      </w:rPr>
                    </w:pPr>
                    <w:r>
                      <w:rPr>
                        <w:rFonts w:ascii="Calibri"/>
                        <w:b/>
                        <w:color w:val="385622"/>
                        <w:w w:val="99"/>
                        <w:sz w:val="14"/>
                      </w:rPr>
                      <w:t>5</w:t>
                    </w:r>
                  </w:p>
                  <w:p>
                    <w:pPr>
                      <w:spacing w:line="169" w:lineRule="exact" w:before="0"/>
                      <w:ind w:left="404" w:right="6" w:firstLine="0"/>
                      <w:jc w:val="center"/>
                      <w:rPr>
                        <w:rFonts w:ascii="Calibri"/>
                        <w:b/>
                        <w:sz w:val="14"/>
                      </w:rPr>
                    </w:pPr>
                    <w:r>
                      <w:rPr>
                        <w:rFonts w:ascii="Calibri"/>
                        <w:b/>
                        <w:color w:val="385622"/>
                        <w:sz w:val="14"/>
                      </w:rPr>
                      <w:t>1,2%</w:t>
                    </w:r>
                  </w:p>
                  <w:p>
                    <w:pPr>
                      <w:spacing w:line="194" w:lineRule="exact" w:before="58"/>
                      <w:ind w:left="0" w:right="408" w:firstLine="0"/>
                      <w:jc w:val="center"/>
                      <w:rPr>
                        <w:rFonts w:ascii="Calibri"/>
                        <w:b/>
                        <w:sz w:val="16"/>
                      </w:rPr>
                    </w:pPr>
                    <w:r>
                      <w:rPr>
                        <w:rFonts w:ascii="Calibri"/>
                        <w:b/>
                        <w:color w:val="006FC0"/>
                        <w:w w:val="99"/>
                        <w:sz w:val="16"/>
                      </w:rPr>
                      <w:t>2</w:t>
                    </w:r>
                  </w:p>
                  <w:p>
                    <w:pPr>
                      <w:spacing w:line="190" w:lineRule="exact" w:before="0"/>
                      <w:ind w:left="0" w:right="405" w:firstLine="0"/>
                      <w:jc w:val="center"/>
                      <w:rPr>
                        <w:rFonts w:ascii="Calibri"/>
                        <w:b/>
                        <w:sz w:val="16"/>
                      </w:rPr>
                    </w:pPr>
                    <w:r>
                      <w:rPr>
                        <w:rFonts w:ascii="Calibri"/>
                        <w:b/>
                        <w:color w:val="006FC0"/>
                        <w:sz w:val="16"/>
                      </w:rPr>
                      <w:t>0,5%</w:t>
                    </w:r>
                  </w:p>
                </w:txbxContent>
              </v:textbox>
              <w10:wrap type="none"/>
            </v:shape>
            <v:shape style="position:absolute;left:7307;top:1370;width:475;height:399" type="#_x0000_t202" filled="false" stroked="false">
              <v:textbox inset="0,0,0,0">
                <w:txbxContent>
                  <w:p>
                    <w:pPr>
                      <w:spacing w:line="183" w:lineRule="exact" w:before="0"/>
                      <w:ind w:left="91" w:right="0" w:firstLine="0"/>
                      <w:jc w:val="left"/>
                      <w:rPr>
                        <w:rFonts w:ascii="Calibri"/>
                        <w:b/>
                        <w:sz w:val="18"/>
                      </w:rPr>
                    </w:pPr>
                    <w:r>
                      <w:rPr>
                        <w:rFonts w:ascii="Calibri"/>
                        <w:b/>
                        <w:color w:val="EC7C30"/>
                        <w:spacing w:val="-2"/>
                        <w:sz w:val="18"/>
                      </w:rPr>
                      <w:t>179</w:t>
                    </w:r>
                  </w:p>
                  <w:p>
                    <w:pPr>
                      <w:spacing w:line="215" w:lineRule="exact" w:before="0"/>
                      <w:ind w:left="0" w:right="0" w:firstLine="0"/>
                      <w:jc w:val="left"/>
                      <w:rPr>
                        <w:rFonts w:ascii="Calibri"/>
                        <w:b/>
                        <w:sz w:val="18"/>
                      </w:rPr>
                    </w:pPr>
                    <w:r>
                      <w:rPr>
                        <w:rFonts w:ascii="Calibri"/>
                        <w:b/>
                        <w:color w:val="EC7C30"/>
                        <w:sz w:val="18"/>
                      </w:rPr>
                      <w:t>43,4%</w:t>
                    </w:r>
                  </w:p>
                </w:txbxContent>
              </v:textbox>
              <w10:wrap type="none"/>
            </v:shape>
            <v:shape style="position:absolute;left:9962;top:1021;width:300;height:308" type="#_x0000_t202" filled="false" stroked="false">
              <v:textbox inset="0,0,0,0">
                <w:txbxContent>
                  <w:p>
                    <w:pPr>
                      <w:spacing w:line="141" w:lineRule="exact" w:before="0"/>
                      <w:ind w:left="67" w:right="0" w:firstLine="0"/>
                      <w:jc w:val="left"/>
                      <w:rPr>
                        <w:rFonts w:ascii="Calibri"/>
                        <w:b/>
                        <w:sz w:val="14"/>
                      </w:rPr>
                    </w:pPr>
                    <w:r>
                      <w:rPr>
                        <w:rFonts w:ascii="Calibri"/>
                        <w:b/>
                        <w:color w:val="404040"/>
                        <w:sz w:val="14"/>
                      </w:rPr>
                      <w:t>21</w:t>
                    </w:r>
                  </w:p>
                  <w:p>
                    <w:pPr>
                      <w:spacing w:line="167" w:lineRule="exact" w:before="0"/>
                      <w:ind w:left="0" w:right="0" w:firstLine="0"/>
                      <w:jc w:val="left"/>
                      <w:rPr>
                        <w:rFonts w:ascii="Calibri"/>
                        <w:b/>
                        <w:sz w:val="14"/>
                      </w:rPr>
                    </w:pPr>
                    <w:r>
                      <w:rPr>
                        <w:rFonts w:ascii="Calibri"/>
                        <w:b/>
                        <w:color w:val="404040"/>
                        <w:sz w:val="14"/>
                      </w:rPr>
                      <w:t>5,1%</w:t>
                    </w:r>
                  </w:p>
                </w:txbxContent>
              </v:textbox>
              <w10:wrap type="none"/>
            </v:shape>
            <w10:wrap type="topAndBottom"/>
          </v:group>
        </w:pict>
      </w:r>
      <w:bookmarkStart w:name="_bookmark22" w:id="215"/>
      <w:bookmarkEnd w:id="215"/>
      <w:r>
        <w:rPr/>
      </w:r>
      <w:r>
        <w:rPr>
          <w:b/>
          <w:color w:val="44536A"/>
          <w:sz w:val="24"/>
        </w:rPr>
        <w:t>Tableau 4 </w:t>
      </w:r>
      <w:r>
        <w:rPr>
          <w:rFonts w:ascii="Calibri"/>
          <w:i/>
          <w:color w:val="44536A"/>
          <w:sz w:val="24"/>
        </w:rPr>
        <w:t>:</w:t>
      </w:r>
      <w:r>
        <w:rPr>
          <w:rFonts w:ascii="Calibri"/>
          <w:i/>
          <w:color w:val="44536A"/>
          <w:spacing w:val="-14"/>
          <w:sz w:val="24"/>
        </w:rPr>
        <w:t> </w:t>
      </w:r>
      <w:r>
        <w:rPr>
          <w:color w:val="44536A"/>
          <w:sz w:val="24"/>
        </w:rPr>
        <w:t>Situation</w:t>
      </w:r>
      <w:r>
        <w:rPr>
          <w:color w:val="44536A"/>
          <w:spacing w:val="-5"/>
          <w:sz w:val="24"/>
        </w:rPr>
        <w:t> </w:t>
      </w:r>
      <w:r>
        <w:rPr>
          <w:color w:val="44536A"/>
          <w:sz w:val="24"/>
        </w:rPr>
        <w:t>Professionnelle</w:t>
        <w:tab/>
      </w:r>
      <w:bookmarkStart w:name="_bookmark21" w:id="216"/>
      <w:bookmarkEnd w:id="216"/>
      <w:r>
        <w:rPr>
          <w:color w:val="44536A"/>
          <w:sz w:val="24"/>
        </w:rPr>
      </w:r>
      <w:r>
        <w:rPr>
          <w:b/>
          <w:color w:val="44536A"/>
          <w:sz w:val="24"/>
        </w:rPr>
        <w:t>Figure 5 : </w:t>
      </w:r>
      <w:r>
        <w:rPr>
          <w:color w:val="44536A"/>
          <w:sz w:val="24"/>
        </w:rPr>
        <w:t>Situation</w:t>
      </w:r>
      <w:r>
        <w:rPr>
          <w:color w:val="44536A"/>
          <w:spacing w:val="-15"/>
          <w:sz w:val="24"/>
        </w:rPr>
        <w:t> </w:t>
      </w:r>
      <w:r>
        <w:rPr>
          <w:color w:val="44536A"/>
          <w:sz w:val="24"/>
        </w:rPr>
        <w:t>Professionnelle</w:t>
      </w:r>
    </w:p>
    <w:p>
      <w:pPr>
        <w:pStyle w:val="BodyText"/>
        <w:spacing w:before="7"/>
        <w:ind w:left="825" w:right="441"/>
        <w:jc w:val="center"/>
      </w:pPr>
      <w:r>
        <w:rPr>
          <w:b/>
        </w:rPr>
        <w:t>Source : </w:t>
      </w:r>
      <w:r>
        <w:rPr/>
        <w:t>élaboré par nous-même sur la base des outputs SPSS</w:t>
      </w:r>
    </w:p>
    <w:p>
      <w:pPr>
        <w:pStyle w:val="BodyText"/>
        <w:spacing w:before="3"/>
        <w:rPr>
          <w:sz w:val="25"/>
        </w:rPr>
      </w:pPr>
    </w:p>
    <w:p>
      <w:pPr>
        <w:pStyle w:val="BodyText"/>
        <w:spacing w:line="362" w:lineRule="auto"/>
        <w:ind w:left="699" w:right="310" w:firstLine="360"/>
        <w:jc w:val="both"/>
      </w:pPr>
      <w:r>
        <w:rPr/>
        <w:t>La majorité des répondants sont des étudiants 43,9 % </w:t>
      </w:r>
      <w:r>
        <w:rPr>
          <w:spacing w:val="-3"/>
        </w:rPr>
        <w:t>et </w:t>
      </w:r>
      <w:r>
        <w:rPr/>
        <w:t>des salariés 43,4 %, représentant ensemble</w:t>
      </w:r>
      <w:r>
        <w:rPr>
          <w:spacing w:val="-11"/>
        </w:rPr>
        <w:t> </w:t>
      </w:r>
      <w:r>
        <w:rPr/>
        <w:t>près</w:t>
      </w:r>
      <w:r>
        <w:rPr>
          <w:spacing w:val="-12"/>
        </w:rPr>
        <w:t> </w:t>
      </w:r>
      <w:r>
        <w:rPr/>
        <w:t>de</w:t>
      </w:r>
      <w:r>
        <w:rPr>
          <w:spacing w:val="-11"/>
        </w:rPr>
        <w:t> </w:t>
      </w:r>
      <w:r>
        <w:rPr/>
        <w:t>88</w:t>
      </w:r>
      <w:r>
        <w:rPr>
          <w:spacing w:val="-10"/>
        </w:rPr>
        <w:t> </w:t>
      </w:r>
      <w:r>
        <w:rPr/>
        <w:t>%</w:t>
      </w:r>
      <w:r>
        <w:rPr>
          <w:spacing w:val="-8"/>
        </w:rPr>
        <w:t> </w:t>
      </w:r>
      <w:r>
        <w:rPr/>
        <w:t>de</w:t>
      </w:r>
      <w:r>
        <w:rPr>
          <w:spacing w:val="-6"/>
        </w:rPr>
        <w:t> </w:t>
      </w:r>
      <w:r>
        <w:rPr/>
        <w:t>l’échantillon.</w:t>
      </w:r>
      <w:r>
        <w:rPr>
          <w:spacing w:val="-8"/>
        </w:rPr>
        <w:t> </w:t>
      </w:r>
      <w:r>
        <w:rPr/>
        <w:t>Les</w:t>
      </w:r>
      <w:r>
        <w:rPr>
          <w:spacing w:val="-12"/>
        </w:rPr>
        <w:t> </w:t>
      </w:r>
      <w:r>
        <w:rPr/>
        <w:t>autres</w:t>
      </w:r>
      <w:r>
        <w:rPr>
          <w:spacing w:val="-12"/>
        </w:rPr>
        <w:t> </w:t>
      </w:r>
      <w:r>
        <w:rPr/>
        <w:t>statuts</w:t>
      </w:r>
      <w:r>
        <w:rPr>
          <w:spacing w:val="-11"/>
        </w:rPr>
        <w:t> </w:t>
      </w:r>
      <w:r>
        <w:rPr/>
        <w:t>sont</w:t>
      </w:r>
      <w:r>
        <w:rPr>
          <w:spacing w:val="-5"/>
        </w:rPr>
        <w:t> </w:t>
      </w:r>
      <w:r>
        <w:rPr/>
        <w:t>peu</w:t>
      </w:r>
      <w:r>
        <w:rPr>
          <w:spacing w:val="-10"/>
        </w:rPr>
        <w:t> </w:t>
      </w:r>
      <w:r>
        <w:rPr/>
        <w:t>représentés,</w:t>
      </w:r>
      <w:r>
        <w:rPr>
          <w:spacing w:val="-8"/>
        </w:rPr>
        <w:t> </w:t>
      </w:r>
      <w:r>
        <w:rPr/>
        <w:t>avec</w:t>
      </w:r>
      <w:r>
        <w:rPr>
          <w:spacing w:val="-11"/>
        </w:rPr>
        <w:t> </w:t>
      </w:r>
      <w:r>
        <w:rPr/>
        <w:t>5,8</w:t>
      </w:r>
      <w:r>
        <w:rPr>
          <w:spacing w:val="-10"/>
        </w:rPr>
        <w:t> </w:t>
      </w:r>
      <w:r>
        <w:rPr/>
        <w:t>%</w:t>
      </w:r>
      <w:r>
        <w:rPr>
          <w:spacing w:val="-8"/>
        </w:rPr>
        <w:t> </w:t>
      </w:r>
      <w:r>
        <w:rPr/>
        <w:t>de</w:t>
      </w:r>
      <w:r>
        <w:rPr>
          <w:spacing w:val="-6"/>
        </w:rPr>
        <w:t> </w:t>
      </w:r>
      <w:r>
        <w:rPr/>
        <w:t>free- lancers, 5,1 % de chômeurs, 1,2 % de retraités et seulement 0,5 % de commerçants. </w:t>
      </w:r>
      <w:r>
        <w:rPr>
          <w:spacing w:val="-3"/>
        </w:rPr>
        <w:t>Cela </w:t>
      </w:r>
      <w:r>
        <w:rPr/>
        <w:t>montre que l’enquête a principalement touché une population jeune et</w:t>
      </w:r>
      <w:r>
        <w:rPr>
          <w:spacing w:val="13"/>
        </w:rPr>
        <w:t> </w:t>
      </w:r>
      <w:r>
        <w:rPr/>
        <w:t>active.</w:t>
      </w:r>
    </w:p>
    <w:p>
      <w:pPr>
        <w:pStyle w:val="Heading5"/>
        <w:spacing w:before="157"/>
        <w:ind w:left="699" w:firstLine="0"/>
      </w:pPr>
      <w:r>
        <w:rPr/>
        <w:t>Q4_ Revenu mensuel</w:t>
      </w:r>
    </w:p>
    <w:p>
      <w:pPr>
        <w:tabs>
          <w:tab w:pos="6188" w:val="left" w:leader="none"/>
        </w:tabs>
        <w:spacing w:before="108"/>
        <w:ind w:left="762" w:right="0" w:firstLine="0"/>
        <w:jc w:val="both"/>
        <w:rPr>
          <w:sz w:val="24"/>
        </w:rPr>
      </w:pPr>
      <w:bookmarkStart w:name="_bookmark24" w:id="217"/>
      <w:bookmarkEnd w:id="217"/>
      <w:r>
        <w:rPr/>
      </w:r>
      <w:r>
        <w:rPr>
          <w:b/>
          <w:color w:val="44536A"/>
          <w:sz w:val="24"/>
        </w:rPr>
        <w:t>Tableau 5 :</w:t>
      </w:r>
      <w:r>
        <w:rPr>
          <w:b/>
          <w:color w:val="44536A"/>
          <w:spacing w:val="-2"/>
          <w:sz w:val="24"/>
        </w:rPr>
        <w:t> </w:t>
      </w:r>
      <w:r>
        <w:rPr>
          <w:color w:val="44536A"/>
          <w:sz w:val="24"/>
        </w:rPr>
        <w:t>Revenu</w:t>
      </w:r>
      <w:r>
        <w:rPr>
          <w:color w:val="44536A"/>
          <w:spacing w:val="2"/>
          <w:sz w:val="24"/>
        </w:rPr>
        <w:t> </w:t>
      </w:r>
      <w:r>
        <w:rPr>
          <w:color w:val="44536A"/>
          <w:sz w:val="24"/>
        </w:rPr>
        <w:t>mensuel</w:t>
        <w:tab/>
      </w:r>
      <w:bookmarkStart w:name="_bookmark23" w:id="218"/>
      <w:bookmarkEnd w:id="218"/>
      <w:r>
        <w:rPr>
          <w:color w:val="44536A"/>
          <w:sz w:val="24"/>
        </w:rPr>
      </w:r>
      <w:r>
        <w:rPr>
          <w:b/>
          <w:color w:val="44536A"/>
          <w:position w:val="2"/>
          <w:sz w:val="24"/>
        </w:rPr>
        <w:t>Figure 6 : </w:t>
      </w:r>
      <w:r>
        <w:rPr>
          <w:color w:val="44536A"/>
          <w:spacing w:val="-3"/>
          <w:position w:val="2"/>
          <w:sz w:val="24"/>
        </w:rPr>
        <w:t>Revenu</w:t>
      </w:r>
      <w:r>
        <w:rPr>
          <w:color w:val="44536A"/>
          <w:spacing w:val="12"/>
          <w:position w:val="2"/>
          <w:sz w:val="24"/>
        </w:rPr>
        <w:t> </w:t>
      </w:r>
      <w:r>
        <w:rPr>
          <w:color w:val="44536A"/>
          <w:position w:val="2"/>
          <w:sz w:val="24"/>
        </w:rPr>
        <w:t>mensuel</w:t>
      </w:r>
    </w:p>
    <w:p>
      <w:pPr>
        <w:pStyle w:val="BodyText"/>
        <w:spacing w:before="7"/>
        <w:rPr>
          <w:sz w:val="9"/>
        </w:rPr>
      </w:pPr>
      <w:r>
        <w:rPr/>
        <w:drawing>
          <wp:anchor distT="0" distB="0" distL="0" distR="0" allowOverlap="1" layoutInCell="1" locked="0" behindDoc="0" simplePos="0" relativeHeight="51">
            <wp:simplePos x="0" y="0"/>
            <wp:positionH relativeFrom="page">
              <wp:posOffset>1082039</wp:posOffset>
            </wp:positionH>
            <wp:positionV relativeFrom="paragraph">
              <wp:posOffset>95057</wp:posOffset>
            </wp:positionV>
            <wp:extent cx="3326187" cy="1374648"/>
            <wp:effectExtent l="0" t="0" r="0" b="0"/>
            <wp:wrapTopAndBottom/>
            <wp:docPr id="15" name="image25.jpeg"/>
            <wp:cNvGraphicFramePr>
              <a:graphicFrameLocks noChangeAspect="1"/>
            </wp:cNvGraphicFramePr>
            <a:graphic>
              <a:graphicData uri="http://schemas.openxmlformats.org/drawingml/2006/picture">
                <pic:pic>
                  <pic:nvPicPr>
                    <pic:cNvPr id="16" name="image25.jpeg"/>
                    <pic:cNvPicPr/>
                  </pic:nvPicPr>
                  <pic:blipFill>
                    <a:blip r:embed="rId79" cstate="print"/>
                    <a:stretch>
                      <a:fillRect/>
                    </a:stretch>
                  </pic:blipFill>
                  <pic:spPr>
                    <a:xfrm>
                      <a:off x="0" y="0"/>
                      <a:ext cx="3326187" cy="1374648"/>
                    </a:xfrm>
                    <a:prstGeom prst="rect">
                      <a:avLst/>
                    </a:prstGeom>
                  </pic:spPr>
                </pic:pic>
              </a:graphicData>
            </a:graphic>
          </wp:anchor>
        </w:drawing>
      </w:r>
      <w:r>
        <w:rPr/>
        <w:pict>
          <v:group style="position:absolute;margin-left:359.625pt;margin-top:11.359815pt;width:192.15pt;height:94.9pt;mso-position-horizontal-relative:page;mso-position-vertical-relative:paragraph;z-index:-251599872;mso-wrap-distance-left:0;mso-wrap-distance-right:0" coordorigin="7193,227" coordsize="3843,1898">
            <v:shape style="position:absolute;left:10067;top:346;width:799;height:1509" type="#_x0000_t75" stroked="false">
              <v:imagedata r:id="rId80" o:title=""/>
            </v:shape>
            <v:shape style="position:absolute;left:9753;top:1131;width:679;height:813" type="#_x0000_t75" stroked="false">
              <v:imagedata r:id="rId81" o:title=""/>
            </v:shape>
            <v:shape style="position:absolute;left:9273;top:1131;width:808;height:755" type="#_x0000_t75" stroked="false">
              <v:imagedata r:id="rId82" o:title=""/>
            </v:shape>
            <v:shape style="position:absolute;left:9268;top:339;width:813;height:875" type="#_x0000_t75" stroked="false">
              <v:imagedata r:id="rId83" o:title=""/>
            </v:shape>
            <v:shape style="position:absolute;left:7504;top:716;width:103;height:108" type="#_x0000_t75" stroked="false">
              <v:imagedata r:id="rId84" o:title=""/>
            </v:shape>
            <v:shape style="position:absolute;left:7504;top:980;width:103;height:103" type="#_x0000_t75" stroked="false">
              <v:imagedata r:id="rId85" o:title=""/>
            </v:shape>
            <v:shape style="position:absolute;left:7504;top:1244;width:103;height:103" type="#_x0000_t75" stroked="false">
              <v:imagedata r:id="rId86" o:title=""/>
            </v:shape>
            <v:shape style="position:absolute;left:7504;top:1503;width:103;height:108" type="#_x0000_t75" stroked="false">
              <v:imagedata r:id="rId87" o:title=""/>
            </v:shape>
            <v:rect style="position:absolute;left:7200;top:234;width:3828;height:1883" filled="false" stroked="true" strokeweight=".75pt" strokecolor="#d9d9d9">
              <v:stroke dashstyle="solid"/>
            </v:rect>
            <v:shape style="position:absolute;left:9936;top:1696;width:335;height:183" type="#_x0000_t202" filled="false" stroked="false">
              <v:textbox inset="0,0,0,0">
                <w:txbxContent>
                  <w:p>
                    <w:pPr>
                      <w:spacing w:line="182" w:lineRule="exact" w:before="0"/>
                      <w:ind w:left="0" w:right="0" w:firstLine="0"/>
                      <w:jc w:val="left"/>
                      <w:rPr>
                        <w:rFonts w:ascii="Calibri"/>
                        <w:b/>
                        <w:sz w:val="18"/>
                      </w:rPr>
                    </w:pPr>
                    <w:r>
                      <w:rPr>
                        <w:rFonts w:ascii="Calibri"/>
                        <w:b/>
                        <w:color w:val="FFFFFF"/>
                        <w:sz w:val="18"/>
                      </w:rPr>
                      <w:t>14%</w:t>
                    </w:r>
                  </w:p>
                </w:txbxContent>
              </v:textbox>
              <w10:wrap type="none"/>
            </v:shape>
            <v:shape style="position:absolute;left:9492;top:1380;width:335;height:183" type="#_x0000_t202" filled="false" stroked="false">
              <v:textbox inset="0,0,0,0">
                <w:txbxContent>
                  <w:p>
                    <w:pPr>
                      <w:spacing w:line="182" w:lineRule="exact" w:before="0"/>
                      <w:ind w:left="0" w:right="0" w:firstLine="0"/>
                      <w:jc w:val="left"/>
                      <w:rPr>
                        <w:rFonts w:ascii="Calibri"/>
                        <w:b/>
                        <w:sz w:val="18"/>
                      </w:rPr>
                    </w:pPr>
                    <w:r>
                      <w:rPr>
                        <w:rFonts w:ascii="Calibri"/>
                        <w:b/>
                        <w:color w:val="FFFFFF"/>
                        <w:sz w:val="18"/>
                      </w:rPr>
                      <w:t>17%</w:t>
                    </w:r>
                  </w:p>
                </w:txbxContent>
              </v:textbox>
              <w10:wrap type="none"/>
            </v:shape>
            <v:shape style="position:absolute;left:10442;top:951;width:335;height:183" type="#_x0000_t202" filled="false" stroked="false">
              <v:textbox inset="0,0,0,0">
                <w:txbxContent>
                  <w:p>
                    <w:pPr>
                      <w:spacing w:line="183" w:lineRule="exact" w:before="0"/>
                      <w:ind w:left="0" w:right="0" w:firstLine="0"/>
                      <w:jc w:val="left"/>
                      <w:rPr>
                        <w:rFonts w:ascii="Calibri"/>
                        <w:b/>
                        <w:sz w:val="18"/>
                      </w:rPr>
                    </w:pPr>
                    <w:r>
                      <w:rPr>
                        <w:rFonts w:ascii="Calibri"/>
                        <w:b/>
                        <w:color w:val="FFFFFF"/>
                        <w:sz w:val="18"/>
                      </w:rPr>
                      <w:t>43%</w:t>
                    </w:r>
                  </w:p>
                </w:txbxContent>
              </v:textbox>
              <w10:wrap type="none"/>
            </v:shape>
            <v:shape style="position:absolute;left:9508;top:695;width:335;height:183" type="#_x0000_t202" filled="false" stroked="false">
              <v:textbox inset="0,0,0,0">
                <w:txbxContent>
                  <w:p>
                    <w:pPr>
                      <w:spacing w:line="182" w:lineRule="exact" w:before="0"/>
                      <w:ind w:left="0" w:right="0" w:firstLine="0"/>
                      <w:jc w:val="left"/>
                      <w:rPr>
                        <w:rFonts w:ascii="Calibri"/>
                        <w:b/>
                        <w:sz w:val="18"/>
                      </w:rPr>
                    </w:pPr>
                    <w:r>
                      <w:rPr>
                        <w:rFonts w:ascii="Calibri"/>
                        <w:b/>
                        <w:color w:val="FFFFFF"/>
                        <w:sz w:val="18"/>
                      </w:rPr>
                      <w:t>26%</w:t>
                    </w:r>
                  </w:p>
                </w:txbxContent>
              </v:textbox>
              <w10:wrap type="none"/>
            </v:shape>
            <v:shape style="position:absolute;left:7650;top:690;width:1274;height:969" type="#_x0000_t202" filled="false" stroked="false">
              <v:textbox inset="0,0,0,0">
                <w:txbxContent>
                  <w:p>
                    <w:pPr>
                      <w:spacing w:line="185" w:lineRule="exact" w:before="0"/>
                      <w:ind w:left="0" w:right="0" w:firstLine="0"/>
                      <w:jc w:val="left"/>
                      <w:rPr>
                        <w:rFonts w:ascii="Calibri"/>
                        <w:sz w:val="18"/>
                      </w:rPr>
                    </w:pPr>
                    <w:r>
                      <w:rPr>
                        <w:rFonts w:ascii="Calibri"/>
                        <w:color w:val="585858"/>
                        <w:sz w:val="18"/>
                      </w:rPr>
                      <w:t>MOINS DE 20000</w:t>
                    </w:r>
                  </w:p>
                  <w:p>
                    <w:pPr>
                      <w:spacing w:before="42"/>
                      <w:ind w:left="0" w:right="0" w:firstLine="0"/>
                      <w:jc w:val="left"/>
                      <w:rPr>
                        <w:rFonts w:ascii="Calibri"/>
                        <w:sz w:val="18"/>
                      </w:rPr>
                    </w:pPr>
                    <w:r>
                      <w:rPr>
                        <w:rFonts w:ascii="Calibri"/>
                        <w:color w:val="585858"/>
                        <w:sz w:val="18"/>
                      </w:rPr>
                      <w:t>20000_35000</w:t>
                    </w:r>
                  </w:p>
                  <w:p>
                    <w:pPr>
                      <w:spacing w:before="43"/>
                      <w:ind w:left="0" w:right="0" w:firstLine="0"/>
                      <w:jc w:val="left"/>
                      <w:rPr>
                        <w:rFonts w:ascii="Calibri"/>
                        <w:sz w:val="18"/>
                      </w:rPr>
                    </w:pPr>
                    <w:r>
                      <w:rPr>
                        <w:rFonts w:ascii="Calibri"/>
                        <w:color w:val="585858"/>
                        <w:sz w:val="18"/>
                      </w:rPr>
                      <w:t>36000_60000</w:t>
                    </w:r>
                  </w:p>
                  <w:p>
                    <w:pPr>
                      <w:spacing w:line="217" w:lineRule="exact" w:before="42"/>
                      <w:ind w:left="0" w:right="0" w:firstLine="0"/>
                      <w:jc w:val="left"/>
                      <w:rPr>
                        <w:rFonts w:ascii="Calibri"/>
                        <w:sz w:val="18"/>
                      </w:rPr>
                    </w:pPr>
                    <w:r>
                      <w:rPr>
                        <w:rFonts w:ascii="Calibri"/>
                        <w:color w:val="585858"/>
                        <w:sz w:val="18"/>
                      </w:rPr>
                      <w:t>plus de</w:t>
                    </w:r>
                    <w:r>
                      <w:rPr>
                        <w:rFonts w:ascii="Calibri"/>
                        <w:color w:val="585858"/>
                        <w:spacing w:val="-7"/>
                        <w:sz w:val="18"/>
                      </w:rPr>
                      <w:t> </w:t>
                    </w:r>
                    <w:r>
                      <w:rPr>
                        <w:rFonts w:ascii="Calibri"/>
                        <w:color w:val="585858"/>
                        <w:sz w:val="18"/>
                      </w:rPr>
                      <w:t>60000</w:t>
                    </w:r>
                  </w:p>
                </w:txbxContent>
              </v:textbox>
              <w10:wrap type="none"/>
            </v:shape>
            <w10:wrap type="topAndBottom"/>
          </v:group>
        </w:pict>
      </w:r>
    </w:p>
    <w:p>
      <w:pPr>
        <w:pStyle w:val="BodyText"/>
        <w:rPr>
          <w:sz w:val="29"/>
        </w:rPr>
      </w:pPr>
    </w:p>
    <w:p>
      <w:pPr>
        <w:pStyle w:val="BodyText"/>
        <w:ind w:left="2774"/>
      </w:pPr>
      <w:r>
        <w:rPr>
          <w:b/>
        </w:rPr>
        <w:t>Source : </w:t>
      </w:r>
      <w:r>
        <w:rPr/>
        <w:t>élaboré par nous-même sur la base des outputs SPSS</w:t>
      </w:r>
    </w:p>
    <w:p>
      <w:pPr>
        <w:pStyle w:val="BodyText"/>
        <w:spacing w:before="3"/>
        <w:rPr>
          <w:sz w:val="25"/>
        </w:rPr>
      </w:pPr>
    </w:p>
    <w:p>
      <w:pPr>
        <w:pStyle w:val="BodyText"/>
        <w:spacing w:line="362" w:lineRule="auto"/>
        <w:ind w:left="699" w:right="313" w:firstLine="360"/>
        <w:jc w:val="both"/>
      </w:pPr>
      <w:r>
        <w:rPr/>
        <w:t>Pour </w:t>
      </w:r>
      <w:r>
        <w:rPr>
          <w:spacing w:val="-5"/>
        </w:rPr>
        <w:t>le </w:t>
      </w:r>
      <w:r>
        <w:rPr/>
        <w:t>revenu mensuel </w:t>
      </w:r>
      <w:r>
        <w:rPr>
          <w:spacing w:val="-3"/>
        </w:rPr>
        <w:t>la </w:t>
      </w:r>
      <w:r>
        <w:rPr/>
        <w:t>majorité des répondants 42,7 % déclarent </w:t>
      </w:r>
      <w:r>
        <w:rPr>
          <w:spacing w:val="-3"/>
        </w:rPr>
        <w:t>avoir </w:t>
      </w:r>
      <w:r>
        <w:rPr/>
        <w:t>un revenu mensuel inférieur à 20 000 </w:t>
      </w:r>
      <w:r>
        <w:rPr>
          <w:spacing w:val="-3"/>
        </w:rPr>
        <w:t>DA. </w:t>
      </w:r>
      <w:r>
        <w:rPr/>
        <w:t>Ensuite, 26,2 % gagnent plus de 60 000 </w:t>
      </w:r>
      <w:r>
        <w:rPr>
          <w:spacing w:val="-3"/>
        </w:rPr>
        <w:t>DA, </w:t>
      </w:r>
      <w:r>
        <w:rPr/>
        <w:t>17,5 % se situent entre 36 000 et</w:t>
      </w:r>
      <w:r>
        <w:rPr>
          <w:spacing w:val="-4"/>
        </w:rPr>
        <w:t> </w:t>
      </w:r>
      <w:r>
        <w:rPr/>
        <w:t>60 000</w:t>
      </w:r>
      <w:r>
        <w:rPr>
          <w:spacing w:val="-4"/>
        </w:rPr>
        <w:t> </w:t>
      </w:r>
      <w:r>
        <w:rPr>
          <w:spacing w:val="-3"/>
        </w:rPr>
        <w:t>DA, et </w:t>
      </w:r>
      <w:r>
        <w:rPr/>
        <w:t>13,6 %</w:t>
      </w:r>
      <w:r>
        <w:rPr>
          <w:spacing w:val="-7"/>
        </w:rPr>
        <w:t> </w:t>
      </w:r>
      <w:r>
        <w:rPr/>
        <w:t>entre</w:t>
      </w:r>
      <w:r>
        <w:rPr>
          <w:spacing w:val="-6"/>
        </w:rPr>
        <w:t> </w:t>
      </w:r>
      <w:r>
        <w:rPr/>
        <w:t>20 000</w:t>
      </w:r>
      <w:r>
        <w:rPr>
          <w:spacing w:val="-9"/>
        </w:rPr>
        <w:t> </w:t>
      </w:r>
      <w:r>
        <w:rPr>
          <w:spacing w:val="-3"/>
        </w:rPr>
        <w:t>et </w:t>
      </w:r>
      <w:r>
        <w:rPr/>
        <w:t>35 000</w:t>
      </w:r>
      <w:r>
        <w:rPr>
          <w:spacing w:val="-10"/>
        </w:rPr>
        <w:t> </w:t>
      </w:r>
      <w:r>
        <w:rPr>
          <w:spacing w:val="-3"/>
        </w:rPr>
        <w:t>DA.</w:t>
      </w:r>
      <w:r>
        <w:rPr>
          <w:spacing w:val="-2"/>
        </w:rPr>
        <w:t> </w:t>
      </w:r>
      <w:r>
        <w:rPr>
          <w:spacing w:val="-3"/>
        </w:rPr>
        <w:t>Cela</w:t>
      </w:r>
      <w:r>
        <w:rPr>
          <w:spacing w:val="-1"/>
        </w:rPr>
        <w:t> </w:t>
      </w:r>
      <w:r>
        <w:rPr/>
        <w:t>indique</w:t>
      </w:r>
      <w:r>
        <w:rPr>
          <w:spacing w:val="-5"/>
        </w:rPr>
        <w:t> </w:t>
      </w:r>
      <w:r>
        <w:rPr/>
        <w:t>que</w:t>
      </w:r>
      <w:r>
        <w:rPr>
          <w:spacing w:val="-5"/>
        </w:rPr>
        <w:t> </w:t>
      </w:r>
      <w:r>
        <w:rPr/>
        <w:t>plus</w:t>
      </w:r>
      <w:r>
        <w:rPr>
          <w:spacing w:val="-7"/>
        </w:rPr>
        <w:t> </w:t>
      </w:r>
      <w:r>
        <w:rPr/>
        <w:t>de</w:t>
      </w:r>
      <w:r>
        <w:rPr>
          <w:spacing w:val="-5"/>
        </w:rPr>
        <w:t> </w:t>
      </w:r>
      <w:r>
        <w:rPr/>
        <w:t>56 %</w:t>
      </w:r>
      <w:r>
        <w:rPr>
          <w:spacing w:val="-2"/>
        </w:rPr>
        <w:t> </w:t>
      </w:r>
      <w:r>
        <w:rPr/>
        <w:t>des</w:t>
      </w:r>
      <w:r>
        <w:rPr>
          <w:spacing w:val="-7"/>
        </w:rPr>
        <w:t> </w:t>
      </w:r>
      <w:r>
        <w:rPr/>
        <w:t>participants ont</w:t>
      </w:r>
      <w:r>
        <w:rPr>
          <w:spacing w:val="-15"/>
        </w:rPr>
        <w:t> </w:t>
      </w:r>
      <w:r>
        <w:rPr/>
        <w:t>un</w:t>
      </w:r>
      <w:r>
        <w:rPr>
          <w:spacing w:val="-19"/>
        </w:rPr>
        <w:t> </w:t>
      </w:r>
      <w:r>
        <w:rPr/>
        <w:t>revenu</w:t>
      </w:r>
      <w:r>
        <w:rPr>
          <w:spacing w:val="-10"/>
        </w:rPr>
        <w:t> </w:t>
      </w:r>
      <w:r>
        <w:rPr/>
        <w:t>mensuel</w:t>
      </w:r>
      <w:r>
        <w:rPr>
          <w:spacing w:val="-15"/>
        </w:rPr>
        <w:t> </w:t>
      </w:r>
      <w:r>
        <w:rPr/>
        <w:t>inférieur</w:t>
      </w:r>
      <w:r>
        <w:rPr>
          <w:spacing w:val="-13"/>
        </w:rPr>
        <w:t> </w:t>
      </w:r>
      <w:r>
        <w:rPr/>
        <w:t>à</w:t>
      </w:r>
      <w:r>
        <w:rPr>
          <w:spacing w:val="-15"/>
        </w:rPr>
        <w:t> </w:t>
      </w:r>
      <w:r>
        <w:rPr/>
        <w:t>36 000</w:t>
      </w:r>
      <w:r>
        <w:rPr>
          <w:spacing w:val="-15"/>
        </w:rPr>
        <w:t> </w:t>
      </w:r>
      <w:r>
        <w:rPr>
          <w:spacing w:val="-3"/>
        </w:rPr>
        <w:t>DA,</w:t>
      </w:r>
      <w:r>
        <w:rPr>
          <w:spacing w:val="-12"/>
        </w:rPr>
        <w:t> </w:t>
      </w:r>
      <w:r>
        <w:rPr/>
        <w:t>ce</w:t>
      </w:r>
      <w:r>
        <w:rPr>
          <w:spacing w:val="-15"/>
        </w:rPr>
        <w:t> </w:t>
      </w:r>
      <w:r>
        <w:rPr/>
        <w:t>qui</w:t>
      </w:r>
      <w:r>
        <w:rPr>
          <w:spacing w:val="-24"/>
        </w:rPr>
        <w:t> </w:t>
      </w:r>
      <w:r>
        <w:rPr/>
        <w:t>reflète</w:t>
      </w:r>
      <w:r>
        <w:rPr>
          <w:spacing w:val="-16"/>
        </w:rPr>
        <w:t> </w:t>
      </w:r>
      <w:r>
        <w:rPr/>
        <w:t>une</w:t>
      </w:r>
      <w:r>
        <w:rPr>
          <w:spacing w:val="-15"/>
        </w:rPr>
        <w:t> </w:t>
      </w:r>
      <w:r>
        <w:rPr/>
        <w:t>population</w:t>
      </w:r>
      <w:r>
        <w:rPr>
          <w:spacing w:val="-19"/>
        </w:rPr>
        <w:t> </w:t>
      </w:r>
      <w:r>
        <w:rPr/>
        <w:t>à</w:t>
      </w:r>
      <w:r>
        <w:rPr>
          <w:spacing w:val="-15"/>
        </w:rPr>
        <w:t> </w:t>
      </w:r>
      <w:r>
        <w:rPr/>
        <w:t>revenu</w:t>
      </w:r>
      <w:r>
        <w:rPr>
          <w:spacing w:val="-15"/>
        </w:rPr>
        <w:t> </w:t>
      </w:r>
      <w:r>
        <w:rPr/>
        <w:t>plutôt</w:t>
      </w:r>
      <w:r>
        <w:rPr>
          <w:spacing w:val="-14"/>
        </w:rPr>
        <w:t> </w:t>
      </w:r>
      <w:r>
        <w:rPr/>
        <w:t>modeste.</w:t>
      </w:r>
    </w:p>
    <w:p>
      <w:pPr>
        <w:spacing w:after="0" w:line="362" w:lineRule="auto"/>
        <w:jc w:val="both"/>
        <w:sectPr>
          <w:pgSz w:w="12240" w:h="15840"/>
          <w:pgMar w:header="723" w:footer="850" w:top="1080" w:bottom="1040" w:left="1000" w:right="820"/>
        </w:sectPr>
      </w:pPr>
    </w:p>
    <w:p>
      <w:pPr>
        <w:pStyle w:val="BodyText"/>
        <w:spacing w:before="10"/>
        <w:rPr>
          <w:sz w:val="19"/>
        </w:rPr>
      </w:pPr>
    </w:p>
    <w:p>
      <w:pPr>
        <w:pStyle w:val="Heading5"/>
        <w:numPr>
          <w:ilvl w:val="0"/>
          <w:numId w:val="27"/>
        </w:numPr>
        <w:tabs>
          <w:tab w:pos="1488" w:val="left" w:leader="none"/>
        </w:tabs>
        <w:spacing w:line="367" w:lineRule="auto" w:before="90" w:after="0"/>
        <w:ind w:left="1487" w:right="325" w:hanging="360"/>
        <w:jc w:val="left"/>
      </w:pPr>
      <w:r>
        <w:rPr/>
        <w:t>Partie 02 : Profil utilisateur de BaridiMob et évaluation de </w:t>
      </w:r>
      <w:r>
        <w:rPr>
          <w:spacing w:val="-3"/>
        </w:rPr>
        <w:t>la </w:t>
      </w:r>
      <w:r>
        <w:rPr/>
        <w:t>satisfaction à travers l’expérience d’utilisation (04 questions)</w:t>
      </w:r>
      <w:r>
        <w:rPr>
          <w:spacing w:val="3"/>
        </w:rPr>
        <w:t> </w:t>
      </w:r>
      <w:r>
        <w:rPr/>
        <w:t>:</w:t>
      </w:r>
    </w:p>
    <w:p>
      <w:pPr>
        <w:spacing w:before="150"/>
        <w:ind w:left="699" w:right="0" w:firstLine="0"/>
        <w:jc w:val="left"/>
        <w:rPr>
          <w:b/>
          <w:i/>
          <w:sz w:val="24"/>
        </w:rPr>
      </w:pPr>
      <w:r>
        <w:rPr>
          <w:b/>
          <w:sz w:val="24"/>
        </w:rPr>
        <w:t>Q5_Avez vous l'habitude d'utiliser l'application BaridiMob </w:t>
      </w:r>
      <w:r>
        <w:rPr>
          <w:b/>
          <w:i/>
          <w:sz w:val="24"/>
        </w:rPr>
        <w:t>?</w:t>
      </w:r>
    </w:p>
    <w:p>
      <w:pPr>
        <w:pStyle w:val="BodyText"/>
        <w:spacing w:before="7"/>
        <w:rPr>
          <w:b/>
          <w:i/>
          <w:sz w:val="15"/>
        </w:rPr>
      </w:pPr>
    </w:p>
    <w:p>
      <w:pPr>
        <w:tabs>
          <w:tab w:pos="5587" w:val="left" w:leader="none"/>
        </w:tabs>
        <w:spacing w:before="90"/>
        <w:ind w:left="699" w:right="0" w:firstLine="0"/>
        <w:jc w:val="left"/>
        <w:rPr>
          <w:sz w:val="22"/>
        </w:rPr>
      </w:pPr>
      <w:bookmarkStart w:name="_bookmark26" w:id="219"/>
      <w:bookmarkEnd w:id="219"/>
      <w:r>
        <w:rPr/>
      </w:r>
      <w:r>
        <w:rPr>
          <w:b/>
          <w:color w:val="44536A"/>
          <w:sz w:val="22"/>
        </w:rPr>
        <w:t>Tableau 6 : </w:t>
      </w:r>
      <w:r>
        <w:rPr>
          <w:color w:val="44536A"/>
          <w:sz w:val="22"/>
        </w:rPr>
        <w:t>Fréquence d’utilisation</w:t>
      </w:r>
      <w:r>
        <w:rPr>
          <w:color w:val="44536A"/>
          <w:spacing w:val="-13"/>
          <w:sz w:val="22"/>
        </w:rPr>
        <w:t> </w:t>
      </w:r>
      <w:r>
        <w:rPr>
          <w:color w:val="44536A"/>
          <w:sz w:val="22"/>
        </w:rPr>
        <w:t>de</w:t>
      </w:r>
      <w:r>
        <w:rPr>
          <w:color w:val="44536A"/>
          <w:spacing w:val="-6"/>
          <w:sz w:val="22"/>
        </w:rPr>
        <w:t> </w:t>
      </w:r>
      <w:r>
        <w:rPr>
          <w:color w:val="44536A"/>
          <w:sz w:val="22"/>
        </w:rPr>
        <w:t>BaridiMob</w:t>
        <w:tab/>
      </w:r>
      <w:bookmarkStart w:name="_bookmark25" w:id="220"/>
      <w:bookmarkEnd w:id="220"/>
      <w:r>
        <w:rPr>
          <w:color w:val="44536A"/>
          <w:sz w:val="22"/>
        </w:rPr>
      </w:r>
      <w:r>
        <w:rPr>
          <w:b/>
          <w:color w:val="44536A"/>
          <w:position w:val="2"/>
          <w:sz w:val="22"/>
        </w:rPr>
        <w:t>Figure 7:</w:t>
      </w:r>
      <w:r>
        <w:rPr>
          <w:color w:val="44536A"/>
          <w:position w:val="2"/>
          <w:sz w:val="22"/>
        </w:rPr>
        <w:t>Fréquence d’utilisation de</w:t>
      </w:r>
      <w:r>
        <w:rPr>
          <w:color w:val="44536A"/>
          <w:spacing w:val="-7"/>
          <w:position w:val="2"/>
          <w:sz w:val="22"/>
        </w:rPr>
        <w:t> </w:t>
      </w:r>
      <w:r>
        <w:rPr>
          <w:color w:val="44536A"/>
          <w:position w:val="2"/>
          <w:sz w:val="22"/>
        </w:rPr>
        <w:t>BaridiMob</w:t>
      </w:r>
    </w:p>
    <w:p>
      <w:pPr>
        <w:pStyle w:val="BodyText"/>
        <w:spacing w:before="8"/>
        <w:rPr>
          <w:sz w:val="11"/>
        </w:rPr>
      </w:pPr>
      <w:r>
        <w:rPr/>
        <w:pict>
          <v:shape style="position:absolute;margin-left:84.984001pt;margin-top:10.379492pt;width:234.1pt;height:87.4pt;mso-position-horizontal-relative:page;mso-position-vertical-relative:paragraph;z-index:-251658240;mso-wrap-distance-left:0;mso-wrap-distance-right:0" type="#_x0000_t202" filled="false" stroked="false">
            <v:textbox inset="0,0,0,0">
              <w:txbxContent>
                <w:tbl>
                  <w:tblPr>
                    <w:tblW w:w="0" w:type="auto"/>
                    <w:jc w:val="left"/>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244"/>
                    <w:gridCol w:w="1263"/>
                    <w:gridCol w:w="1110"/>
                    <w:gridCol w:w="1023"/>
                  </w:tblGrid>
                  <w:tr>
                    <w:trPr>
                      <w:trHeight w:val="603" w:hRule="atLeast"/>
                    </w:trPr>
                    <w:tc>
                      <w:tcPr>
                        <w:tcW w:w="1244" w:type="dxa"/>
                      </w:tcPr>
                      <w:p>
                        <w:pPr>
                          <w:pStyle w:val="TableParagraph"/>
                          <w:jc w:val="left"/>
                          <w:rPr>
                            <w:sz w:val="22"/>
                          </w:rPr>
                        </w:pPr>
                      </w:p>
                    </w:tc>
                    <w:tc>
                      <w:tcPr>
                        <w:tcW w:w="1263" w:type="dxa"/>
                      </w:tcPr>
                      <w:p>
                        <w:pPr>
                          <w:pStyle w:val="TableParagraph"/>
                          <w:spacing w:before="1"/>
                          <w:ind w:right="539"/>
                          <w:jc w:val="right"/>
                          <w:rPr>
                            <w:rFonts w:ascii="Calibri Light"/>
                            <w:b w:val="0"/>
                            <w:sz w:val="18"/>
                          </w:rPr>
                        </w:pPr>
                        <w:r>
                          <w:rPr>
                            <w:rFonts w:ascii="Calibri Light"/>
                            <w:b w:val="0"/>
                            <w:w w:val="101"/>
                            <w:sz w:val="18"/>
                          </w:rPr>
                          <w:t>N</w:t>
                        </w:r>
                      </w:p>
                    </w:tc>
                    <w:tc>
                      <w:tcPr>
                        <w:tcW w:w="1110" w:type="dxa"/>
                      </w:tcPr>
                      <w:p>
                        <w:pPr>
                          <w:pStyle w:val="TableParagraph"/>
                          <w:spacing w:before="1"/>
                          <w:ind w:left="36"/>
                          <w:rPr>
                            <w:rFonts w:ascii="Calibri Light"/>
                            <w:b w:val="0"/>
                            <w:sz w:val="18"/>
                          </w:rPr>
                        </w:pPr>
                        <w:r>
                          <w:rPr>
                            <w:rFonts w:ascii="Calibri Light"/>
                            <w:b w:val="0"/>
                            <w:w w:val="101"/>
                            <w:sz w:val="18"/>
                          </w:rPr>
                          <w:t>%</w:t>
                        </w:r>
                      </w:p>
                    </w:tc>
                    <w:tc>
                      <w:tcPr>
                        <w:tcW w:w="1023" w:type="dxa"/>
                      </w:tcPr>
                      <w:p>
                        <w:pPr>
                          <w:pStyle w:val="TableParagraph"/>
                          <w:spacing w:before="1"/>
                          <w:ind w:right="246"/>
                          <w:jc w:val="right"/>
                          <w:rPr>
                            <w:rFonts w:ascii="Calibri Light"/>
                            <w:b w:val="0"/>
                            <w:sz w:val="18"/>
                          </w:rPr>
                        </w:pPr>
                        <w:r>
                          <w:rPr>
                            <w:rFonts w:ascii="Calibri Light"/>
                            <w:b w:val="0"/>
                            <w:sz w:val="18"/>
                          </w:rPr>
                          <w:t>Cumul</w:t>
                        </w:r>
                      </w:p>
                    </w:tc>
                  </w:tr>
                  <w:tr>
                    <w:trPr>
                      <w:trHeight w:val="374" w:hRule="atLeast"/>
                    </w:trPr>
                    <w:tc>
                      <w:tcPr>
                        <w:tcW w:w="1244" w:type="dxa"/>
                        <w:tcBorders>
                          <w:bottom w:val="single" w:sz="4" w:space="0" w:color="7E7E7E"/>
                        </w:tcBorders>
                      </w:tcPr>
                      <w:p>
                        <w:pPr>
                          <w:pStyle w:val="TableParagraph"/>
                          <w:spacing w:before="1"/>
                          <w:ind w:left="419" w:right="384"/>
                          <w:rPr>
                            <w:rFonts w:ascii="Calibri Light"/>
                            <w:b w:val="0"/>
                            <w:sz w:val="18"/>
                          </w:rPr>
                        </w:pPr>
                        <w:r>
                          <w:rPr>
                            <w:rFonts w:ascii="Calibri Light"/>
                            <w:b w:val="0"/>
                            <w:sz w:val="18"/>
                          </w:rPr>
                          <w:t>Oui</w:t>
                        </w:r>
                      </w:p>
                    </w:tc>
                    <w:tc>
                      <w:tcPr>
                        <w:tcW w:w="1263" w:type="dxa"/>
                        <w:tcBorders>
                          <w:bottom w:val="single" w:sz="4" w:space="0" w:color="7E7E7E"/>
                        </w:tcBorders>
                      </w:tcPr>
                      <w:p>
                        <w:pPr>
                          <w:pStyle w:val="TableParagraph"/>
                          <w:spacing w:before="1"/>
                          <w:ind w:right="458"/>
                          <w:jc w:val="right"/>
                          <w:rPr>
                            <w:rFonts w:ascii="Calibri Light"/>
                            <w:b w:val="0"/>
                            <w:sz w:val="18"/>
                          </w:rPr>
                        </w:pPr>
                        <w:r>
                          <w:rPr>
                            <w:rFonts w:ascii="Calibri Light"/>
                            <w:b w:val="0"/>
                            <w:sz w:val="18"/>
                          </w:rPr>
                          <w:t>376</w:t>
                        </w:r>
                      </w:p>
                    </w:tc>
                    <w:tc>
                      <w:tcPr>
                        <w:tcW w:w="1110" w:type="dxa"/>
                        <w:tcBorders>
                          <w:bottom w:val="single" w:sz="4" w:space="0" w:color="7E7E7E"/>
                        </w:tcBorders>
                      </w:tcPr>
                      <w:p>
                        <w:pPr>
                          <w:pStyle w:val="TableParagraph"/>
                          <w:spacing w:before="1"/>
                          <w:ind w:right="362"/>
                          <w:jc w:val="right"/>
                          <w:rPr>
                            <w:rFonts w:ascii="Calibri Light"/>
                            <w:b w:val="0"/>
                            <w:sz w:val="18"/>
                          </w:rPr>
                        </w:pPr>
                        <w:r>
                          <w:rPr>
                            <w:rFonts w:ascii="Calibri Light"/>
                            <w:b w:val="0"/>
                            <w:sz w:val="18"/>
                          </w:rPr>
                          <w:t>91,3</w:t>
                        </w:r>
                      </w:p>
                    </w:tc>
                    <w:tc>
                      <w:tcPr>
                        <w:tcW w:w="1023" w:type="dxa"/>
                        <w:tcBorders>
                          <w:bottom w:val="single" w:sz="4" w:space="0" w:color="7E7E7E"/>
                        </w:tcBorders>
                      </w:tcPr>
                      <w:p>
                        <w:pPr>
                          <w:pStyle w:val="TableParagraph"/>
                          <w:spacing w:before="1"/>
                          <w:ind w:right="319"/>
                          <w:jc w:val="right"/>
                          <w:rPr>
                            <w:rFonts w:ascii="Calibri Light"/>
                            <w:b w:val="0"/>
                            <w:sz w:val="18"/>
                          </w:rPr>
                        </w:pPr>
                        <w:r>
                          <w:rPr>
                            <w:rFonts w:ascii="Calibri Light"/>
                            <w:b w:val="0"/>
                            <w:sz w:val="18"/>
                          </w:rPr>
                          <w:t>91,3</w:t>
                        </w:r>
                      </w:p>
                    </w:tc>
                  </w:tr>
                  <w:tr>
                    <w:trPr>
                      <w:trHeight w:val="258" w:hRule="atLeast"/>
                    </w:trPr>
                    <w:tc>
                      <w:tcPr>
                        <w:tcW w:w="1244" w:type="dxa"/>
                        <w:tcBorders>
                          <w:top w:val="single" w:sz="4" w:space="0" w:color="7E7E7E"/>
                          <w:bottom w:val="single" w:sz="4" w:space="0" w:color="7E7E7E"/>
                        </w:tcBorders>
                      </w:tcPr>
                      <w:p>
                        <w:pPr>
                          <w:pStyle w:val="TableParagraph"/>
                          <w:spacing w:before="1"/>
                          <w:ind w:left="419" w:right="382"/>
                          <w:rPr>
                            <w:rFonts w:ascii="Calibri Light"/>
                            <w:b w:val="0"/>
                            <w:sz w:val="18"/>
                          </w:rPr>
                        </w:pPr>
                        <w:r>
                          <w:rPr>
                            <w:rFonts w:ascii="Calibri Light"/>
                            <w:b w:val="0"/>
                            <w:sz w:val="18"/>
                          </w:rPr>
                          <w:t>Non</w:t>
                        </w:r>
                      </w:p>
                    </w:tc>
                    <w:tc>
                      <w:tcPr>
                        <w:tcW w:w="1263" w:type="dxa"/>
                        <w:tcBorders>
                          <w:top w:val="single" w:sz="4" w:space="0" w:color="7E7E7E"/>
                          <w:bottom w:val="single" w:sz="4" w:space="0" w:color="7E7E7E"/>
                        </w:tcBorders>
                      </w:tcPr>
                      <w:p>
                        <w:pPr>
                          <w:pStyle w:val="TableParagraph"/>
                          <w:spacing w:before="1"/>
                          <w:ind w:right="506"/>
                          <w:jc w:val="right"/>
                          <w:rPr>
                            <w:rFonts w:ascii="Calibri Light"/>
                            <w:b w:val="0"/>
                            <w:sz w:val="18"/>
                          </w:rPr>
                        </w:pPr>
                        <w:r>
                          <w:rPr>
                            <w:rFonts w:ascii="Calibri Light"/>
                            <w:b w:val="0"/>
                            <w:sz w:val="18"/>
                          </w:rPr>
                          <w:t>36</w:t>
                        </w:r>
                      </w:p>
                    </w:tc>
                    <w:tc>
                      <w:tcPr>
                        <w:tcW w:w="1110" w:type="dxa"/>
                        <w:tcBorders>
                          <w:top w:val="single" w:sz="4" w:space="0" w:color="7E7E7E"/>
                          <w:bottom w:val="single" w:sz="4" w:space="0" w:color="7E7E7E"/>
                        </w:tcBorders>
                      </w:tcPr>
                      <w:p>
                        <w:pPr>
                          <w:pStyle w:val="TableParagraph"/>
                          <w:spacing w:before="1"/>
                          <w:ind w:left="425" w:right="387"/>
                          <w:rPr>
                            <w:rFonts w:ascii="Calibri Light"/>
                            <w:b w:val="0"/>
                            <w:sz w:val="18"/>
                          </w:rPr>
                        </w:pPr>
                        <w:r>
                          <w:rPr>
                            <w:rFonts w:ascii="Calibri Light"/>
                            <w:b w:val="0"/>
                            <w:sz w:val="18"/>
                          </w:rPr>
                          <w:t>8,7</w:t>
                        </w:r>
                      </w:p>
                    </w:tc>
                    <w:tc>
                      <w:tcPr>
                        <w:tcW w:w="1023" w:type="dxa"/>
                        <w:tcBorders>
                          <w:top w:val="single" w:sz="4" w:space="0" w:color="7E7E7E"/>
                          <w:bottom w:val="single" w:sz="4" w:space="0" w:color="7E7E7E"/>
                        </w:tcBorders>
                      </w:tcPr>
                      <w:p>
                        <w:pPr>
                          <w:pStyle w:val="TableParagraph"/>
                          <w:spacing w:before="1"/>
                          <w:ind w:right="276"/>
                          <w:jc w:val="right"/>
                          <w:rPr>
                            <w:rFonts w:ascii="Calibri Light"/>
                            <w:b w:val="0"/>
                            <w:sz w:val="18"/>
                          </w:rPr>
                        </w:pPr>
                        <w:r>
                          <w:rPr>
                            <w:rFonts w:ascii="Calibri Light"/>
                            <w:b w:val="0"/>
                            <w:sz w:val="18"/>
                          </w:rPr>
                          <w:t>100,0</w:t>
                        </w:r>
                      </w:p>
                    </w:tc>
                  </w:tr>
                  <w:tr>
                    <w:trPr>
                      <w:trHeight w:val="402" w:hRule="atLeast"/>
                    </w:trPr>
                    <w:tc>
                      <w:tcPr>
                        <w:tcW w:w="1244" w:type="dxa"/>
                        <w:tcBorders>
                          <w:top w:val="single" w:sz="4" w:space="0" w:color="7E7E7E"/>
                        </w:tcBorders>
                      </w:tcPr>
                      <w:p>
                        <w:pPr>
                          <w:pStyle w:val="TableParagraph"/>
                          <w:spacing w:before="1"/>
                          <w:ind w:left="419" w:right="389"/>
                          <w:rPr>
                            <w:rFonts w:ascii="Calibri Light"/>
                            <w:b w:val="0"/>
                            <w:sz w:val="18"/>
                          </w:rPr>
                        </w:pPr>
                        <w:r>
                          <w:rPr>
                            <w:rFonts w:ascii="Calibri Light"/>
                            <w:b w:val="0"/>
                            <w:sz w:val="18"/>
                          </w:rPr>
                          <w:t>Total</w:t>
                        </w:r>
                      </w:p>
                    </w:tc>
                    <w:tc>
                      <w:tcPr>
                        <w:tcW w:w="1263" w:type="dxa"/>
                        <w:tcBorders>
                          <w:top w:val="single" w:sz="4" w:space="0" w:color="7E7E7E"/>
                        </w:tcBorders>
                      </w:tcPr>
                      <w:p>
                        <w:pPr>
                          <w:pStyle w:val="TableParagraph"/>
                          <w:spacing w:before="1"/>
                          <w:ind w:right="458"/>
                          <w:jc w:val="right"/>
                          <w:rPr>
                            <w:rFonts w:ascii="Calibri Light"/>
                            <w:b w:val="0"/>
                            <w:sz w:val="18"/>
                          </w:rPr>
                        </w:pPr>
                        <w:r>
                          <w:rPr>
                            <w:rFonts w:ascii="Calibri Light"/>
                            <w:b w:val="0"/>
                            <w:sz w:val="18"/>
                          </w:rPr>
                          <w:t>412</w:t>
                        </w:r>
                      </w:p>
                    </w:tc>
                    <w:tc>
                      <w:tcPr>
                        <w:tcW w:w="1110" w:type="dxa"/>
                        <w:tcBorders>
                          <w:top w:val="single" w:sz="4" w:space="0" w:color="7E7E7E"/>
                        </w:tcBorders>
                      </w:tcPr>
                      <w:p>
                        <w:pPr>
                          <w:pStyle w:val="TableParagraph"/>
                          <w:spacing w:before="1"/>
                          <w:ind w:right="314"/>
                          <w:jc w:val="right"/>
                          <w:rPr>
                            <w:rFonts w:ascii="Calibri Light"/>
                            <w:b w:val="0"/>
                            <w:sz w:val="18"/>
                          </w:rPr>
                        </w:pPr>
                        <w:r>
                          <w:rPr>
                            <w:rFonts w:ascii="Calibri Light"/>
                            <w:b w:val="0"/>
                            <w:sz w:val="18"/>
                          </w:rPr>
                          <w:t>100,0</w:t>
                        </w:r>
                      </w:p>
                    </w:tc>
                    <w:tc>
                      <w:tcPr>
                        <w:tcW w:w="1023" w:type="dxa"/>
                        <w:tcBorders>
                          <w:top w:val="single" w:sz="4" w:space="0" w:color="7E7E7E"/>
                        </w:tcBorders>
                      </w:tcPr>
                      <w:p>
                        <w:pPr>
                          <w:pStyle w:val="TableParagraph"/>
                          <w:jc w:val="left"/>
                          <w:rPr>
                            <w:sz w:val="22"/>
                          </w:rPr>
                        </w:pPr>
                      </w:p>
                    </w:tc>
                  </w:tr>
                </w:tbl>
                <w:p>
                  <w:pPr>
                    <w:pStyle w:val="BodyText"/>
                  </w:pPr>
                </w:p>
              </w:txbxContent>
            </v:textbox>
            <w10:wrap type="topAndBottom"/>
          </v:shape>
        </w:pict>
      </w:r>
      <w:r>
        <w:rPr/>
        <w:pict>
          <v:group style="position:absolute;margin-left:329.024994pt;margin-top:8.744493pt;width:223.15pt;height:90.55pt;mso-position-horizontal-relative:page;mso-position-vertical-relative:paragraph;z-index:-251597824;mso-wrap-distance-left:0;mso-wrap-distance-right:0" coordorigin="6580,175" coordsize="4463,1811">
            <v:shape style="position:absolute;left:8049;top:453;width:2033;height:1199" type="#_x0000_t75" stroked="false">
              <v:imagedata r:id="rId88" o:title=""/>
            </v:shape>
            <v:shape style="position:absolute;left:6588;top:182;width:4448;height:1796" type="#_x0000_t202" filled="false" stroked="true" strokeweight=".75pt" strokecolor="#d9d9d9">
              <v:textbox inset="0,0,0,0">
                <w:txbxContent>
                  <w:p>
                    <w:pPr>
                      <w:spacing w:before="70"/>
                      <w:ind w:left="1178" w:right="0" w:firstLine="0"/>
                      <w:jc w:val="left"/>
                      <w:rPr>
                        <w:rFonts w:ascii="Calibri"/>
                        <w:b/>
                        <w:sz w:val="20"/>
                      </w:rPr>
                    </w:pPr>
                    <w:r>
                      <w:rPr>
                        <w:rFonts w:ascii="Calibri"/>
                        <w:b/>
                        <w:sz w:val="20"/>
                      </w:rPr>
                      <w:t>Non, 36 </w:t>
                    </w:r>
                    <w:r>
                      <w:rPr>
                        <w:rFonts w:ascii="Calibri"/>
                        <w:b/>
                        <w:w w:val="100"/>
                        <w:sz w:val="20"/>
                        <w:u w:val="single" w:color="A6A6A6"/>
                      </w:rPr>
                      <w:t> </w:t>
                    </w:r>
                    <w:r>
                      <w:rPr>
                        <w:rFonts w:ascii="Calibri"/>
                        <w:b/>
                        <w:sz w:val="20"/>
                        <w:u w:val="single" w:color="A6A6A6"/>
                      </w:rPr>
                      <w:t> </w:t>
                    </w:r>
                  </w:p>
                  <w:p>
                    <w:pPr>
                      <w:spacing w:line="240" w:lineRule="auto" w:before="0"/>
                      <w:rPr>
                        <w:rFonts w:ascii="Calibri"/>
                        <w:b/>
                        <w:sz w:val="20"/>
                      </w:rPr>
                    </w:pPr>
                  </w:p>
                  <w:p>
                    <w:pPr>
                      <w:spacing w:line="240" w:lineRule="auto" w:before="4"/>
                      <w:rPr>
                        <w:rFonts w:ascii="Calibri"/>
                        <w:b/>
                        <w:sz w:val="15"/>
                      </w:rPr>
                    </w:pPr>
                  </w:p>
                  <w:p>
                    <w:pPr>
                      <w:spacing w:before="0"/>
                      <w:ind w:left="2498" w:right="0" w:firstLine="0"/>
                      <w:jc w:val="left"/>
                      <w:rPr>
                        <w:rFonts w:ascii="Calibri"/>
                        <w:b/>
                        <w:sz w:val="20"/>
                      </w:rPr>
                    </w:pPr>
                    <w:r>
                      <w:rPr>
                        <w:rFonts w:ascii="Calibri"/>
                        <w:b/>
                        <w:sz w:val="20"/>
                      </w:rPr>
                      <w:t>Oui, 376</w:t>
                    </w:r>
                  </w:p>
                  <w:p>
                    <w:pPr>
                      <w:spacing w:line="240" w:lineRule="auto" w:before="0"/>
                      <w:rPr>
                        <w:rFonts w:ascii="Calibri"/>
                        <w:b/>
                        <w:sz w:val="20"/>
                      </w:rPr>
                    </w:pPr>
                  </w:p>
                  <w:p>
                    <w:pPr>
                      <w:spacing w:line="240" w:lineRule="auto" w:before="5"/>
                      <w:rPr>
                        <w:rFonts w:ascii="Calibri"/>
                        <w:b/>
                        <w:sz w:val="23"/>
                      </w:rPr>
                    </w:pPr>
                  </w:p>
                  <w:p>
                    <w:pPr>
                      <w:tabs>
                        <w:tab w:pos="788" w:val="left" w:leader="none"/>
                      </w:tabs>
                      <w:spacing w:before="0"/>
                      <w:ind w:left="251" w:right="0" w:firstLine="0"/>
                      <w:jc w:val="center"/>
                      <w:rPr>
                        <w:rFonts w:ascii="Calibri"/>
                        <w:sz w:val="18"/>
                      </w:rPr>
                    </w:pPr>
                    <w:r>
                      <w:rPr>
                        <w:rFonts w:ascii="Calibri"/>
                        <w:color w:val="585858"/>
                        <w:sz w:val="18"/>
                      </w:rPr>
                      <w:t>Oui</w:t>
                      <w:tab/>
                      <w:t>Non</w:t>
                    </w:r>
                  </w:p>
                </w:txbxContent>
              </v:textbox>
              <v:stroke dashstyle="solid"/>
              <w10:wrap type="none"/>
            </v:shape>
            <w10:wrap type="topAndBottom"/>
          </v:group>
        </w:pict>
      </w:r>
    </w:p>
    <w:p>
      <w:pPr>
        <w:pStyle w:val="BodyText"/>
        <w:spacing w:before="8"/>
        <w:rPr>
          <w:sz w:val="11"/>
        </w:rPr>
      </w:pPr>
    </w:p>
    <w:p>
      <w:pPr>
        <w:pStyle w:val="BodyText"/>
        <w:spacing w:before="90"/>
        <w:ind w:left="825" w:right="445"/>
        <w:jc w:val="center"/>
      </w:pPr>
      <w:r>
        <w:rPr/>
        <w:pict>
          <v:rect style="position:absolute;margin-left:418.549988pt;margin-top:-18.640177pt;width:4.9433pt;height:4.9433pt;mso-position-horizontal-relative:page;mso-position-vertical-relative:paragraph;z-index:-258934784" filled="true" fillcolor="#00afef" stroked="false">
            <v:fill type="solid"/>
            <w10:wrap type="none"/>
          </v:rect>
        </w:pict>
      </w:r>
      <w:r>
        <w:rPr/>
        <w:pict>
          <v:rect style="position:absolute;margin-left:445.420013pt;margin-top:-18.640177pt;width:4.9433pt;height:4.9433pt;mso-position-horizontal-relative:page;mso-position-vertical-relative:paragraph;z-index:-258933760" filled="true" fillcolor="#c00000" stroked="false">
            <v:fill type="solid"/>
            <w10:wrap type="none"/>
          </v:rect>
        </w:pict>
      </w:r>
      <w:r>
        <w:rPr>
          <w:b/>
        </w:rPr>
        <w:t>Source : </w:t>
      </w:r>
      <w:r>
        <w:rPr/>
        <w:t>élaboré par nous-même sur la base des outputs SPSS</w:t>
      </w:r>
    </w:p>
    <w:p>
      <w:pPr>
        <w:pStyle w:val="BodyText"/>
        <w:spacing w:line="362" w:lineRule="auto" w:before="219"/>
        <w:ind w:left="699" w:right="320" w:firstLine="360"/>
        <w:jc w:val="both"/>
      </w:pPr>
      <w:r>
        <w:rPr/>
        <w:t>D'après</w:t>
      </w:r>
      <w:r>
        <w:rPr>
          <w:spacing w:val="-4"/>
        </w:rPr>
        <w:t> </w:t>
      </w:r>
      <w:r>
        <w:rPr>
          <w:spacing w:val="-3"/>
        </w:rPr>
        <w:t>les</w:t>
      </w:r>
      <w:r>
        <w:rPr>
          <w:spacing w:val="-8"/>
        </w:rPr>
        <w:t> </w:t>
      </w:r>
      <w:r>
        <w:rPr/>
        <w:t>résultats</w:t>
      </w:r>
      <w:r>
        <w:rPr>
          <w:spacing w:val="-8"/>
        </w:rPr>
        <w:t> </w:t>
      </w:r>
      <w:r>
        <w:rPr/>
        <w:t>obtenus,</w:t>
      </w:r>
      <w:r>
        <w:rPr>
          <w:spacing w:val="-4"/>
        </w:rPr>
        <w:t> </w:t>
      </w:r>
      <w:r>
        <w:rPr/>
        <w:t>91,3</w:t>
      </w:r>
      <w:r>
        <w:rPr>
          <w:spacing w:val="-6"/>
        </w:rPr>
        <w:t> </w:t>
      </w:r>
      <w:r>
        <w:rPr/>
        <w:t>%</w:t>
      </w:r>
      <w:r>
        <w:rPr>
          <w:spacing w:val="-5"/>
        </w:rPr>
        <w:t> </w:t>
      </w:r>
      <w:r>
        <w:rPr/>
        <w:t>des</w:t>
      </w:r>
      <w:r>
        <w:rPr>
          <w:spacing w:val="-8"/>
        </w:rPr>
        <w:t> </w:t>
      </w:r>
      <w:r>
        <w:rPr/>
        <w:t>répondants</w:t>
      </w:r>
      <w:r>
        <w:rPr>
          <w:spacing w:val="-8"/>
        </w:rPr>
        <w:t> </w:t>
      </w:r>
      <w:r>
        <w:rPr/>
        <w:t>déclarent</w:t>
      </w:r>
      <w:r>
        <w:rPr>
          <w:spacing w:val="-2"/>
        </w:rPr>
        <w:t> </w:t>
      </w:r>
      <w:r>
        <w:rPr/>
        <w:t>utiliser l'application</w:t>
      </w:r>
      <w:r>
        <w:rPr>
          <w:spacing w:val="-11"/>
        </w:rPr>
        <w:t> </w:t>
      </w:r>
      <w:r>
        <w:rPr/>
        <w:t>BaridiMob, contre seulement 8,7 % qui </w:t>
      </w:r>
      <w:r>
        <w:rPr>
          <w:spacing w:val="-3"/>
        </w:rPr>
        <w:t>ne </w:t>
      </w:r>
      <w:r>
        <w:rPr/>
        <w:t>l'utilisent pas. </w:t>
      </w:r>
      <w:r>
        <w:rPr>
          <w:spacing w:val="-4"/>
        </w:rPr>
        <w:t>Cela </w:t>
      </w:r>
      <w:r>
        <w:rPr/>
        <w:t>montre que l'application est très utilisée par </w:t>
      </w:r>
      <w:r>
        <w:rPr>
          <w:spacing w:val="-3"/>
        </w:rPr>
        <w:t>les </w:t>
      </w:r>
      <w:r>
        <w:rPr/>
        <w:t>personnes</w:t>
      </w:r>
      <w:r>
        <w:rPr>
          <w:spacing w:val="3"/>
        </w:rPr>
        <w:t> </w:t>
      </w:r>
      <w:r>
        <w:rPr/>
        <w:t>interrogées.</w:t>
      </w:r>
    </w:p>
    <w:p>
      <w:pPr>
        <w:pStyle w:val="Heading5"/>
        <w:spacing w:before="156"/>
        <w:ind w:firstLine="0"/>
      </w:pPr>
      <w:r>
        <w:rPr/>
        <w:t>Q6_ Si oui, sur quelle fréquence utilisez-vous l’application BaridiMob ?</w:t>
      </w:r>
    </w:p>
    <w:p>
      <w:pPr>
        <w:pStyle w:val="BodyText"/>
        <w:spacing w:before="84"/>
        <w:ind w:left="776"/>
        <w:jc w:val="both"/>
      </w:pPr>
      <w:bookmarkStart w:name="_bookmark28" w:id="221"/>
      <w:bookmarkEnd w:id="221"/>
      <w:r>
        <w:rPr/>
      </w:r>
      <w:r>
        <w:rPr>
          <w:b/>
          <w:color w:val="44536A"/>
        </w:rPr>
        <w:t>Tableau </w:t>
      </w:r>
      <w:r>
        <w:rPr>
          <w:color w:val="44536A"/>
        </w:rPr>
        <w:t>7 : Fréquence d’utilisation BaridiMob</w:t>
      </w:r>
      <w:bookmarkStart w:name="_bookmark27" w:id="222"/>
      <w:bookmarkEnd w:id="222"/>
      <w:r>
        <w:rPr>
          <w:color w:val="44536A"/>
        </w:rPr>
      </w:r>
      <w:r>
        <w:rPr>
          <w:color w:val="44536A"/>
        </w:rPr>
        <w:t> </w:t>
      </w:r>
      <w:r>
        <w:rPr>
          <w:b/>
          <w:color w:val="44536A"/>
        </w:rPr>
        <w:t>Figure 8 </w:t>
      </w:r>
      <w:r>
        <w:rPr>
          <w:color w:val="44536A"/>
        </w:rPr>
        <w:t>: Fréquence d’utilisation BaridiMob</w:t>
      </w:r>
    </w:p>
    <w:p>
      <w:pPr>
        <w:pStyle w:val="BodyText"/>
        <w:spacing w:before="6"/>
        <w:rPr>
          <w:sz w:val="9"/>
        </w:rPr>
      </w:pPr>
      <w:r>
        <w:rPr/>
        <w:drawing>
          <wp:anchor distT="0" distB="0" distL="0" distR="0" allowOverlap="1" layoutInCell="1" locked="0" behindDoc="0" simplePos="0" relativeHeight="60">
            <wp:simplePos x="0" y="0"/>
            <wp:positionH relativeFrom="page">
              <wp:posOffset>1087586</wp:posOffset>
            </wp:positionH>
            <wp:positionV relativeFrom="paragraph">
              <wp:posOffset>103263</wp:posOffset>
            </wp:positionV>
            <wp:extent cx="3108253" cy="1735074"/>
            <wp:effectExtent l="0" t="0" r="0" b="0"/>
            <wp:wrapTopAndBottom/>
            <wp:docPr id="17" name="image35.jpeg"/>
            <wp:cNvGraphicFramePr>
              <a:graphicFrameLocks noChangeAspect="1"/>
            </wp:cNvGraphicFramePr>
            <a:graphic>
              <a:graphicData uri="http://schemas.openxmlformats.org/drawingml/2006/picture">
                <pic:pic>
                  <pic:nvPicPr>
                    <pic:cNvPr id="18" name="image35.jpeg"/>
                    <pic:cNvPicPr/>
                  </pic:nvPicPr>
                  <pic:blipFill>
                    <a:blip r:embed="rId89" cstate="print"/>
                    <a:stretch>
                      <a:fillRect/>
                    </a:stretch>
                  </pic:blipFill>
                  <pic:spPr>
                    <a:xfrm>
                      <a:off x="0" y="0"/>
                      <a:ext cx="3108253" cy="1735074"/>
                    </a:xfrm>
                    <a:prstGeom prst="rect">
                      <a:avLst/>
                    </a:prstGeom>
                  </pic:spPr>
                </pic:pic>
              </a:graphicData>
            </a:graphic>
          </wp:anchor>
        </w:drawing>
      </w:r>
      <w:r>
        <w:rPr/>
        <w:pict>
          <v:group style="position:absolute;margin-left:335.625pt;margin-top:7.485361pt;width:218.05pt;height:140.35pt;mso-position-horizontal-relative:page;mso-position-vertical-relative:paragraph;z-index:-251588608;mso-wrap-distance-left:0;mso-wrap-distance-right:0" coordorigin="6713,150" coordsize="4361,2807">
            <v:line style="position:absolute" from="9917,255" to="9917,1631" stroked="true" strokeweight=".75pt" strokecolor="#d9d9d9">
              <v:stroke dashstyle="solid"/>
            </v:line>
            <v:line style="position:absolute" from="9917,1713" to="9917,1938" stroked="true" strokeweight=".75pt" strokecolor="#d9d9d9">
              <v:stroke dashstyle="solid"/>
            </v:line>
            <v:line style="position:absolute" from="9917,2020" to="9917,2091" stroked="true" strokeweight=".75pt" strokecolor="#d9d9d9">
              <v:stroke dashstyle="solid"/>
            </v:line>
            <v:line style="position:absolute" from="9091,1979" to="10238,1979" stroked="true" strokeweight="4.08pt" strokecolor="#5b9bd4">
              <v:stroke dashstyle="solid"/>
            </v:line>
            <v:line style="position:absolute" from="9091,1672" to="10042,1672" stroked="true" strokeweight="4.08pt" strokecolor="#5b9bd4">
              <v:stroke dashstyle="solid"/>
            </v:line>
            <v:line style="position:absolute" from="9091,1365" to="9322,1365" stroked="true" strokeweight="4.08pt" strokecolor="#5b9bd4">
              <v:stroke dashstyle="solid"/>
            </v:line>
            <v:line style="position:absolute" from="9091,1060" to="9686,1060" stroked="true" strokeweight="3.84pt" strokecolor="#5b9bd4">
              <v:stroke dashstyle="solid"/>
            </v:line>
            <v:rect style="position:absolute;left:9091;top:714;width:58;height:82" filled="true" fillcolor="#5b9bd4" stroked="false">
              <v:fill type="solid"/>
            </v:rect>
            <v:rect style="position:absolute;left:9091;top:407;width:125;height:82" filled="true" fillcolor="#5b9bd4" stroked="false">
              <v:fill type="solid"/>
            </v:rect>
            <v:line style="position:absolute" from="9091,1898" to="9370,1898" stroked="true" strokeweight="4.08pt" strokecolor="#ec7c30">
              <v:stroke dashstyle="solid"/>
            </v:line>
            <v:line style="position:absolute" from="9091,1593" to="9322,1593" stroked="true" strokeweight="3.84pt" strokecolor="#ec7c30">
              <v:stroke dashstyle="solid"/>
            </v:line>
            <v:rect style="position:absolute;left:9091;top:1247;width:58;height:77" filled="true" fillcolor="#ec7c30" stroked="false">
              <v:fill type="solid"/>
            </v:rect>
            <v:line style="position:absolute" from="9091,981" to="9235,981" stroked="true" strokeweight="4.08pt" strokecolor="#ec7c30">
              <v:stroke dashstyle="solid"/>
            </v:line>
            <v:rect style="position:absolute;left:9091;top:632;width:15;height:82" filled="true" fillcolor="#ec7c30" stroked="false">
              <v:fill type="solid"/>
            </v:rect>
            <v:rect style="position:absolute;left:9091;top:325;width:29;height:82" filled="true" fillcolor="#ec7c30" stroked="false">
              <v:fill type="solid"/>
            </v:rect>
            <v:line style="position:absolute" from="9091,2091" to="9091,255" stroked="true" strokeweight=".75pt" strokecolor="#d9d9d9">
              <v:stroke dashstyle="solid"/>
            </v:line>
            <v:line style="position:absolute" from="10742,255" to="10742,2091" stroked="true" strokeweight=".75pt" strokecolor="#d9d9d9">
              <v:stroke dashstyle="solid"/>
            </v:line>
            <v:rect style="position:absolute;left:8036;top:2610;width:99;height:99" filled="true" fillcolor="#ec7c30" stroked="false">
              <v:fill type="solid"/>
            </v:rect>
            <v:rect style="position:absolute;left:8915;top:2610;width:99;height:99" filled="true" fillcolor="#5b9bd4" stroked="false">
              <v:fill type="solid"/>
            </v:rect>
            <v:rect style="position:absolute;left:6720;top:157;width:4346;height:2792" filled="false" stroked="true" strokeweight=".75pt" strokecolor="#d9d9d9">
              <v:stroke dashstyle="solid"/>
            </v:rect>
            <v:shape style="position:absolute;left:8179;top:2579;width:1669;height:183" type="#_x0000_t202" filled="false" stroked="false">
              <v:textbox inset="0,0,0,0">
                <w:txbxContent>
                  <w:p>
                    <w:pPr>
                      <w:tabs>
                        <w:tab w:pos="879" w:val="left" w:leader="none"/>
                      </w:tabs>
                      <w:spacing w:line="182" w:lineRule="exact" w:before="0"/>
                      <w:ind w:left="0" w:right="0" w:firstLine="0"/>
                      <w:jc w:val="left"/>
                      <w:rPr>
                        <w:rFonts w:ascii="Calibri"/>
                        <w:sz w:val="18"/>
                      </w:rPr>
                    </w:pPr>
                    <w:r>
                      <w:rPr>
                        <w:rFonts w:ascii="Calibri"/>
                        <w:color w:val="585858"/>
                        <w:sz w:val="18"/>
                      </w:rPr>
                      <w:t>Percent</w:t>
                      <w:tab/>
                      <w:t>Frequency</w:t>
                    </w:r>
                  </w:p>
                </w:txbxContent>
              </v:textbox>
              <w10:wrap type="none"/>
            </v:shape>
            <v:shape style="position:absolute;left:9783;top:1601;width:1120;height:826" type="#_x0000_t202" filled="false" stroked="false">
              <v:textbox inset="0,0,0,0">
                <w:txbxContent>
                  <w:p>
                    <w:pPr>
                      <w:spacing w:line="185" w:lineRule="exact" w:before="0"/>
                      <w:ind w:left="164" w:right="250" w:firstLine="0"/>
                      <w:jc w:val="center"/>
                      <w:rPr>
                        <w:rFonts w:ascii="Calibri"/>
                        <w:sz w:val="18"/>
                      </w:rPr>
                    </w:pPr>
                    <w:r>
                      <w:rPr>
                        <w:rFonts w:ascii="Calibri"/>
                        <w:color w:val="404040"/>
                        <w:sz w:val="18"/>
                      </w:rPr>
                      <w:t>115</w:t>
                    </w:r>
                  </w:p>
                  <w:p>
                    <w:pPr>
                      <w:spacing w:before="86"/>
                      <w:ind w:left="360" w:right="54" w:firstLine="0"/>
                      <w:jc w:val="center"/>
                      <w:rPr>
                        <w:rFonts w:ascii="Calibri"/>
                        <w:sz w:val="18"/>
                      </w:rPr>
                    </w:pPr>
                    <w:r>
                      <w:rPr>
                        <w:rFonts w:ascii="Calibri"/>
                        <w:color w:val="404040"/>
                        <w:sz w:val="18"/>
                      </w:rPr>
                      <w:t>139</w:t>
                    </w:r>
                  </w:p>
                  <w:p>
                    <w:pPr>
                      <w:tabs>
                        <w:tab w:pos="825" w:val="left" w:leader="none"/>
                      </w:tabs>
                      <w:spacing w:line="217" w:lineRule="exact" w:before="117"/>
                      <w:ind w:left="0" w:right="18" w:firstLine="0"/>
                      <w:jc w:val="center"/>
                      <w:rPr>
                        <w:rFonts w:ascii="Calibri"/>
                        <w:sz w:val="18"/>
                      </w:rPr>
                    </w:pPr>
                    <w:r>
                      <w:rPr>
                        <w:rFonts w:ascii="Calibri"/>
                        <w:color w:val="585858"/>
                        <w:sz w:val="18"/>
                      </w:rPr>
                      <w:t>100</w:t>
                      <w:tab/>
                    </w:r>
                    <w:r>
                      <w:rPr>
                        <w:rFonts w:ascii="Calibri"/>
                        <w:color w:val="585858"/>
                        <w:spacing w:val="-8"/>
                        <w:sz w:val="18"/>
                      </w:rPr>
                      <w:t>200</w:t>
                    </w:r>
                  </w:p>
                </w:txbxContent>
              </v:textbox>
              <w10:wrap type="none"/>
            </v:shape>
            <v:shape style="position:absolute;left:9049;top:2244;width:113;height:183" type="#_x0000_t202" filled="false" stroked="false">
              <v:textbox inset="0,0,0,0">
                <w:txbxContent>
                  <w:p>
                    <w:pPr>
                      <w:spacing w:line="182" w:lineRule="exact" w:before="0"/>
                      <w:ind w:left="0" w:right="0" w:firstLine="0"/>
                      <w:jc w:val="left"/>
                      <w:rPr>
                        <w:rFonts w:ascii="Calibri"/>
                        <w:sz w:val="18"/>
                      </w:rPr>
                    </w:pPr>
                    <w:r>
                      <w:rPr>
                        <w:rFonts w:ascii="Calibri"/>
                        <w:color w:val="585858"/>
                        <w:w w:val="101"/>
                        <w:sz w:val="18"/>
                      </w:rPr>
                      <w:t>0</w:t>
                    </w:r>
                  </w:p>
                </w:txbxContent>
              </v:textbox>
              <w10:wrap type="none"/>
            </v:shape>
            <v:shape style="position:absolute;left:9269;top:726;width:743;height:1283" type="#_x0000_t202" filled="false" stroked="false">
              <v:textbox inset="0,0,0,0">
                <w:txbxContent>
                  <w:p>
                    <w:pPr>
                      <w:spacing w:line="166" w:lineRule="exact" w:before="0"/>
                      <w:ind w:left="0" w:right="0" w:firstLine="0"/>
                      <w:jc w:val="left"/>
                      <w:rPr>
                        <w:rFonts w:ascii="Calibri"/>
                        <w:sz w:val="18"/>
                      </w:rPr>
                    </w:pPr>
                    <w:r>
                      <w:rPr>
                        <w:rFonts w:ascii="Calibri"/>
                        <w:color w:val="404040"/>
                        <w:w w:val="101"/>
                        <w:sz w:val="18"/>
                      </w:rPr>
                      <w:t>7</w:t>
                    </w:r>
                  </w:p>
                  <w:p>
                    <w:pPr>
                      <w:spacing w:line="213" w:lineRule="auto" w:before="0"/>
                      <w:ind w:left="86" w:right="0" w:firstLine="0"/>
                      <w:jc w:val="left"/>
                      <w:rPr>
                        <w:rFonts w:ascii="Calibri"/>
                        <w:sz w:val="18"/>
                      </w:rPr>
                    </w:pPr>
                    <w:r>
                      <w:rPr>
                        <w:rFonts w:ascii="Calibri"/>
                        <w:color w:val="404040"/>
                        <w:sz w:val="18"/>
                      </w:rPr>
                      <w:t>17.5 </w:t>
                    </w:r>
                    <w:r>
                      <w:rPr>
                        <w:rFonts w:ascii="Calibri"/>
                        <w:color w:val="404040"/>
                        <w:position w:val="-7"/>
                        <w:sz w:val="18"/>
                      </w:rPr>
                      <w:t>72</w:t>
                    </w:r>
                  </w:p>
                  <w:p>
                    <w:pPr>
                      <w:spacing w:before="11"/>
                      <w:ind w:left="0" w:right="0" w:firstLine="0"/>
                      <w:jc w:val="left"/>
                      <w:rPr>
                        <w:rFonts w:ascii="Calibri"/>
                        <w:sz w:val="18"/>
                      </w:rPr>
                    </w:pPr>
                    <w:r>
                      <w:rPr>
                        <w:rFonts w:ascii="Calibri"/>
                        <w:color w:val="404040"/>
                        <w:sz w:val="18"/>
                      </w:rPr>
                      <w:t>6.8</w:t>
                    </w:r>
                    <w:r>
                      <w:rPr>
                        <w:rFonts w:ascii="Calibri"/>
                        <w:color w:val="404040"/>
                        <w:position w:val="-7"/>
                        <w:sz w:val="18"/>
                      </w:rPr>
                      <w:t>28</w:t>
                    </w:r>
                  </w:p>
                  <w:p>
                    <w:pPr>
                      <w:spacing w:before="7"/>
                      <w:ind w:left="172" w:right="0" w:firstLine="0"/>
                      <w:jc w:val="left"/>
                      <w:rPr>
                        <w:rFonts w:ascii="Calibri"/>
                        <w:sz w:val="18"/>
                      </w:rPr>
                    </w:pPr>
                    <w:r>
                      <w:rPr>
                        <w:rFonts w:ascii="Calibri"/>
                        <w:color w:val="404040"/>
                        <w:sz w:val="18"/>
                      </w:rPr>
                      <w:t>27.9</w:t>
                    </w:r>
                  </w:p>
                  <w:p>
                    <w:pPr>
                      <w:spacing w:line="217" w:lineRule="exact" w:before="86"/>
                      <w:ind w:left="220" w:right="0" w:firstLine="0"/>
                      <w:jc w:val="left"/>
                      <w:rPr>
                        <w:rFonts w:ascii="Calibri"/>
                        <w:sz w:val="18"/>
                      </w:rPr>
                    </w:pPr>
                    <w:r>
                      <w:rPr>
                        <w:rFonts w:ascii="Calibri"/>
                        <w:color w:val="404040"/>
                        <w:sz w:val="18"/>
                      </w:rPr>
                      <w:t>33.7</w:t>
                    </w:r>
                  </w:p>
                </w:txbxContent>
              </v:textbox>
              <w10:wrap type="none"/>
            </v:shape>
            <v:shape style="position:absolute;left:9227;top:602;width:252;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1.7</w:t>
                    </w:r>
                  </w:p>
                </w:txbxContent>
              </v:textbox>
              <w10:wrap type="none"/>
            </v:shape>
            <v:shape style="position:absolute;left:9243;top:236;width:298;height:322" type="#_x0000_t202" filled="false" stroked="false">
              <v:textbox inset="0,0,0,0">
                <w:txbxContent>
                  <w:p>
                    <w:pPr>
                      <w:spacing w:line="145" w:lineRule="exact" w:before="0"/>
                      <w:ind w:left="0" w:right="0" w:firstLine="0"/>
                      <w:jc w:val="left"/>
                      <w:rPr>
                        <w:rFonts w:ascii="Calibri"/>
                        <w:sz w:val="18"/>
                      </w:rPr>
                    </w:pPr>
                    <w:r>
                      <w:rPr>
                        <w:rFonts w:ascii="Calibri"/>
                        <w:color w:val="404040"/>
                        <w:sz w:val="18"/>
                      </w:rPr>
                      <w:t>3.6</w:t>
                    </w:r>
                  </w:p>
                  <w:p>
                    <w:pPr>
                      <w:spacing w:line="177" w:lineRule="exact" w:before="0"/>
                      <w:ind w:left="95" w:right="0" w:firstLine="0"/>
                      <w:jc w:val="left"/>
                      <w:rPr>
                        <w:rFonts w:ascii="Calibri"/>
                        <w:sz w:val="18"/>
                      </w:rPr>
                    </w:pPr>
                    <w:r>
                      <w:rPr>
                        <w:rFonts w:ascii="Calibri"/>
                        <w:color w:val="404040"/>
                        <w:sz w:val="18"/>
                      </w:rPr>
                      <w:t>15</w:t>
                    </w:r>
                  </w:p>
                </w:txbxContent>
              </v:textbox>
              <w10:wrap type="none"/>
            </v:shape>
            <v:shape style="position:absolute;left:7289;top:326;width:1781;height:1713" type="#_x0000_t202" filled="false" stroked="false">
              <v:textbox inset="0,0,0,0">
                <w:txbxContent>
                  <w:p>
                    <w:pPr>
                      <w:spacing w:line="185" w:lineRule="exact" w:before="0"/>
                      <w:ind w:left="0" w:right="142" w:firstLine="0"/>
                      <w:jc w:val="right"/>
                      <w:rPr>
                        <w:rFonts w:ascii="Calibri"/>
                        <w:sz w:val="18"/>
                      </w:rPr>
                    </w:pPr>
                    <w:r>
                      <w:rPr>
                        <w:rFonts w:ascii="Calibri"/>
                        <w:color w:val="585858"/>
                        <w:spacing w:val="-2"/>
                        <w:sz w:val="18"/>
                      </w:rPr>
                      <w:t>trimestriel</w:t>
                    </w:r>
                  </w:p>
                  <w:p>
                    <w:pPr>
                      <w:spacing w:line="333" w:lineRule="auto" w:before="86"/>
                      <w:ind w:left="333" w:right="141" w:hanging="232"/>
                      <w:jc w:val="right"/>
                      <w:rPr>
                        <w:rFonts w:ascii="Calibri" w:hAnsi="Calibri"/>
                        <w:sz w:val="18"/>
                      </w:rPr>
                    </w:pPr>
                    <w:r>
                      <w:rPr>
                        <w:rFonts w:ascii="Calibri" w:hAnsi="Calibri"/>
                        <w:color w:val="585858"/>
                        <w:sz w:val="18"/>
                      </w:rPr>
                      <w:t>Ça dépend</w:t>
                    </w:r>
                    <w:r>
                      <w:rPr>
                        <w:rFonts w:ascii="Calibri" w:hAnsi="Calibri"/>
                        <w:color w:val="585858"/>
                        <w:spacing w:val="-9"/>
                        <w:sz w:val="18"/>
                      </w:rPr>
                      <w:t> </w:t>
                    </w:r>
                    <w:r>
                      <w:rPr>
                        <w:rFonts w:ascii="Calibri" w:hAnsi="Calibri"/>
                        <w:color w:val="585858"/>
                        <w:sz w:val="18"/>
                      </w:rPr>
                      <w:t>du</w:t>
                    </w:r>
                    <w:r>
                      <w:rPr>
                        <w:rFonts w:ascii="Calibri" w:hAnsi="Calibri"/>
                        <w:color w:val="585858"/>
                        <w:spacing w:val="-3"/>
                        <w:sz w:val="18"/>
                      </w:rPr>
                      <w:t> </w:t>
                    </w:r>
                    <w:r>
                      <w:rPr>
                        <w:rFonts w:ascii="Calibri" w:hAnsi="Calibri"/>
                        <w:color w:val="585858"/>
                        <w:sz w:val="18"/>
                      </w:rPr>
                      <w:t>besoin</w:t>
                    </w:r>
                    <w:r>
                      <w:rPr>
                        <w:rFonts w:ascii="Calibri" w:hAnsi="Calibri"/>
                        <w:color w:val="585858"/>
                        <w:w w:val="101"/>
                        <w:sz w:val="18"/>
                      </w:rPr>
                      <w:t> </w:t>
                    </w:r>
                    <w:r>
                      <w:rPr>
                        <w:rFonts w:ascii="Calibri" w:hAnsi="Calibri"/>
                        <w:color w:val="585858"/>
                        <w:spacing w:val="-2"/>
                        <w:sz w:val="18"/>
                      </w:rPr>
                      <w:t>Quotidiennement</w:t>
                    </w:r>
                  </w:p>
                  <w:p>
                    <w:pPr>
                      <w:spacing w:line="333" w:lineRule="auto" w:before="1"/>
                      <w:ind w:left="0" w:right="-1" w:firstLine="913"/>
                      <w:jc w:val="left"/>
                      <w:rPr>
                        <w:rFonts w:ascii="Calibri" w:hAnsi="Calibri"/>
                        <w:sz w:val="18"/>
                      </w:rPr>
                    </w:pPr>
                    <w:r>
                      <w:rPr>
                        <w:rFonts w:ascii="Calibri" w:hAnsi="Calibri"/>
                        <w:color w:val="585858"/>
                        <w:sz w:val="18"/>
                      </w:rPr>
                      <w:t>Rarement Une fois par semaine (…</w:t>
                    </w:r>
                  </w:p>
                  <w:p>
                    <w:pPr>
                      <w:spacing w:line="217" w:lineRule="exact" w:before="2"/>
                      <w:ind w:left="484" w:right="0" w:firstLine="0"/>
                      <w:jc w:val="left"/>
                      <w:rPr>
                        <w:rFonts w:ascii="Calibri"/>
                        <w:sz w:val="18"/>
                      </w:rPr>
                    </w:pPr>
                    <w:r>
                      <w:rPr>
                        <w:rFonts w:ascii="Calibri"/>
                        <w:color w:val="585858"/>
                        <w:sz w:val="18"/>
                      </w:rPr>
                      <w:t>Mensuellement</w:t>
                    </w:r>
                  </w:p>
                </w:txbxContent>
              </v:textbox>
              <w10:wrap type="none"/>
            </v:shape>
            <w10:wrap type="topAndBottom"/>
          </v:group>
        </w:pict>
      </w:r>
    </w:p>
    <w:p>
      <w:pPr>
        <w:pStyle w:val="BodyText"/>
        <w:spacing w:before="80"/>
        <w:ind w:left="825" w:right="440"/>
        <w:jc w:val="center"/>
      </w:pPr>
      <w:r>
        <w:rPr>
          <w:b/>
        </w:rPr>
        <w:t>Source </w:t>
      </w:r>
      <w:r>
        <w:rPr/>
        <w:t>: élaboré par nous-même sur la base des outputs SPSS</w:t>
      </w:r>
    </w:p>
    <w:p>
      <w:pPr>
        <w:pStyle w:val="BodyText"/>
        <w:spacing w:before="3"/>
        <w:rPr>
          <w:sz w:val="25"/>
        </w:rPr>
      </w:pPr>
    </w:p>
    <w:p>
      <w:pPr>
        <w:pStyle w:val="BodyText"/>
        <w:spacing w:line="362" w:lineRule="auto"/>
        <w:ind w:left="699" w:right="319" w:firstLine="360"/>
        <w:jc w:val="both"/>
      </w:pPr>
      <w:r>
        <w:rPr/>
        <w:t>Ce tableau ressort que parmi les utilisateurs de l'application BaridiMob, 37 % l'utilisent mensuellement,</w:t>
      </w:r>
      <w:r>
        <w:rPr>
          <w:spacing w:val="-5"/>
        </w:rPr>
        <w:t> </w:t>
      </w:r>
      <w:r>
        <w:rPr/>
        <w:t>30,6 %</w:t>
      </w:r>
      <w:r>
        <w:rPr>
          <w:spacing w:val="-4"/>
        </w:rPr>
        <w:t> </w:t>
      </w:r>
      <w:r>
        <w:rPr/>
        <w:t>une</w:t>
      </w:r>
      <w:r>
        <w:rPr>
          <w:spacing w:val="-2"/>
        </w:rPr>
        <w:t> </w:t>
      </w:r>
      <w:r>
        <w:rPr>
          <w:spacing w:val="-3"/>
        </w:rPr>
        <w:t>fois</w:t>
      </w:r>
      <w:r>
        <w:rPr>
          <w:spacing w:val="-8"/>
        </w:rPr>
        <w:t> </w:t>
      </w:r>
      <w:r>
        <w:rPr/>
        <w:t>par</w:t>
      </w:r>
      <w:r>
        <w:rPr>
          <w:spacing w:val="-4"/>
        </w:rPr>
        <w:t> </w:t>
      </w:r>
      <w:r>
        <w:rPr/>
        <w:t>semaine</w:t>
      </w:r>
      <w:r>
        <w:rPr>
          <w:spacing w:val="-6"/>
        </w:rPr>
        <w:t> </w:t>
      </w:r>
      <w:r>
        <w:rPr/>
        <w:t>et</w:t>
      </w:r>
      <w:r>
        <w:rPr>
          <w:spacing w:val="-2"/>
        </w:rPr>
        <w:t> </w:t>
      </w:r>
      <w:r>
        <w:rPr/>
        <w:t>19,1 %</w:t>
      </w:r>
      <w:r>
        <w:rPr>
          <w:spacing w:val="-4"/>
        </w:rPr>
        <w:t> </w:t>
      </w:r>
      <w:r>
        <w:rPr/>
        <w:t>quotidiennement.</w:t>
      </w:r>
      <w:r>
        <w:rPr>
          <w:spacing w:val="-4"/>
        </w:rPr>
        <w:t> </w:t>
      </w:r>
      <w:r>
        <w:rPr/>
        <w:t>En</w:t>
      </w:r>
      <w:r>
        <w:rPr>
          <w:spacing w:val="-10"/>
        </w:rPr>
        <w:t> </w:t>
      </w:r>
      <w:r>
        <w:rPr/>
        <w:t>revanche,</w:t>
      </w:r>
      <w:r>
        <w:rPr>
          <w:spacing w:val="-4"/>
        </w:rPr>
        <w:t> </w:t>
      </w:r>
      <w:r>
        <w:rPr/>
        <w:t>seuls</w:t>
      </w:r>
      <w:r>
        <w:rPr>
          <w:spacing w:val="-8"/>
        </w:rPr>
        <w:t> </w:t>
      </w:r>
      <w:r>
        <w:rPr/>
        <w:t>7,4 % l'utilisent rarement, 4 % de façon trimestrielle et 1,9 % selon leurs besoins. </w:t>
      </w:r>
      <w:r>
        <w:rPr>
          <w:spacing w:val="2"/>
        </w:rPr>
        <w:t>Ces </w:t>
      </w:r>
      <w:r>
        <w:rPr/>
        <w:t>résultats montrent que </w:t>
      </w:r>
      <w:r>
        <w:rPr>
          <w:spacing w:val="-5"/>
        </w:rPr>
        <w:t>la </w:t>
      </w:r>
      <w:r>
        <w:rPr/>
        <w:t>majorité des utilisateurs se servent de l'application de manière</w:t>
      </w:r>
      <w:r>
        <w:rPr>
          <w:spacing w:val="20"/>
        </w:rPr>
        <w:t> </w:t>
      </w:r>
      <w:r>
        <w:rPr/>
        <w:t>régulière.</w:t>
      </w:r>
    </w:p>
    <w:p>
      <w:pPr>
        <w:spacing w:after="0" w:line="362" w:lineRule="auto"/>
        <w:jc w:val="both"/>
        <w:sectPr>
          <w:pgSz w:w="12240" w:h="15840"/>
          <w:pgMar w:header="723" w:footer="850" w:top="1080" w:bottom="1040" w:left="1000" w:right="820"/>
        </w:sectPr>
      </w:pPr>
    </w:p>
    <w:p>
      <w:pPr>
        <w:pStyle w:val="BodyText"/>
        <w:spacing w:before="4"/>
        <w:rPr>
          <w:sz w:val="20"/>
        </w:rPr>
      </w:pPr>
    </w:p>
    <w:p>
      <w:pPr>
        <w:spacing w:after="0"/>
        <w:rPr>
          <w:sz w:val="20"/>
        </w:rPr>
        <w:sectPr>
          <w:pgSz w:w="12240" w:h="15840"/>
          <w:pgMar w:header="723" w:footer="850" w:top="1080" w:bottom="1040" w:left="1000" w:right="820"/>
        </w:sectPr>
      </w:pPr>
    </w:p>
    <w:p>
      <w:pPr>
        <w:spacing w:line="408" w:lineRule="auto" w:before="90"/>
        <w:ind w:left="699" w:right="-4" w:firstLine="0"/>
        <w:jc w:val="left"/>
        <w:rPr>
          <w:sz w:val="24"/>
        </w:rPr>
      </w:pPr>
      <w:r>
        <w:rPr/>
        <w:pict>
          <v:line style="position:absolute;mso-position-horizontal-relative:page;mso-position-vertical-relative:paragraph;z-index:-258923520" from="107.690002pt,4.183149pt" to="107.690002pt,18.343149pt" stroked="true" strokeweight="2.64pt" strokecolor="#f0f3f4">
            <v:stroke dashstyle="solid"/>
            <w10:wrap type="none"/>
          </v:line>
        </w:pict>
      </w:r>
      <w:r>
        <w:rPr>
          <w:b/>
          <w:sz w:val="24"/>
        </w:rPr>
        <w:t>Q7_ Pourquoi utilisez-vous BaridMob ?</w:t>
      </w:r>
      <w:bookmarkStart w:name="_bookmark29" w:id="223"/>
      <w:bookmarkEnd w:id="223"/>
      <w:r>
        <w:rPr>
          <w:b/>
          <w:sz w:val="24"/>
        </w:rPr>
      </w:r>
      <w:r>
        <w:rPr>
          <w:b/>
          <w:sz w:val="24"/>
        </w:rPr>
        <w:t> </w:t>
      </w:r>
      <w:r>
        <w:rPr>
          <w:b/>
          <w:color w:val="44536A"/>
          <w:sz w:val="24"/>
        </w:rPr>
        <w:t>Tableau 8 : </w:t>
      </w:r>
      <w:r>
        <w:rPr>
          <w:color w:val="44536A"/>
          <w:sz w:val="24"/>
        </w:rPr>
        <w:t>Raisons d’utilisation de</w:t>
      </w:r>
      <w:r>
        <w:rPr>
          <w:color w:val="44536A"/>
          <w:spacing w:val="-19"/>
          <w:sz w:val="24"/>
        </w:rPr>
        <w:t> </w:t>
      </w:r>
      <w:r>
        <w:rPr>
          <w:color w:val="44536A"/>
          <w:sz w:val="24"/>
        </w:rPr>
        <w:t>BaridiMob</w:t>
      </w:r>
    </w:p>
    <w:p>
      <w:pPr>
        <w:pStyle w:val="BodyText"/>
        <w:rPr>
          <w:sz w:val="26"/>
        </w:rPr>
      </w:pPr>
      <w:r>
        <w:rPr/>
        <w:br w:type="column"/>
      </w:r>
      <w:r>
        <w:rPr>
          <w:sz w:val="26"/>
        </w:rPr>
      </w:r>
    </w:p>
    <w:p>
      <w:pPr>
        <w:pStyle w:val="BodyText"/>
        <w:spacing w:before="6"/>
        <w:rPr>
          <w:sz w:val="23"/>
        </w:rPr>
      </w:pPr>
    </w:p>
    <w:p>
      <w:pPr>
        <w:spacing w:before="0"/>
        <w:ind w:left="146" w:right="0" w:firstLine="0"/>
        <w:jc w:val="left"/>
        <w:rPr>
          <w:sz w:val="24"/>
        </w:rPr>
      </w:pPr>
      <w:bookmarkStart w:name="_bookmark30" w:id="224"/>
      <w:bookmarkEnd w:id="224"/>
      <w:r>
        <w:rPr/>
      </w:r>
      <w:r>
        <w:rPr>
          <w:b/>
          <w:color w:val="44536A"/>
          <w:sz w:val="24"/>
        </w:rPr>
        <w:t>Figure 9 : </w:t>
      </w:r>
      <w:r>
        <w:rPr>
          <w:color w:val="44536A"/>
          <w:sz w:val="24"/>
        </w:rPr>
        <w:t>Raisons d’utilisation de BaridiMob</w:t>
      </w:r>
    </w:p>
    <w:p>
      <w:pPr>
        <w:spacing w:after="0"/>
        <w:jc w:val="left"/>
        <w:rPr>
          <w:sz w:val="24"/>
        </w:rPr>
        <w:sectPr>
          <w:type w:val="continuous"/>
          <w:pgSz w:w="12240" w:h="15840"/>
          <w:pgMar w:top="3140" w:bottom="280" w:left="1000" w:right="820"/>
          <w:cols w:num="2" w:equalWidth="0">
            <w:col w:w="5296" w:space="40"/>
            <w:col w:w="5084"/>
          </w:cols>
        </w:sectPr>
      </w:pPr>
    </w:p>
    <w:p>
      <w:pPr>
        <w:spacing w:line="240" w:lineRule="auto"/>
        <w:ind w:left="699" w:right="0" w:firstLine="0"/>
        <w:rPr>
          <w:sz w:val="20"/>
        </w:rPr>
      </w:pPr>
      <w:r>
        <w:rPr>
          <w:sz w:val="20"/>
        </w:rPr>
        <w:pict>
          <v:shape style="width:229.8pt;height:115.05pt;mso-position-horizontal-relative:char;mso-position-vertical-relative:line" type="#_x0000_t202" filled="false" stroked="false">
            <w10:anchorlock/>
            <v:textbox inset="0,0,0,0">
              <w:txbxContent>
                <w:tbl>
                  <w:tblPr>
                    <w:tblW w:w="0" w:type="auto"/>
                    <w:jc w:val="left"/>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251"/>
                    <w:gridCol w:w="1301"/>
                  </w:tblGrid>
                  <w:tr>
                    <w:trPr>
                      <w:trHeight w:val="314" w:hRule="atLeast"/>
                    </w:trPr>
                    <w:tc>
                      <w:tcPr>
                        <w:tcW w:w="3251" w:type="dxa"/>
                        <w:tcBorders>
                          <w:bottom w:val="nil"/>
                        </w:tcBorders>
                      </w:tcPr>
                      <w:p>
                        <w:pPr>
                          <w:pStyle w:val="TableParagraph"/>
                          <w:spacing w:line="249" w:lineRule="exact"/>
                          <w:ind w:left="109"/>
                          <w:jc w:val="left"/>
                          <w:rPr>
                            <w:b/>
                            <w:sz w:val="22"/>
                          </w:rPr>
                        </w:pPr>
                        <w:r>
                          <w:rPr>
                            <w:b/>
                            <w:sz w:val="22"/>
                          </w:rPr>
                          <w:t>Recharge mobile</w:t>
                        </w:r>
                      </w:p>
                    </w:tc>
                    <w:tc>
                      <w:tcPr>
                        <w:tcW w:w="1301" w:type="dxa"/>
                        <w:tcBorders>
                          <w:bottom w:val="nil"/>
                        </w:tcBorders>
                      </w:tcPr>
                      <w:p>
                        <w:pPr>
                          <w:pStyle w:val="TableParagraph"/>
                          <w:spacing w:line="249" w:lineRule="exact"/>
                          <w:ind w:right="453"/>
                          <w:jc w:val="right"/>
                          <w:rPr>
                            <w:b/>
                            <w:sz w:val="22"/>
                          </w:rPr>
                        </w:pPr>
                        <w:r>
                          <w:rPr>
                            <w:b/>
                            <w:sz w:val="22"/>
                          </w:rPr>
                          <w:t>294</w:t>
                        </w:r>
                      </w:p>
                    </w:tc>
                  </w:tr>
                  <w:tr>
                    <w:trPr>
                      <w:trHeight w:val="372" w:hRule="atLeast"/>
                    </w:trPr>
                    <w:tc>
                      <w:tcPr>
                        <w:tcW w:w="3251" w:type="dxa"/>
                        <w:tcBorders>
                          <w:top w:val="nil"/>
                          <w:bottom w:val="nil"/>
                        </w:tcBorders>
                      </w:tcPr>
                      <w:p>
                        <w:pPr>
                          <w:pStyle w:val="TableParagraph"/>
                          <w:spacing w:before="56"/>
                          <w:ind w:left="109"/>
                          <w:jc w:val="left"/>
                          <w:rPr>
                            <w:b/>
                            <w:sz w:val="22"/>
                          </w:rPr>
                        </w:pPr>
                        <w:r>
                          <w:rPr>
                            <w:b/>
                            <w:sz w:val="22"/>
                          </w:rPr>
                          <w:t>Transferts d’argent</w:t>
                        </w:r>
                      </w:p>
                    </w:tc>
                    <w:tc>
                      <w:tcPr>
                        <w:tcW w:w="1301" w:type="dxa"/>
                        <w:tcBorders>
                          <w:top w:val="nil"/>
                          <w:bottom w:val="nil"/>
                        </w:tcBorders>
                      </w:tcPr>
                      <w:p>
                        <w:pPr>
                          <w:pStyle w:val="TableParagraph"/>
                          <w:spacing w:before="56"/>
                          <w:ind w:right="453"/>
                          <w:jc w:val="right"/>
                          <w:rPr>
                            <w:b/>
                            <w:sz w:val="22"/>
                          </w:rPr>
                        </w:pPr>
                        <w:r>
                          <w:rPr>
                            <w:b/>
                            <w:sz w:val="22"/>
                          </w:rPr>
                          <w:t>307</w:t>
                        </w:r>
                      </w:p>
                    </w:tc>
                  </w:tr>
                  <w:tr>
                    <w:trPr>
                      <w:trHeight w:val="369" w:hRule="atLeast"/>
                    </w:trPr>
                    <w:tc>
                      <w:tcPr>
                        <w:tcW w:w="3251" w:type="dxa"/>
                        <w:tcBorders>
                          <w:top w:val="nil"/>
                          <w:bottom w:val="nil"/>
                        </w:tcBorders>
                      </w:tcPr>
                      <w:p>
                        <w:pPr>
                          <w:pStyle w:val="TableParagraph"/>
                          <w:spacing w:before="54"/>
                          <w:ind w:left="109"/>
                          <w:jc w:val="left"/>
                          <w:rPr>
                            <w:b/>
                            <w:sz w:val="22"/>
                          </w:rPr>
                        </w:pPr>
                        <w:r>
                          <w:rPr>
                            <w:b/>
                            <w:sz w:val="22"/>
                          </w:rPr>
                          <w:t>Consultation du solde</w:t>
                        </w:r>
                      </w:p>
                    </w:tc>
                    <w:tc>
                      <w:tcPr>
                        <w:tcW w:w="1301" w:type="dxa"/>
                        <w:tcBorders>
                          <w:top w:val="nil"/>
                          <w:bottom w:val="nil"/>
                        </w:tcBorders>
                      </w:tcPr>
                      <w:p>
                        <w:pPr>
                          <w:pStyle w:val="TableParagraph"/>
                          <w:spacing w:before="54"/>
                          <w:ind w:right="453"/>
                          <w:jc w:val="right"/>
                          <w:rPr>
                            <w:b/>
                            <w:sz w:val="22"/>
                          </w:rPr>
                        </w:pPr>
                        <w:r>
                          <w:rPr>
                            <w:b/>
                            <w:sz w:val="22"/>
                          </w:rPr>
                          <w:t>278</w:t>
                        </w:r>
                      </w:p>
                    </w:tc>
                  </w:tr>
                  <w:tr>
                    <w:trPr>
                      <w:trHeight w:val="369" w:hRule="atLeast"/>
                    </w:trPr>
                    <w:tc>
                      <w:tcPr>
                        <w:tcW w:w="3251" w:type="dxa"/>
                        <w:tcBorders>
                          <w:top w:val="nil"/>
                          <w:bottom w:val="nil"/>
                        </w:tcBorders>
                      </w:tcPr>
                      <w:p>
                        <w:pPr>
                          <w:pStyle w:val="TableParagraph"/>
                          <w:spacing w:before="54"/>
                          <w:ind w:left="109"/>
                          <w:jc w:val="left"/>
                          <w:rPr>
                            <w:b/>
                            <w:sz w:val="22"/>
                          </w:rPr>
                        </w:pPr>
                        <w:r>
                          <w:rPr>
                            <w:b/>
                            <w:sz w:val="22"/>
                          </w:rPr>
                          <w:t>Retrait sans carte</w:t>
                        </w:r>
                      </w:p>
                    </w:tc>
                    <w:tc>
                      <w:tcPr>
                        <w:tcW w:w="1301" w:type="dxa"/>
                        <w:tcBorders>
                          <w:top w:val="nil"/>
                          <w:bottom w:val="nil"/>
                        </w:tcBorders>
                      </w:tcPr>
                      <w:p>
                        <w:pPr>
                          <w:pStyle w:val="TableParagraph"/>
                          <w:spacing w:before="54"/>
                          <w:ind w:right="453"/>
                          <w:jc w:val="right"/>
                          <w:rPr>
                            <w:b/>
                            <w:sz w:val="22"/>
                          </w:rPr>
                        </w:pPr>
                        <w:r>
                          <w:rPr>
                            <w:b/>
                            <w:sz w:val="22"/>
                          </w:rPr>
                          <w:t>106</w:t>
                        </w:r>
                      </w:p>
                    </w:tc>
                  </w:tr>
                  <w:tr>
                    <w:trPr>
                      <w:trHeight w:val="417" w:hRule="atLeast"/>
                    </w:trPr>
                    <w:tc>
                      <w:tcPr>
                        <w:tcW w:w="3251" w:type="dxa"/>
                        <w:tcBorders>
                          <w:top w:val="nil"/>
                        </w:tcBorders>
                      </w:tcPr>
                      <w:p>
                        <w:pPr>
                          <w:pStyle w:val="TableParagraph"/>
                          <w:spacing w:before="54"/>
                          <w:ind w:left="109"/>
                          <w:jc w:val="left"/>
                          <w:rPr>
                            <w:b/>
                            <w:sz w:val="22"/>
                          </w:rPr>
                        </w:pPr>
                        <w:r>
                          <w:rPr>
                            <w:b/>
                            <w:sz w:val="22"/>
                          </w:rPr>
                          <w:t>Paiement de factures</w:t>
                        </w:r>
                      </w:p>
                    </w:tc>
                    <w:tc>
                      <w:tcPr>
                        <w:tcW w:w="1301" w:type="dxa"/>
                        <w:tcBorders>
                          <w:top w:val="nil"/>
                        </w:tcBorders>
                      </w:tcPr>
                      <w:p>
                        <w:pPr>
                          <w:pStyle w:val="TableParagraph"/>
                          <w:spacing w:before="54"/>
                          <w:ind w:right="453"/>
                          <w:jc w:val="right"/>
                          <w:rPr>
                            <w:b/>
                            <w:sz w:val="22"/>
                          </w:rPr>
                        </w:pPr>
                        <w:r>
                          <w:rPr>
                            <w:b/>
                            <w:sz w:val="22"/>
                          </w:rPr>
                          <w:t>207</w:t>
                        </w:r>
                      </w:p>
                    </w:tc>
                  </w:tr>
                  <w:tr>
                    <w:trPr>
                      <w:trHeight w:val="368" w:hRule="atLeast"/>
                    </w:trPr>
                    <w:tc>
                      <w:tcPr>
                        <w:tcW w:w="3251" w:type="dxa"/>
                      </w:tcPr>
                      <w:p>
                        <w:pPr>
                          <w:pStyle w:val="TableParagraph"/>
                          <w:ind w:left="109"/>
                          <w:jc w:val="left"/>
                          <w:rPr>
                            <w:b/>
                            <w:sz w:val="22"/>
                          </w:rPr>
                        </w:pPr>
                        <w:r>
                          <w:rPr>
                            <w:b/>
                            <w:sz w:val="22"/>
                          </w:rPr>
                          <w:t>Total</w:t>
                        </w:r>
                      </w:p>
                    </w:tc>
                    <w:tc>
                      <w:tcPr>
                        <w:tcW w:w="1301" w:type="dxa"/>
                      </w:tcPr>
                      <w:p>
                        <w:pPr>
                          <w:pStyle w:val="TableParagraph"/>
                          <w:ind w:right="395"/>
                          <w:jc w:val="right"/>
                          <w:rPr>
                            <w:b/>
                            <w:sz w:val="22"/>
                          </w:rPr>
                        </w:pPr>
                        <w:r>
                          <w:rPr>
                            <w:b/>
                            <w:sz w:val="22"/>
                          </w:rPr>
                          <w:t>1192</w:t>
                        </w:r>
                      </w:p>
                    </w:tc>
                  </w:tr>
                </w:tbl>
                <w:p>
                  <w:pPr>
                    <w:pStyle w:val="BodyText"/>
                  </w:pPr>
                </w:p>
              </w:txbxContent>
            </v:textbox>
          </v:shape>
        </w:pict>
      </w:r>
      <w:r>
        <w:rPr>
          <w:sz w:val="20"/>
        </w:rPr>
      </w:r>
      <w:r>
        <w:rPr>
          <w:spacing w:val="126"/>
          <w:sz w:val="20"/>
        </w:rPr>
        <w:t> </w:t>
      </w:r>
      <w:r>
        <w:rPr>
          <w:spacing w:val="126"/>
          <w:position w:val="4"/>
          <w:sz w:val="20"/>
        </w:rPr>
        <w:pict>
          <v:group style="width:228.7pt;height:112.75pt;mso-position-horizontal-relative:char;mso-position-vertical-relative:line" coordorigin="0,0" coordsize="4574,2255">
            <v:rect style="position:absolute;left:857;top:955;width:192;height:207" filled="true" fillcolor="#c55a11" stroked="false">
              <v:fill type="solid"/>
            </v:rect>
            <v:line style="position:absolute" from="953,956" to="953,1068" stroked="true" strokeweight=".75pt" strokecolor="#585858">
              <v:stroke dashstyle="solid"/>
            </v:line>
            <v:line style="position:absolute" from="953,956" to="953,843" stroked="true" strokeweight=".75pt" strokecolor="#585858">
              <v:stroke dashstyle="solid"/>
            </v:line>
            <v:line style="position:absolute" from="908,1068" to="998,1068" stroked="true" strokeweight=".75pt" strokecolor="#585858">
              <v:stroke dashstyle="solid"/>
            </v:line>
            <v:line style="position:absolute" from="908,843" to="998,843" stroked="true" strokeweight=".75pt" strokecolor="#585858">
              <v:stroke dashstyle="solid"/>
            </v:line>
            <v:rect style="position:absolute;left:1476;top:946;width:197;height:216" filled="true" fillcolor="#c55a11" stroked="false">
              <v:fill type="solid"/>
            </v:rect>
            <v:line style="position:absolute" from="1577,946" to="1577,1059" stroked="true" strokeweight=".75pt" strokecolor="#585858">
              <v:stroke dashstyle="solid"/>
            </v:line>
            <v:line style="position:absolute" from="1577,946" to="1577,834" stroked="true" strokeweight=".75pt" strokecolor="#585858">
              <v:stroke dashstyle="solid"/>
            </v:line>
            <v:line style="position:absolute" from="1531,1059" to="1621,1059" stroked="true" strokeweight=".75pt" strokecolor="#585858">
              <v:stroke dashstyle="solid"/>
            </v:line>
            <v:line style="position:absolute" from="1531,834" to="1621,834" stroked="true" strokeweight=".75pt" strokecolor="#585858">
              <v:stroke dashstyle="solid"/>
            </v:line>
            <v:rect style="position:absolute;left:2100;top:965;width:197;height:197" filled="true" fillcolor="#c55a11" stroked="false">
              <v:fill type="solid"/>
            </v:rect>
            <v:line style="position:absolute" from="2201,966" to="2201,1080" stroked="true" strokeweight=".75pt" strokecolor="#585858">
              <v:stroke dashstyle="solid"/>
            </v:line>
            <v:line style="position:absolute" from="2201,965" to="2201,854" stroked="true" strokeweight=".75pt" strokecolor="#585858">
              <v:stroke dashstyle="solid"/>
            </v:line>
            <v:line style="position:absolute" from="2154,1079" to="2244,1079" stroked="true" strokeweight=".75pt" strokecolor="#585858">
              <v:stroke dashstyle="solid"/>
            </v:line>
            <v:line style="position:absolute" from="2154,854" to="2244,854" stroked="true" strokeweight=".75pt" strokecolor="#585858">
              <v:stroke dashstyle="solid"/>
            </v:line>
            <v:line style="position:absolute" from="2724,1124" to="2921,1124" stroked="true" strokeweight="3.84pt" strokecolor="#c55a11">
              <v:stroke dashstyle="solid"/>
            </v:line>
            <v:line style="position:absolute" from="2820,1086" to="2820,1199" stroked="true" strokeweight=".75pt" strokecolor="#585858">
              <v:stroke dashstyle="solid"/>
            </v:line>
            <v:line style="position:absolute" from="2820,1086" to="2820,974" stroked="true" strokeweight=".75pt" strokecolor="#585858">
              <v:stroke dashstyle="solid"/>
            </v:line>
            <v:line style="position:absolute" from="2778,1199" to="2868,1199" stroked="true" strokeweight=".75pt" strokecolor="#585858">
              <v:stroke dashstyle="solid"/>
            </v:line>
            <v:line style="position:absolute" from="2778,974" to="2868,974" stroked="true" strokeweight=".75pt" strokecolor="#585858">
              <v:stroke dashstyle="solid"/>
            </v:line>
            <v:rect style="position:absolute;left:3348;top:1018;width:197;height:144" filled="true" fillcolor="#c55a11" stroked="false">
              <v:fill type="solid"/>
            </v:rect>
            <v:line style="position:absolute" from="3444,1018" to="3444,1129" stroked="true" strokeweight=".75pt" strokecolor="#585858">
              <v:stroke dashstyle="solid"/>
            </v:line>
            <v:line style="position:absolute" from="3444,1018" to="3444,904" stroked="true" strokeweight=".75pt" strokecolor="#585858">
              <v:stroke dashstyle="solid"/>
            </v:line>
            <v:line style="position:absolute" from="3401,1129" to="3491,1129" stroked="true" strokeweight=".75pt" strokecolor="#585858">
              <v:stroke dashstyle="solid"/>
            </v:line>
            <v:line style="position:absolute" from="3401,904" to="3491,904" stroked="true" strokeweight=".75pt" strokecolor="#585858">
              <v:stroke dashstyle="solid"/>
            </v:line>
            <v:rect style="position:absolute;left:3972;top:331;width:197;height:831" filled="true" fillcolor="#c55a11" stroked="false">
              <v:fill type="solid"/>
            </v:rect>
            <v:line style="position:absolute" from="4068,332" to="4068,444" stroked="true" strokeweight=".75pt" strokecolor="#585858">
              <v:stroke dashstyle="solid"/>
            </v:line>
            <v:line style="position:absolute" from="4068,332" to="4068,219" stroked="true" strokeweight=".75pt" strokecolor="#585858">
              <v:stroke dashstyle="solid"/>
            </v:line>
            <v:line style="position:absolute" from="4024,444" to="4114,444" stroked="true" strokeweight=".75pt" strokecolor="#585858">
              <v:stroke dashstyle="solid"/>
            </v:line>
            <v:line style="position:absolute" from="4024,219" to="4114,219" stroked="true" strokeweight=".75pt" strokecolor="#585858">
              <v:stroke dashstyle="solid"/>
            </v:line>
            <v:line style="position:absolute" from="641,1160" to="4381,1160" stroked="true" strokeweight=".75pt" strokecolor="#d9d9d9">
              <v:stroke dashstyle="solid"/>
            </v:line>
            <v:shape style="position:absolute;left:259;top:1308;width:3209;height:892" type="#_x0000_t75" stroked="false">
              <v:imagedata r:id="rId90" o:title=""/>
            </v:shape>
            <v:shape style="position:absolute;left:3839;top:1287;width:255;height:240" type="#_x0000_t75" stroked="false">
              <v:imagedata r:id="rId91" o:title=""/>
            </v:shape>
            <v:rect style="position:absolute;left:7;top:7;width:4559;height:2240" filled="false" stroked="true" strokeweight=".75pt" strokecolor="#d9d9d9">
              <v:stroke dashstyle="solid"/>
            </v:rect>
            <v:shape style="position:absolute;left:147;top:1076;width:351;height:531" type="#_x0000_t202" filled="false" stroked="false">
              <v:textbox inset="0,0,0,0">
                <w:txbxContent>
                  <w:p>
                    <w:pPr>
                      <w:spacing w:line="186" w:lineRule="exact" w:before="0"/>
                      <w:ind w:left="0" w:right="18" w:firstLine="0"/>
                      <w:jc w:val="right"/>
                      <w:rPr>
                        <w:rFonts w:ascii="Calibri"/>
                        <w:sz w:val="18"/>
                      </w:rPr>
                    </w:pPr>
                    <w:r>
                      <w:rPr>
                        <w:rFonts w:ascii="Calibri"/>
                        <w:color w:val="585858"/>
                        <w:w w:val="101"/>
                        <w:sz w:val="18"/>
                      </w:rPr>
                      <w:t>0</w:t>
                    </w:r>
                  </w:p>
                  <w:p>
                    <w:pPr>
                      <w:spacing w:line="217" w:lineRule="exact" w:before="128"/>
                      <w:ind w:left="0" w:right="20" w:firstLine="0"/>
                      <w:jc w:val="right"/>
                      <w:rPr>
                        <w:rFonts w:ascii="Calibri"/>
                        <w:sz w:val="18"/>
                      </w:rPr>
                    </w:pPr>
                    <w:r>
                      <w:rPr>
                        <w:rFonts w:ascii="Calibri"/>
                        <w:color w:val="585858"/>
                        <w:sz w:val="18"/>
                      </w:rPr>
                      <w:t>-500</w:t>
                    </w:r>
                  </w:p>
                </w:txbxContent>
              </v:textbox>
              <w10:wrap type="none"/>
            </v:shape>
            <v:shape style="position:absolute;left:3312;top:743;width:294;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207</w:t>
                    </w:r>
                  </w:p>
                </w:txbxContent>
              </v:textbox>
              <w10:wrap type="none"/>
            </v:shape>
            <v:shape style="position:absolute;left:2689;top:813;width:294;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106</w:t>
                    </w:r>
                  </w:p>
                </w:txbxContent>
              </v:textbox>
              <w10:wrap type="none"/>
            </v:shape>
            <v:shape style="position:absolute;left:1442;top:674;width:917;height:203" type="#_x0000_t202" filled="false" stroked="false">
              <v:textbox inset="0,0,0,0">
                <w:txbxContent>
                  <w:p>
                    <w:pPr>
                      <w:tabs>
                        <w:tab w:pos="623" w:val="left" w:leader="none"/>
                      </w:tabs>
                      <w:spacing w:line="203" w:lineRule="exact" w:before="0"/>
                      <w:ind w:left="0" w:right="0" w:firstLine="0"/>
                      <w:jc w:val="left"/>
                      <w:rPr>
                        <w:rFonts w:ascii="Calibri"/>
                        <w:sz w:val="18"/>
                      </w:rPr>
                    </w:pPr>
                    <w:r>
                      <w:rPr>
                        <w:rFonts w:ascii="Calibri"/>
                        <w:color w:val="404040"/>
                        <w:sz w:val="18"/>
                      </w:rPr>
                      <w:t>307</w:t>
                      <w:tab/>
                    </w:r>
                    <w:r>
                      <w:rPr>
                        <w:rFonts w:ascii="Calibri"/>
                        <w:color w:val="404040"/>
                        <w:spacing w:val="-2"/>
                        <w:position w:val="-1"/>
                        <w:sz w:val="18"/>
                      </w:rPr>
                      <w:t>278</w:t>
                    </w:r>
                  </w:p>
                </w:txbxContent>
              </v:textbox>
              <w10:wrap type="none"/>
            </v:shape>
            <v:shape style="position:absolute;left:818;top:683;width:294;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294</w:t>
                    </w:r>
                  </w:p>
                </w:txbxContent>
              </v:textbox>
              <w10:wrap type="none"/>
            </v:shape>
            <v:shape style="position:absolute;left:111;top:382;width:385;height:530" type="#_x0000_t202" filled="false" stroked="false">
              <v:textbox inset="0,0,0,0">
                <w:txbxContent>
                  <w:p>
                    <w:pPr>
                      <w:spacing w:line="185" w:lineRule="exact" w:before="0"/>
                      <w:ind w:left="0" w:right="0" w:firstLine="0"/>
                      <w:jc w:val="left"/>
                      <w:rPr>
                        <w:rFonts w:ascii="Calibri"/>
                        <w:sz w:val="18"/>
                      </w:rPr>
                    </w:pPr>
                    <w:r>
                      <w:rPr>
                        <w:rFonts w:ascii="Calibri"/>
                        <w:color w:val="585858"/>
                        <w:sz w:val="18"/>
                      </w:rPr>
                      <w:t>1000</w:t>
                    </w:r>
                  </w:p>
                  <w:p>
                    <w:pPr>
                      <w:spacing w:line="217" w:lineRule="exact" w:before="128"/>
                      <w:ind w:left="91" w:right="0" w:firstLine="0"/>
                      <w:jc w:val="left"/>
                      <w:rPr>
                        <w:rFonts w:ascii="Calibri"/>
                        <w:sz w:val="18"/>
                      </w:rPr>
                    </w:pPr>
                    <w:r>
                      <w:rPr>
                        <w:rFonts w:ascii="Calibri"/>
                        <w:color w:val="585858"/>
                        <w:spacing w:val="-2"/>
                        <w:sz w:val="18"/>
                      </w:rPr>
                      <w:t>500</w:t>
                    </w:r>
                  </w:p>
                </w:txbxContent>
              </v:textbox>
              <w10:wrap type="none"/>
            </v:shape>
            <v:shape style="position:absolute;left:3888;top:73;width:385;height:183" type="#_x0000_t202" filled="false" stroked="false">
              <v:textbox inset="0,0,0,0">
                <w:txbxContent>
                  <w:p>
                    <w:pPr>
                      <w:spacing w:line="183" w:lineRule="exact" w:before="0"/>
                      <w:ind w:left="0" w:right="0" w:firstLine="0"/>
                      <w:jc w:val="left"/>
                      <w:rPr>
                        <w:rFonts w:ascii="Calibri"/>
                        <w:sz w:val="18"/>
                      </w:rPr>
                    </w:pPr>
                    <w:r>
                      <w:rPr>
                        <w:rFonts w:ascii="Calibri"/>
                        <w:color w:val="404040"/>
                        <w:sz w:val="18"/>
                      </w:rPr>
                      <w:t>1192</w:t>
                    </w:r>
                  </w:p>
                </w:txbxContent>
              </v:textbox>
              <w10:wrap type="none"/>
            </v:shape>
            <v:shape style="position:absolute;left:111;top:34;width:385;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1500</w:t>
                    </w:r>
                  </w:p>
                </w:txbxContent>
              </v:textbox>
              <w10:wrap type="none"/>
            </v:shape>
          </v:group>
        </w:pict>
      </w:r>
      <w:r>
        <w:rPr>
          <w:spacing w:val="126"/>
          <w:position w:val="4"/>
          <w:sz w:val="20"/>
        </w:rPr>
      </w:r>
    </w:p>
    <w:p>
      <w:pPr>
        <w:pStyle w:val="BodyText"/>
        <w:spacing w:before="1"/>
        <w:rPr>
          <w:sz w:val="8"/>
        </w:rPr>
      </w:pPr>
    </w:p>
    <w:p>
      <w:pPr>
        <w:spacing w:before="92"/>
        <w:ind w:left="2663" w:right="0" w:firstLine="0"/>
        <w:jc w:val="both"/>
        <w:rPr>
          <w:sz w:val="22"/>
        </w:rPr>
      </w:pPr>
      <w:r>
        <w:rPr>
          <w:b/>
          <w:sz w:val="22"/>
        </w:rPr>
        <w:t>Source : </w:t>
      </w:r>
      <w:r>
        <w:rPr>
          <w:sz w:val="22"/>
        </w:rPr>
        <w:t>élaboré par nous-même sur la base des outputs SPSS</w:t>
      </w:r>
    </w:p>
    <w:p>
      <w:pPr>
        <w:pStyle w:val="BodyText"/>
        <w:spacing w:line="362" w:lineRule="auto" w:before="203"/>
        <w:ind w:left="699" w:right="311" w:firstLine="360"/>
        <w:jc w:val="both"/>
      </w:pPr>
      <w:r>
        <w:rPr/>
        <w:t>Les principales raisons pour lesquelles les utilisateurs utilisent l'application BaridiMob, sont les</w:t>
      </w:r>
      <w:r>
        <w:rPr>
          <w:spacing w:val="-9"/>
        </w:rPr>
        <w:t> </w:t>
      </w:r>
      <w:r>
        <w:rPr/>
        <w:t>transferts</w:t>
      </w:r>
      <w:r>
        <w:rPr>
          <w:spacing w:val="-9"/>
        </w:rPr>
        <w:t> </w:t>
      </w:r>
      <w:r>
        <w:rPr/>
        <w:t>d'argent</w:t>
      </w:r>
      <w:r>
        <w:rPr>
          <w:spacing w:val="-2"/>
        </w:rPr>
        <w:t> </w:t>
      </w:r>
      <w:r>
        <w:rPr/>
        <w:t>(307</w:t>
      </w:r>
      <w:r>
        <w:rPr>
          <w:spacing w:val="-12"/>
        </w:rPr>
        <w:t> </w:t>
      </w:r>
      <w:r>
        <w:rPr/>
        <w:t>réponses),</w:t>
      </w:r>
      <w:r>
        <w:rPr>
          <w:spacing w:val="-5"/>
        </w:rPr>
        <w:t> </w:t>
      </w:r>
      <w:r>
        <w:rPr>
          <w:spacing w:val="-3"/>
        </w:rPr>
        <w:t>la</w:t>
      </w:r>
      <w:r>
        <w:rPr>
          <w:spacing w:val="-7"/>
        </w:rPr>
        <w:t> </w:t>
      </w:r>
      <w:r>
        <w:rPr/>
        <w:t>recharge</w:t>
      </w:r>
      <w:r>
        <w:rPr>
          <w:spacing w:val="-4"/>
        </w:rPr>
        <w:t> </w:t>
      </w:r>
      <w:r>
        <w:rPr/>
        <w:t>mobile</w:t>
      </w:r>
      <w:r>
        <w:rPr>
          <w:spacing w:val="-7"/>
        </w:rPr>
        <w:t> </w:t>
      </w:r>
      <w:r>
        <w:rPr/>
        <w:t>(294</w:t>
      </w:r>
      <w:r>
        <w:rPr>
          <w:spacing w:val="-7"/>
        </w:rPr>
        <w:t> </w:t>
      </w:r>
      <w:r>
        <w:rPr/>
        <w:t>réponses)</w:t>
      </w:r>
      <w:r>
        <w:rPr>
          <w:spacing w:val="-5"/>
        </w:rPr>
        <w:t> </w:t>
      </w:r>
      <w:r>
        <w:rPr/>
        <w:t>et</w:t>
      </w:r>
      <w:r>
        <w:rPr>
          <w:spacing w:val="-2"/>
        </w:rPr>
        <w:t> </w:t>
      </w:r>
      <w:r>
        <w:rPr>
          <w:spacing w:val="-5"/>
        </w:rPr>
        <w:t>la</w:t>
      </w:r>
      <w:r>
        <w:rPr>
          <w:spacing w:val="-8"/>
        </w:rPr>
        <w:t> </w:t>
      </w:r>
      <w:r>
        <w:rPr/>
        <w:t>consultation</w:t>
      </w:r>
      <w:r>
        <w:rPr>
          <w:spacing w:val="-12"/>
        </w:rPr>
        <w:t> </w:t>
      </w:r>
      <w:r>
        <w:rPr/>
        <w:t>du</w:t>
      </w:r>
      <w:r>
        <w:rPr>
          <w:spacing w:val="-7"/>
        </w:rPr>
        <w:t> </w:t>
      </w:r>
      <w:r>
        <w:rPr/>
        <w:t>solde (278</w:t>
      </w:r>
      <w:r>
        <w:rPr>
          <w:spacing w:val="-11"/>
        </w:rPr>
        <w:t> </w:t>
      </w:r>
      <w:r>
        <w:rPr/>
        <w:t>réponses).</w:t>
      </w:r>
      <w:r>
        <w:rPr>
          <w:spacing w:val="-9"/>
        </w:rPr>
        <w:t> </w:t>
      </w:r>
      <w:r>
        <w:rPr/>
        <w:t>Viennent</w:t>
      </w:r>
      <w:r>
        <w:rPr>
          <w:spacing w:val="-5"/>
        </w:rPr>
        <w:t> </w:t>
      </w:r>
      <w:r>
        <w:rPr/>
        <w:t>ensuite</w:t>
      </w:r>
      <w:r>
        <w:rPr>
          <w:spacing w:val="-7"/>
        </w:rPr>
        <w:t> </w:t>
      </w:r>
      <w:r>
        <w:rPr>
          <w:spacing w:val="-3"/>
        </w:rPr>
        <w:t>le</w:t>
      </w:r>
      <w:r>
        <w:rPr>
          <w:spacing w:val="-12"/>
        </w:rPr>
        <w:t> </w:t>
      </w:r>
      <w:r>
        <w:rPr/>
        <w:t>paiement</w:t>
      </w:r>
      <w:r>
        <w:rPr>
          <w:spacing w:val="-5"/>
        </w:rPr>
        <w:t> </w:t>
      </w:r>
      <w:r>
        <w:rPr/>
        <w:t>de</w:t>
      </w:r>
      <w:r>
        <w:rPr>
          <w:spacing w:val="-12"/>
        </w:rPr>
        <w:t> </w:t>
      </w:r>
      <w:r>
        <w:rPr/>
        <w:t>factures</w:t>
      </w:r>
      <w:r>
        <w:rPr>
          <w:spacing w:val="-5"/>
        </w:rPr>
        <w:t> </w:t>
      </w:r>
      <w:r>
        <w:rPr/>
        <w:t>(207</w:t>
      </w:r>
      <w:r>
        <w:rPr>
          <w:spacing w:val="-10"/>
        </w:rPr>
        <w:t> </w:t>
      </w:r>
      <w:r>
        <w:rPr/>
        <w:t>réponses)</w:t>
      </w:r>
      <w:r>
        <w:rPr>
          <w:spacing w:val="-9"/>
        </w:rPr>
        <w:t> </w:t>
      </w:r>
      <w:r>
        <w:rPr/>
        <w:t>et</w:t>
      </w:r>
      <w:r>
        <w:rPr>
          <w:spacing w:val="-6"/>
        </w:rPr>
        <w:t> </w:t>
      </w:r>
      <w:r>
        <w:rPr>
          <w:spacing w:val="-3"/>
        </w:rPr>
        <w:t>le</w:t>
      </w:r>
      <w:r>
        <w:rPr>
          <w:spacing w:val="-11"/>
        </w:rPr>
        <w:t> </w:t>
      </w:r>
      <w:r>
        <w:rPr/>
        <w:t>retrait</w:t>
      </w:r>
      <w:r>
        <w:rPr>
          <w:spacing w:val="-6"/>
        </w:rPr>
        <w:t> </w:t>
      </w:r>
      <w:r>
        <w:rPr/>
        <w:t>sans</w:t>
      </w:r>
      <w:r>
        <w:rPr>
          <w:spacing w:val="-12"/>
        </w:rPr>
        <w:t> </w:t>
      </w:r>
      <w:r>
        <w:rPr/>
        <w:t>carte</w:t>
      </w:r>
      <w:r>
        <w:rPr>
          <w:spacing w:val="-12"/>
        </w:rPr>
        <w:t> </w:t>
      </w:r>
      <w:r>
        <w:rPr/>
        <w:t>(106 réponses). Ces résultats montrent que BaridiMob est surtout utilisée pour des opérations pratiques et</w:t>
      </w:r>
      <w:r>
        <w:rPr>
          <w:spacing w:val="6"/>
        </w:rPr>
        <w:t> </w:t>
      </w:r>
      <w:r>
        <w:rPr/>
        <w:t>quotidiennes.</w:t>
      </w:r>
    </w:p>
    <w:p>
      <w:pPr>
        <w:pStyle w:val="Heading5"/>
        <w:spacing w:before="150"/>
        <w:ind w:left="699" w:firstLine="0"/>
      </w:pPr>
      <w:r>
        <w:rPr/>
        <w:t>Q8_Évaluation de l’expérience des utilisateurs :</w:t>
      </w:r>
    </w:p>
    <w:p>
      <w:pPr>
        <w:pStyle w:val="BodyText"/>
        <w:rPr>
          <w:b/>
          <w:sz w:val="22"/>
        </w:rPr>
      </w:pPr>
    </w:p>
    <w:p>
      <w:pPr>
        <w:spacing w:after="0"/>
        <w:rPr>
          <w:sz w:val="22"/>
        </w:rPr>
        <w:sectPr>
          <w:type w:val="continuous"/>
          <w:pgSz w:w="12240" w:h="15840"/>
          <w:pgMar w:top="3140" w:bottom="280" w:left="1000" w:right="820"/>
        </w:sectPr>
      </w:pPr>
    </w:p>
    <w:p>
      <w:pPr>
        <w:pStyle w:val="BodyText"/>
        <w:spacing w:line="237" w:lineRule="auto" w:before="92"/>
        <w:ind w:left="704" w:right="-6"/>
      </w:pPr>
      <w:r>
        <w:rPr/>
        <w:pict>
          <v:shape style="position:absolute;margin-left:377.959991pt;margin-top:74.233017pt;width:21.65pt;height:17.55pt;mso-position-horizontal-relative:page;mso-position-vertical-relative:paragraph;z-index:251744256" type="#_x0000_t202" filled="false" stroked="false">
            <v:textbox inset="0,0,0,0" style="layout-flow:vertical;mso-layout-flow-alt:bottom-to-top">
              <w:txbxContent>
                <w:p>
                  <w:pPr>
                    <w:spacing w:line="200" w:lineRule="exact" w:before="0"/>
                    <w:ind w:left="0" w:right="18" w:firstLine="0"/>
                    <w:jc w:val="right"/>
                    <w:rPr>
                      <w:rFonts w:ascii="Calibri"/>
                      <w:sz w:val="18"/>
                    </w:rPr>
                  </w:pPr>
                  <w:r>
                    <w:rPr>
                      <w:rFonts w:ascii="Calibri"/>
                      <w:color w:val="404040"/>
                      <w:spacing w:val="-1"/>
                      <w:sz w:val="18"/>
                    </w:rPr>
                    <w:t>27</w:t>
                  </w:r>
                </w:p>
                <w:p>
                  <w:pPr>
                    <w:spacing w:line="215" w:lineRule="exact" w:before="0"/>
                    <w:ind w:left="0" w:right="96" w:firstLine="0"/>
                    <w:jc w:val="right"/>
                    <w:rPr>
                      <w:rFonts w:ascii="Calibri"/>
                      <w:sz w:val="18"/>
                    </w:rPr>
                  </w:pPr>
                  <w:r>
                    <w:rPr>
                      <w:rFonts w:ascii="Calibri"/>
                      <w:color w:val="404040"/>
                      <w:spacing w:val="-1"/>
                      <w:sz w:val="18"/>
                    </w:rPr>
                    <w:t>6.6</w:t>
                  </w:r>
                </w:p>
              </w:txbxContent>
            </v:textbox>
            <w10:wrap type="none"/>
          </v:shape>
        </w:pict>
      </w:r>
      <w:r>
        <w:rPr/>
        <w:pict>
          <v:shape style="position:absolute;margin-left:414.850006pt;margin-top:72.121017pt;width:21.65pt;height:19.150pt;mso-position-horizontal-relative:page;mso-position-vertical-relative:paragraph;z-index:251745280" type="#_x0000_t202" filled="false" stroked="false">
            <v:textbox inset="0,0,0,0" style="layout-flow:vertical;mso-layout-flow-alt:bottom-to-top">
              <w:txbxContent>
                <w:p>
                  <w:pPr>
                    <w:spacing w:line="200" w:lineRule="exact" w:before="0"/>
                    <w:ind w:left="179" w:right="0" w:firstLine="0"/>
                    <w:jc w:val="left"/>
                    <w:rPr>
                      <w:rFonts w:ascii="Calibri"/>
                      <w:sz w:val="18"/>
                    </w:rPr>
                  </w:pPr>
                  <w:r>
                    <w:rPr>
                      <w:rFonts w:ascii="Calibri"/>
                      <w:color w:val="404040"/>
                      <w:sz w:val="18"/>
                    </w:rPr>
                    <w:t>34</w:t>
                  </w:r>
                </w:p>
                <w:p>
                  <w:pPr>
                    <w:spacing w:line="215" w:lineRule="exact" w:before="0"/>
                    <w:ind w:left="20" w:right="0" w:firstLine="0"/>
                    <w:jc w:val="left"/>
                    <w:rPr>
                      <w:rFonts w:ascii="Calibri"/>
                      <w:sz w:val="18"/>
                    </w:rPr>
                  </w:pPr>
                  <w:r>
                    <w:rPr>
                      <w:rFonts w:ascii="Calibri"/>
                      <w:color w:val="404040"/>
                      <w:sz w:val="18"/>
                    </w:rPr>
                    <w:t>8.3</w:t>
                  </w:r>
                </w:p>
              </w:txbxContent>
            </v:textbox>
            <w10:wrap type="none"/>
          </v:shape>
        </w:pict>
      </w:r>
      <w:r>
        <w:rPr/>
        <w:pict>
          <v:shape style="position:absolute;margin-left:451.709991pt;margin-top:45.310978pt;width:11.15pt;height:15.7pt;mso-position-horizontal-relative:page;mso-position-vertical-relative:paragraph;z-index:251746304" type="#_x0000_t202" filled="false" stroked="false">
            <v:textbox inset="0,0,0,0" style="layout-flow:vertical;mso-layout-flow-alt:bottom-to-top">
              <w:txbxContent>
                <w:p>
                  <w:pPr>
                    <w:spacing w:line="205" w:lineRule="exact" w:before="0"/>
                    <w:ind w:left="20" w:right="0" w:firstLine="0"/>
                    <w:jc w:val="left"/>
                    <w:rPr>
                      <w:rFonts w:ascii="Calibri"/>
                      <w:sz w:val="18"/>
                    </w:rPr>
                  </w:pPr>
                  <w:r>
                    <w:rPr>
                      <w:rFonts w:ascii="Calibri"/>
                      <w:color w:val="404040"/>
                      <w:sz w:val="18"/>
                    </w:rPr>
                    <w:t>136</w:t>
                  </w:r>
                </w:p>
              </w:txbxContent>
            </v:textbox>
            <w10:wrap type="none"/>
          </v:shape>
        </w:pict>
      </w:r>
      <w:r>
        <w:rPr/>
        <w:pict>
          <v:shape style="position:absolute;margin-left:462.220001pt;margin-top:65.349312pt;width:11.15pt;height:18.150pt;mso-position-horizontal-relative:page;mso-position-vertical-relative:paragraph;z-index:251747328" type="#_x0000_t202" filled="false" stroked="false">
            <v:textbox inset="0,0,0,0" style="layout-flow:vertical;mso-layout-flow-alt:bottom-to-top">
              <w:txbxContent>
                <w:p>
                  <w:pPr>
                    <w:spacing w:line="205" w:lineRule="exact" w:before="0"/>
                    <w:ind w:left="20" w:right="0" w:firstLine="0"/>
                    <w:jc w:val="left"/>
                    <w:rPr>
                      <w:rFonts w:ascii="Calibri"/>
                      <w:sz w:val="18"/>
                    </w:rPr>
                  </w:pPr>
                  <w:r>
                    <w:rPr>
                      <w:rFonts w:ascii="Calibri"/>
                      <w:color w:val="404040"/>
                      <w:sz w:val="18"/>
                    </w:rPr>
                    <w:t>33.0</w:t>
                  </w:r>
                </w:p>
              </w:txbxContent>
            </v:textbox>
            <w10:wrap type="none"/>
          </v:shape>
        </w:pict>
      </w:r>
      <w:r>
        <w:rPr/>
        <w:pict>
          <v:shape style="position:absolute;margin-left:488.600006pt;margin-top:45.310978pt;width:11.15pt;height:15.7pt;mso-position-horizontal-relative:page;mso-position-vertical-relative:paragraph;z-index:251748352" type="#_x0000_t202" filled="false" stroked="false">
            <v:textbox inset="0,0,0,0" style="layout-flow:vertical;mso-layout-flow-alt:bottom-to-top">
              <w:txbxContent>
                <w:p>
                  <w:pPr>
                    <w:spacing w:line="205" w:lineRule="exact" w:before="0"/>
                    <w:ind w:left="20" w:right="0" w:firstLine="0"/>
                    <w:jc w:val="left"/>
                    <w:rPr>
                      <w:rFonts w:ascii="Calibri"/>
                      <w:sz w:val="18"/>
                    </w:rPr>
                  </w:pPr>
                  <w:r>
                    <w:rPr>
                      <w:rFonts w:ascii="Calibri"/>
                      <w:color w:val="404040"/>
                      <w:sz w:val="18"/>
                    </w:rPr>
                    <w:t>135</w:t>
                  </w:r>
                </w:p>
              </w:txbxContent>
            </v:textbox>
            <w10:wrap type="none"/>
          </v:shape>
        </w:pict>
      </w:r>
      <w:r>
        <w:rPr/>
        <w:pict>
          <v:shape style="position:absolute;margin-left:499.071991pt;margin-top:65.404297pt;width:11.15pt;height:18.150pt;mso-position-horizontal-relative:page;mso-position-vertical-relative:paragraph;z-index:251749376" type="#_x0000_t202" filled="false" stroked="false">
            <v:textbox inset="0,0,0,0" style="layout-flow:vertical;mso-layout-flow-alt:bottom-to-top">
              <w:txbxContent>
                <w:p>
                  <w:pPr>
                    <w:spacing w:line="205" w:lineRule="exact" w:before="0"/>
                    <w:ind w:left="20" w:right="0" w:firstLine="0"/>
                    <w:jc w:val="left"/>
                    <w:rPr>
                      <w:rFonts w:ascii="Calibri"/>
                      <w:sz w:val="18"/>
                    </w:rPr>
                  </w:pPr>
                  <w:r>
                    <w:rPr>
                      <w:rFonts w:ascii="Calibri"/>
                      <w:color w:val="404040"/>
                      <w:sz w:val="18"/>
                    </w:rPr>
                    <w:t>32.8</w:t>
                  </w:r>
                </w:p>
              </w:txbxContent>
            </v:textbox>
            <w10:wrap type="none"/>
          </v:shape>
        </w:pict>
      </w:r>
      <w:r>
        <w:rPr/>
        <w:pict>
          <v:shape style="position:absolute;margin-left:525.442017pt;margin-top:69.051079pt;width:21.7pt;height:21.3pt;mso-position-horizontal-relative:page;mso-position-vertical-relative:paragraph;z-index:251750400" type="#_x0000_t202" filled="false" stroked="false">
            <v:textbox inset="0,0,0,0" style="layout-flow:vertical;mso-layout-flow-alt:bottom-to-top">
              <w:txbxContent>
                <w:p>
                  <w:pPr>
                    <w:spacing w:line="201" w:lineRule="exact" w:before="0"/>
                    <w:ind w:left="0" w:right="18" w:firstLine="0"/>
                    <w:jc w:val="right"/>
                    <w:rPr>
                      <w:rFonts w:ascii="Calibri"/>
                      <w:sz w:val="18"/>
                    </w:rPr>
                  </w:pPr>
                  <w:r>
                    <w:rPr>
                      <w:rFonts w:ascii="Calibri"/>
                      <w:color w:val="404040"/>
                      <w:spacing w:val="-2"/>
                      <w:sz w:val="18"/>
                    </w:rPr>
                    <w:t>44</w:t>
                  </w:r>
                </w:p>
                <w:p>
                  <w:pPr>
                    <w:spacing w:line="215" w:lineRule="exact" w:before="0"/>
                    <w:ind w:left="0" w:right="81" w:firstLine="0"/>
                    <w:jc w:val="right"/>
                    <w:rPr>
                      <w:rFonts w:ascii="Calibri"/>
                      <w:sz w:val="18"/>
                    </w:rPr>
                  </w:pPr>
                  <w:r>
                    <w:rPr>
                      <w:rFonts w:ascii="Calibri"/>
                      <w:color w:val="404040"/>
                      <w:spacing w:val="-1"/>
                      <w:sz w:val="18"/>
                    </w:rPr>
                    <w:t>10.7</w:t>
                  </w:r>
                </w:p>
              </w:txbxContent>
            </v:textbox>
            <w10:wrap type="none"/>
          </v:shape>
        </w:pict>
      </w:r>
      <w:bookmarkStart w:name="_bookmark31" w:id="225"/>
      <w:bookmarkEnd w:id="225"/>
      <w:r>
        <w:rPr/>
      </w:r>
      <w:r>
        <w:rPr>
          <w:b/>
          <w:color w:val="44536A"/>
        </w:rPr>
        <w:t>Tableau 9:</w:t>
      </w:r>
      <w:r>
        <w:rPr>
          <w:color w:val="44536A"/>
        </w:rPr>
        <w:t>Fréquence d’évaluation de</w:t>
      </w:r>
      <w:r>
        <w:rPr>
          <w:color w:val="44536A"/>
          <w:spacing w:val="-21"/>
        </w:rPr>
        <w:t> </w:t>
      </w:r>
      <w:r>
        <w:rPr>
          <w:color w:val="44536A"/>
        </w:rPr>
        <w:t>l’expérience des</w:t>
      </w:r>
      <w:r>
        <w:rPr>
          <w:color w:val="44536A"/>
          <w:spacing w:val="-1"/>
        </w:rPr>
        <w:t> </w:t>
      </w:r>
      <w:r>
        <w:rPr>
          <w:color w:val="44536A"/>
        </w:rPr>
        <w:t>utilisateurs</w:t>
      </w:r>
    </w:p>
    <w:p>
      <w:pPr>
        <w:pStyle w:val="BodyText"/>
        <w:spacing w:line="237" w:lineRule="auto" w:before="92"/>
        <w:ind w:left="189"/>
      </w:pPr>
      <w:r>
        <w:rPr/>
        <w:br w:type="column"/>
      </w:r>
      <w:bookmarkStart w:name="_bookmark32" w:id="226"/>
      <w:bookmarkEnd w:id="226"/>
      <w:r>
        <w:rPr/>
      </w:r>
      <w:r>
        <w:rPr>
          <w:b/>
          <w:color w:val="44536A"/>
        </w:rPr>
        <w:t>Figure 10 : </w:t>
      </w:r>
      <w:r>
        <w:rPr>
          <w:color w:val="44536A"/>
        </w:rPr>
        <w:t>Fréquence d’évaluation de l’expérience des utilisateurs</w:t>
      </w:r>
    </w:p>
    <w:p>
      <w:pPr>
        <w:spacing w:after="0" w:line="237" w:lineRule="auto"/>
        <w:sectPr>
          <w:type w:val="continuous"/>
          <w:pgSz w:w="12240" w:h="15840"/>
          <w:pgMar w:top="3140" w:bottom="280" w:left="1000" w:right="820"/>
          <w:cols w:num="2" w:equalWidth="0">
            <w:col w:w="5589" w:space="40"/>
            <w:col w:w="4791"/>
          </w:cols>
        </w:sectPr>
      </w:pPr>
    </w:p>
    <w:p>
      <w:pPr>
        <w:pStyle w:val="BodyText"/>
        <w:spacing w:before="4"/>
        <w:rPr>
          <w:sz w:val="14"/>
        </w:rPr>
      </w:pPr>
    </w:p>
    <w:p>
      <w:pPr>
        <w:pStyle w:val="BodyText"/>
        <w:ind w:left="704"/>
        <w:rPr>
          <w:sz w:val="20"/>
        </w:rPr>
      </w:pPr>
      <w:r>
        <w:rPr>
          <w:sz w:val="20"/>
        </w:rPr>
        <w:drawing>
          <wp:inline distT="0" distB="0" distL="0" distR="0">
            <wp:extent cx="3202701" cy="1697355"/>
            <wp:effectExtent l="0" t="0" r="0" b="0"/>
            <wp:docPr id="19" name="image38.jpeg"/>
            <wp:cNvGraphicFramePr>
              <a:graphicFrameLocks noChangeAspect="1"/>
            </wp:cNvGraphicFramePr>
            <a:graphic>
              <a:graphicData uri="http://schemas.openxmlformats.org/drawingml/2006/picture">
                <pic:pic>
                  <pic:nvPicPr>
                    <pic:cNvPr id="20" name="image38.jpeg"/>
                    <pic:cNvPicPr/>
                  </pic:nvPicPr>
                  <pic:blipFill>
                    <a:blip r:embed="rId92" cstate="print"/>
                    <a:stretch>
                      <a:fillRect/>
                    </a:stretch>
                  </pic:blipFill>
                  <pic:spPr>
                    <a:xfrm>
                      <a:off x="0" y="0"/>
                      <a:ext cx="3202701" cy="1697355"/>
                    </a:xfrm>
                    <a:prstGeom prst="rect">
                      <a:avLst/>
                    </a:prstGeom>
                  </pic:spPr>
                </pic:pic>
              </a:graphicData>
            </a:graphic>
          </wp:inline>
        </w:drawing>
      </w:r>
      <w:r>
        <w:rPr>
          <w:sz w:val="20"/>
        </w:rPr>
      </w:r>
    </w:p>
    <w:p>
      <w:pPr>
        <w:pStyle w:val="BodyText"/>
        <w:spacing w:before="17"/>
        <w:ind w:left="825" w:right="445"/>
        <w:jc w:val="center"/>
      </w:pPr>
      <w:r>
        <w:rPr/>
        <w:pict>
          <v:group style="position:absolute;margin-left:340.424988pt;margin-top:-131.041870pt;width:215.6pt;height:130.35pt;mso-position-horizontal-relative:page;mso-position-vertical-relative:paragraph;z-index:251743232" coordorigin="6808,-2621" coordsize="4312,2607">
            <v:rect style="position:absolute;left:7569;top:-1673;width:164;height:165" filled="true" fillcolor="#5b9bd4" stroked="false">
              <v:fill type="solid"/>
            </v:rect>
            <v:line style="position:absolute" from="7776,-1528" to="7944,-1528" stroked="true" strokeweight="1.99pt" strokecolor="#ec7c30">
              <v:stroke dashstyle="solid"/>
            </v:line>
            <v:rect style="position:absolute;left:8304;top:-1716;width:168;height:208" filled="true" fillcolor="#5b9bd4" stroked="false">
              <v:fill type="solid"/>
            </v:rect>
            <v:line style="position:absolute" from="8515,-1533" to="8678,-1533" stroked="true" strokeweight="2.470pt" strokecolor="#ec7c30">
              <v:stroke dashstyle="solid"/>
            </v:line>
            <v:rect style="position:absolute;left:9043;top:-2345;width:164;height:837" filled="true" fillcolor="#5b9bd4" stroked="false">
              <v:fill type="solid"/>
            </v:rect>
            <v:rect style="position:absolute;left:9254;top:-1712;width:164;height:203" filled="true" fillcolor="#ec7c30" stroked="false">
              <v:fill type="solid"/>
            </v:rect>
            <v:rect style="position:absolute;left:9777;top:-2340;width:168;height:832" filled="true" fillcolor="#5b9bd4" stroked="false">
              <v:fill type="solid"/>
            </v:rect>
            <v:rect style="position:absolute;left:9988;top:-1712;width:168;height:203" filled="true" fillcolor="#ec7c30" stroked="false">
              <v:fill type="solid"/>
            </v:rect>
            <v:rect style="position:absolute;left:10516;top:-1779;width:164;height:271" filled="true" fillcolor="#5b9bd4" stroked="false">
              <v:fill type="solid"/>
            </v:rect>
            <v:line style="position:absolute" from="10728,-1540" to="10891,-1540" stroked="true" strokeweight="3.19pt" strokecolor="#ec7c30">
              <v:stroke dashstyle="solid"/>
            </v:line>
            <v:line style="position:absolute" from="7387,-1508" to="11073,-1508" stroked="true" strokeweight=".75pt" strokecolor="#d9d9d9">
              <v:stroke dashstyle="solid"/>
            </v:line>
            <v:shape style="position:absolute;left:7144;top:-1363;width:2206;height:849" type="#_x0000_t75" stroked="false">
              <v:imagedata r:id="rId93" o:title=""/>
            </v:shape>
            <v:shape style="position:absolute;left:9394;top:-1340;width:1353;height:834" type="#_x0000_t75" stroked="false">
              <v:imagedata r:id="rId94" o:title=""/>
            </v:shape>
            <v:rect style="position:absolute;left:8122;top:-325;width:99;height:99" filled="true" fillcolor="#5b9bd4" stroked="false">
              <v:fill type="solid"/>
            </v:rect>
            <v:rect style="position:absolute;left:9201;top:-325;width:99;height:99" filled="true" fillcolor="#ec7c30" stroked="false">
              <v:fill type="solid"/>
            </v:rect>
            <v:rect style="position:absolute;left:6816;top:-2614;width:4297;height:2592" filled="false" stroked="true" strokeweight=".75pt" strokecolor="#d9d9d9">
              <v:stroke dashstyle="solid"/>
            </v:rect>
            <v:shape style="position:absolute;left:6948;top:-2513;width:295;height:1106" type="#_x0000_t202" filled="false" stroked="false">
              <v:textbox inset="0,0,0,0">
                <w:txbxContent>
                  <w:p>
                    <w:pPr>
                      <w:spacing w:line="185" w:lineRule="exact" w:before="0"/>
                      <w:ind w:left="0" w:right="19" w:firstLine="0"/>
                      <w:jc w:val="right"/>
                      <w:rPr>
                        <w:rFonts w:ascii="Calibri"/>
                        <w:sz w:val="18"/>
                      </w:rPr>
                    </w:pPr>
                    <w:r>
                      <w:rPr>
                        <w:rFonts w:ascii="Calibri"/>
                        <w:color w:val="585858"/>
                        <w:spacing w:val="-2"/>
                        <w:sz w:val="18"/>
                      </w:rPr>
                      <w:t>150</w:t>
                    </w:r>
                  </w:p>
                  <w:p>
                    <w:pPr>
                      <w:spacing w:before="88"/>
                      <w:ind w:left="0" w:right="19" w:firstLine="0"/>
                      <w:jc w:val="right"/>
                      <w:rPr>
                        <w:rFonts w:ascii="Calibri"/>
                        <w:sz w:val="18"/>
                      </w:rPr>
                    </w:pPr>
                    <w:r>
                      <w:rPr>
                        <w:rFonts w:ascii="Calibri"/>
                        <w:color w:val="585858"/>
                        <w:spacing w:val="-2"/>
                        <w:sz w:val="18"/>
                      </w:rPr>
                      <w:t>100</w:t>
                    </w:r>
                  </w:p>
                  <w:p>
                    <w:pPr>
                      <w:spacing w:before="88"/>
                      <w:ind w:left="0" w:right="19" w:firstLine="0"/>
                      <w:jc w:val="right"/>
                      <w:rPr>
                        <w:rFonts w:ascii="Calibri"/>
                        <w:sz w:val="18"/>
                      </w:rPr>
                    </w:pPr>
                    <w:r>
                      <w:rPr>
                        <w:rFonts w:ascii="Calibri"/>
                        <w:color w:val="585858"/>
                        <w:spacing w:val="-2"/>
                        <w:sz w:val="18"/>
                      </w:rPr>
                      <w:t>50</w:t>
                    </w:r>
                  </w:p>
                  <w:p>
                    <w:pPr>
                      <w:spacing w:line="217" w:lineRule="exact" w:before="88"/>
                      <w:ind w:left="0" w:right="18" w:firstLine="0"/>
                      <w:jc w:val="right"/>
                      <w:rPr>
                        <w:rFonts w:ascii="Calibri"/>
                        <w:sz w:val="18"/>
                      </w:rPr>
                    </w:pPr>
                    <w:r>
                      <w:rPr>
                        <w:rFonts w:ascii="Calibri"/>
                        <w:color w:val="585858"/>
                        <w:w w:val="101"/>
                        <w:sz w:val="18"/>
                      </w:rPr>
                      <w:t>0</w:t>
                    </w:r>
                  </w:p>
                </w:txbxContent>
              </v:textbox>
              <w10:wrap type="none"/>
            </v:shape>
            <v:shape style="position:absolute;left:8266;top:-357;width:1665;height:183" type="#_x0000_t202" filled="false" stroked="false">
              <v:textbox inset="0,0,0,0">
                <w:txbxContent>
                  <w:p>
                    <w:pPr>
                      <w:tabs>
                        <w:tab w:pos="1079" w:val="left" w:leader="none"/>
                      </w:tabs>
                      <w:spacing w:line="182" w:lineRule="exact" w:before="0"/>
                      <w:ind w:left="0" w:right="0" w:firstLine="0"/>
                      <w:jc w:val="left"/>
                      <w:rPr>
                        <w:rFonts w:ascii="Calibri"/>
                        <w:sz w:val="18"/>
                      </w:rPr>
                    </w:pPr>
                    <w:r>
                      <w:rPr>
                        <w:rFonts w:ascii="Calibri"/>
                        <w:color w:val="585858"/>
                        <w:sz w:val="18"/>
                      </w:rPr>
                      <w:t>Frequency</w:t>
                      <w:tab/>
                      <w:t>Percent</w:t>
                    </w:r>
                  </w:p>
                </w:txbxContent>
              </v:textbox>
              <w10:wrap type="none"/>
            </v:shape>
            <w10:wrap type="none"/>
          </v:group>
        </w:pict>
      </w:r>
      <w:r>
        <w:rPr>
          <w:b/>
        </w:rPr>
        <w:t>Source : </w:t>
      </w:r>
      <w:r>
        <w:rPr/>
        <w:t>élaboré par nous-même sur la base des outputs SPSS</w:t>
      </w:r>
    </w:p>
    <w:p>
      <w:pPr>
        <w:pStyle w:val="BodyText"/>
        <w:spacing w:before="3"/>
        <w:rPr>
          <w:sz w:val="25"/>
        </w:rPr>
      </w:pPr>
    </w:p>
    <w:p>
      <w:pPr>
        <w:pStyle w:val="BodyText"/>
        <w:spacing w:line="362" w:lineRule="auto"/>
        <w:ind w:left="699" w:right="312" w:firstLine="720"/>
        <w:jc w:val="both"/>
      </w:pPr>
      <w:r>
        <w:rPr/>
        <w:t>La plupart des utilisateurs sont satisfaits de l’application BaridiMob. Parmi les 376 répondants 32,8% disent être satisfaits et 10,7% très satisfaits, 33% sont moyennement satisfaits, 8,3% sont peu satisfais et seulement 6,6 % ne sont pas satisfaits. Alors, on déduit que la majorité des utilisateurs sont moyennement satisfaits</w:t>
      </w:r>
    </w:p>
    <w:p>
      <w:pPr>
        <w:spacing w:after="0" w:line="362" w:lineRule="auto"/>
        <w:jc w:val="both"/>
        <w:sectPr>
          <w:type w:val="continuous"/>
          <w:pgSz w:w="12240" w:h="15840"/>
          <w:pgMar w:top="3140" w:bottom="280" w:left="1000" w:right="820"/>
        </w:sectPr>
      </w:pPr>
    </w:p>
    <w:p>
      <w:pPr>
        <w:pStyle w:val="BodyText"/>
        <w:spacing w:before="5"/>
        <w:rPr>
          <w:sz w:val="27"/>
        </w:rPr>
      </w:pPr>
    </w:p>
    <w:p>
      <w:pPr>
        <w:pStyle w:val="Heading5"/>
        <w:numPr>
          <w:ilvl w:val="0"/>
          <w:numId w:val="27"/>
        </w:numPr>
        <w:tabs>
          <w:tab w:pos="1488" w:val="left" w:leader="none"/>
        </w:tabs>
        <w:spacing w:line="240" w:lineRule="auto" w:before="90" w:after="0"/>
        <w:ind w:left="1487" w:right="0" w:hanging="361"/>
        <w:jc w:val="left"/>
      </w:pPr>
      <w:r>
        <w:rPr/>
        <w:t>Partie 03 : Évaluation du niveau de sécurité de l’application (06 questions)</w:t>
      </w:r>
      <w:r>
        <w:rPr>
          <w:spacing w:val="-1"/>
        </w:rPr>
        <w:t> </w:t>
      </w:r>
      <w:r>
        <w:rPr/>
        <w:t>:</w:t>
      </w:r>
    </w:p>
    <w:p>
      <w:pPr>
        <w:spacing w:before="204"/>
        <w:ind w:left="699" w:right="0" w:firstLine="0"/>
        <w:jc w:val="left"/>
        <w:rPr>
          <w:b/>
          <w:sz w:val="24"/>
        </w:rPr>
      </w:pPr>
      <w:r>
        <w:rPr>
          <w:b/>
          <w:sz w:val="24"/>
        </w:rPr>
        <w:t>Q9_Évaluation sécurité :</w:t>
      </w:r>
    </w:p>
    <w:p>
      <w:pPr>
        <w:spacing w:after="0"/>
        <w:jc w:val="left"/>
        <w:rPr>
          <w:sz w:val="24"/>
        </w:rPr>
        <w:sectPr>
          <w:pgSz w:w="12240" w:h="15840"/>
          <w:pgMar w:header="723" w:footer="850" w:top="1080" w:bottom="1040" w:left="1000" w:right="820"/>
        </w:sectPr>
      </w:pPr>
    </w:p>
    <w:p>
      <w:pPr>
        <w:spacing w:line="237" w:lineRule="auto" w:before="115"/>
        <w:ind w:left="704" w:right="0" w:firstLine="0"/>
        <w:jc w:val="left"/>
        <w:rPr>
          <w:sz w:val="24"/>
        </w:rPr>
      </w:pPr>
      <w:bookmarkStart w:name="_bookmark33" w:id="227"/>
      <w:bookmarkEnd w:id="227"/>
      <w:r>
        <w:rPr/>
      </w:r>
      <w:r>
        <w:rPr>
          <w:b/>
          <w:color w:val="44536A"/>
          <w:sz w:val="24"/>
        </w:rPr>
        <w:t>Tableau 10 : </w:t>
      </w:r>
      <w:r>
        <w:rPr>
          <w:color w:val="44536A"/>
          <w:sz w:val="24"/>
        </w:rPr>
        <w:t>Fréquence d’évaluation de la sécurité</w:t>
      </w:r>
    </w:p>
    <w:p>
      <w:pPr>
        <w:spacing w:line="237" w:lineRule="auto" w:before="120"/>
        <w:ind w:left="704" w:right="0" w:firstLine="0"/>
        <w:jc w:val="left"/>
        <w:rPr>
          <w:sz w:val="24"/>
        </w:rPr>
      </w:pPr>
      <w:r>
        <w:rPr/>
        <w:br w:type="column"/>
      </w:r>
      <w:bookmarkStart w:name="_bookmark34" w:id="228"/>
      <w:bookmarkEnd w:id="228"/>
      <w:r>
        <w:rPr/>
      </w:r>
      <w:r>
        <w:rPr>
          <w:b/>
          <w:color w:val="44536A"/>
          <w:sz w:val="24"/>
        </w:rPr>
        <w:t>Figure 11: </w:t>
      </w:r>
      <w:r>
        <w:rPr>
          <w:color w:val="44536A"/>
          <w:sz w:val="24"/>
        </w:rPr>
        <w:t>Fréquence d’évaluation de la sécurité</w:t>
      </w:r>
    </w:p>
    <w:p>
      <w:pPr>
        <w:spacing w:after="0" w:line="237" w:lineRule="auto"/>
        <w:jc w:val="left"/>
        <w:rPr>
          <w:sz w:val="24"/>
        </w:rPr>
        <w:sectPr>
          <w:type w:val="continuous"/>
          <w:pgSz w:w="12240" w:h="15840"/>
          <w:pgMar w:top="3140" w:bottom="280" w:left="1000" w:right="820"/>
          <w:cols w:num="2" w:equalWidth="0">
            <w:col w:w="5159" w:space="147"/>
            <w:col w:w="5114"/>
          </w:cols>
        </w:sectPr>
      </w:pPr>
    </w:p>
    <w:p>
      <w:pPr>
        <w:pStyle w:val="BodyText"/>
        <w:spacing w:before="8"/>
        <w:rPr>
          <w:sz w:val="10"/>
        </w:rPr>
      </w:pPr>
    </w:p>
    <w:p>
      <w:pPr>
        <w:tabs>
          <w:tab w:pos="6000" w:val="left" w:leader="none"/>
        </w:tabs>
        <w:spacing w:line="240" w:lineRule="auto"/>
        <w:ind w:left="671" w:right="0" w:firstLine="0"/>
        <w:rPr>
          <w:sz w:val="20"/>
        </w:rPr>
      </w:pPr>
      <w:r>
        <w:rPr>
          <w:sz w:val="20"/>
        </w:rPr>
        <w:drawing>
          <wp:inline distT="0" distB="0" distL="0" distR="0">
            <wp:extent cx="3252067" cy="1902714"/>
            <wp:effectExtent l="0" t="0" r="0" b="0"/>
            <wp:docPr id="21" name="image41.jpeg"/>
            <wp:cNvGraphicFramePr>
              <a:graphicFrameLocks noChangeAspect="1"/>
            </wp:cNvGraphicFramePr>
            <a:graphic>
              <a:graphicData uri="http://schemas.openxmlformats.org/drawingml/2006/picture">
                <pic:pic>
                  <pic:nvPicPr>
                    <pic:cNvPr id="22" name="image41.jpeg"/>
                    <pic:cNvPicPr/>
                  </pic:nvPicPr>
                  <pic:blipFill>
                    <a:blip r:embed="rId95" cstate="print"/>
                    <a:stretch>
                      <a:fillRect/>
                    </a:stretch>
                  </pic:blipFill>
                  <pic:spPr>
                    <a:xfrm>
                      <a:off x="0" y="0"/>
                      <a:ext cx="3252067" cy="1902714"/>
                    </a:xfrm>
                    <a:prstGeom prst="rect">
                      <a:avLst/>
                    </a:prstGeom>
                  </pic:spPr>
                </pic:pic>
              </a:graphicData>
            </a:graphic>
          </wp:inline>
        </w:drawing>
      </w:r>
      <w:r>
        <w:rPr>
          <w:sz w:val="20"/>
        </w:rPr>
      </w:r>
      <w:r>
        <w:rPr>
          <w:sz w:val="20"/>
        </w:rPr>
        <w:tab/>
      </w:r>
      <w:r>
        <w:rPr>
          <w:position w:val="7"/>
          <w:sz w:val="20"/>
        </w:rPr>
        <w:pict>
          <v:group style="width:203.55pt;height:142.75pt;mso-position-horizontal-relative:char;mso-position-vertical-relative:line" coordorigin="0,0" coordsize="4071,2855">
            <v:shape style="position:absolute;left:813;top:264;width:2374;height:1391" type="#_x0000_t75" stroked="false">
              <v:imagedata r:id="rId96" o:title=""/>
            </v:shape>
            <v:shape style="position:absolute;left:2805;top:1479;width:2;height:635" coordorigin="2805,1479" coordsize="0,635" path="m2805,1479l2805,2024,2805,2113e" filled="false" stroked="true" strokeweight=".75pt" strokecolor="#a6a6a6">
              <v:path arrowok="t"/>
              <v:stroke dashstyle="solid"/>
            </v:shape>
            <v:line style="position:absolute" from="2190,1638" to="2171,2285" stroked="true" strokeweight=".75pt" strokecolor="#a6a6a6">
              <v:stroke dashstyle="solid"/>
            </v:line>
            <v:shape style="position:absolute;left:893;top:1216;width:2;height:598" coordorigin="894,1217" coordsize="0,598" path="m894,1217l894,1726,894,1814e" filled="false" stroked="true" strokeweight=".75pt" strokecolor="#a6a6a6">
              <v:path arrowok="t"/>
              <v:stroke dashstyle="solid"/>
            </v:shape>
            <v:rect style="position:absolute;left:7;top:7;width:4056;height:2840" filled="false" stroked="true" strokeweight=".75pt" strokecolor="#d9d9d9">
              <v:stroke dashstyle="solid"/>
            </v:rect>
            <v:shape style="position:absolute;left:2921;top:1976;width:853;height:620" type="#_x0000_t202" filled="false" stroked="false">
              <v:textbox inset="0,0,0,0">
                <w:txbxContent>
                  <w:p>
                    <w:pPr>
                      <w:spacing w:line="183" w:lineRule="exact" w:before="0"/>
                      <w:ind w:left="0" w:right="0" w:firstLine="0"/>
                      <w:jc w:val="left"/>
                      <w:rPr>
                        <w:rFonts w:ascii="Calibri"/>
                        <w:sz w:val="18"/>
                      </w:rPr>
                    </w:pPr>
                    <w:r>
                      <w:rPr>
                        <w:rFonts w:ascii="Calibri"/>
                        <w:color w:val="404040"/>
                        <w:sz w:val="18"/>
                      </w:rPr>
                      <w:t>Pas du tout</w:t>
                    </w:r>
                  </w:p>
                  <w:p>
                    <w:pPr>
                      <w:spacing w:before="0"/>
                      <w:ind w:left="192" w:right="25" w:hanging="178"/>
                      <w:jc w:val="left"/>
                      <w:rPr>
                        <w:rFonts w:ascii="Calibri" w:hAnsi="Calibri"/>
                        <w:sz w:val="18"/>
                      </w:rPr>
                    </w:pPr>
                    <w:r>
                      <w:rPr>
                        <w:rFonts w:ascii="Calibri" w:hAnsi="Calibri"/>
                        <w:color w:val="404040"/>
                        <w:sz w:val="18"/>
                      </w:rPr>
                      <w:t>sécurisé(e) 6.91%</w:t>
                    </w:r>
                  </w:p>
                </w:txbxContent>
              </v:textbox>
              <w10:wrap type="none"/>
            </v:shape>
            <v:shape style="position:absolute;left:1680;top:2068;width:829;height:620" type="#_x0000_t202" filled="false" stroked="false">
              <v:textbox inset="0,0,0,0">
                <w:txbxContent>
                  <w:p>
                    <w:pPr>
                      <w:spacing w:line="183" w:lineRule="exact" w:before="0"/>
                      <w:ind w:left="0" w:right="25" w:firstLine="0"/>
                      <w:jc w:val="center"/>
                      <w:rPr>
                        <w:rFonts w:ascii="Calibri"/>
                        <w:sz w:val="18"/>
                      </w:rPr>
                    </w:pPr>
                    <w:r>
                      <w:rPr>
                        <w:rFonts w:ascii="Calibri"/>
                        <w:color w:val="404040"/>
                        <w:sz w:val="18"/>
                      </w:rPr>
                      <w:t>Peu</w:t>
                    </w:r>
                  </w:p>
                  <w:p>
                    <w:pPr>
                      <w:spacing w:before="0"/>
                      <w:ind w:left="0" w:right="18" w:firstLine="0"/>
                      <w:jc w:val="center"/>
                      <w:rPr>
                        <w:rFonts w:ascii="Calibri" w:hAnsi="Calibri"/>
                        <w:sz w:val="18"/>
                      </w:rPr>
                    </w:pPr>
                    <w:r>
                      <w:rPr>
                        <w:rFonts w:ascii="Calibri" w:hAnsi="Calibri"/>
                        <w:color w:val="404040"/>
                        <w:sz w:val="18"/>
                      </w:rPr>
                      <w:t>sécurisé(e) 9.57%</w:t>
                    </w:r>
                  </w:p>
                </w:txbxContent>
              </v:textbox>
              <w10:wrap type="none"/>
            </v:shape>
            <v:shape style="position:absolute;left:99;top:1741;width:871;height:840" type="#_x0000_t202" filled="false" stroked="false">
              <v:textbox inset="0,0,0,0">
                <w:txbxContent>
                  <w:p>
                    <w:pPr>
                      <w:spacing w:line="183" w:lineRule="exact" w:before="0"/>
                      <w:ind w:left="0" w:right="18" w:firstLine="0"/>
                      <w:jc w:val="center"/>
                      <w:rPr>
                        <w:rFonts w:ascii="Calibri"/>
                        <w:sz w:val="18"/>
                      </w:rPr>
                    </w:pPr>
                    <w:r>
                      <w:rPr>
                        <w:rFonts w:ascii="Calibri"/>
                        <w:color w:val="404040"/>
                        <w:sz w:val="18"/>
                      </w:rPr>
                      <w:t>Moyennem</w:t>
                    </w:r>
                  </w:p>
                  <w:p>
                    <w:pPr>
                      <w:spacing w:before="0"/>
                      <w:ind w:left="19" w:right="41" w:hanging="4"/>
                      <w:jc w:val="center"/>
                      <w:rPr>
                        <w:rFonts w:ascii="Calibri" w:hAnsi="Calibri"/>
                        <w:sz w:val="18"/>
                      </w:rPr>
                    </w:pPr>
                    <w:r>
                      <w:rPr>
                        <w:rFonts w:ascii="Calibri" w:hAnsi="Calibri"/>
                        <w:color w:val="404040"/>
                        <w:sz w:val="18"/>
                      </w:rPr>
                      <w:t>ent  sécurisé(e) 30.85%</w:t>
                    </w:r>
                  </w:p>
                </w:txbxContent>
              </v:textbox>
              <w10:wrap type="none"/>
            </v:shape>
            <v:shape style="position:absolute;left:3131;top:1050;width:829;height:620" type="#_x0000_t202" filled="false" stroked="false">
              <v:textbox inset="0,0,0,0">
                <w:txbxContent>
                  <w:p>
                    <w:pPr>
                      <w:spacing w:line="183" w:lineRule="exact" w:before="0"/>
                      <w:ind w:left="0" w:right="21" w:firstLine="0"/>
                      <w:jc w:val="center"/>
                      <w:rPr>
                        <w:rFonts w:ascii="Calibri" w:hAnsi="Calibri"/>
                        <w:sz w:val="18"/>
                      </w:rPr>
                    </w:pPr>
                    <w:r>
                      <w:rPr>
                        <w:rFonts w:ascii="Calibri" w:hAnsi="Calibri"/>
                        <w:color w:val="404040"/>
                        <w:sz w:val="18"/>
                      </w:rPr>
                      <w:t>Très</w:t>
                    </w:r>
                  </w:p>
                  <w:p>
                    <w:pPr>
                      <w:spacing w:before="0"/>
                      <w:ind w:left="-1" w:right="18" w:firstLine="0"/>
                      <w:jc w:val="center"/>
                      <w:rPr>
                        <w:rFonts w:ascii="Calibri" w:hAnsi="Calibri"/>
                        <w:sz w:val="18"/>
                      </w:rPr>
                    </w:pPr>
                    <w:r>
                      <w:rPr>
                        <w:rFonts w:ascii="Calibri" w:hAnsi="Calibri"/>
                        <w:color w:val="404040"/>
                        <w:sz w:val="18"/>
                      </w:rPr>
                      <w:t>sécurisé(e) 22.87%</w:t>
                    </w:r>
                  </w:p>
                </w:txbxContent>
              </v:textbox>
              <w10:wrap type="none"/>
            </v:shape>
            <v:shape style="position:absolute;left:89;top:262;width:829;height:399" type="#_x0000_t202" filled="false" stroked="false">
              <v:textbox inset="0,0,0,0">
                <w:txbxContent>
                  <w:p>
                    <w:pPr>
                      <w:spacing w:line="183" w:lineRule="exact" w:before="0"/>
                      <w:ind w:left="-1" w:right="18" w:firstLine="0"/>
                      <w:jc w:val="center"/>
                      <w:rPr>
                        <w:rFonts w:ascii="Calibri" w:hAnsi="Calibri"/>
                        <w:sz w:val="18"/>
                      </w:rPr>
                    </w:pPr>
                    <w:r>
                      <w:rPr>
                        <w:rFonts w:ascii="Calibri" w:hAnsi="Calibri"/>
                        <w:color w:val="404040"/>
                        <w:sz w:val="18"/>
                      </w:rPr>
                      <w:t>sécurisé(e)</w:t>
                    </w:r>
                  </w:p>
                  <w:p>
                    <w:pPr>
                      <w:spacing w:line="215" w:lineRule="exact" w:before="0"/>
                      <w:ind w:left="0" w:right="14" w:firstLine="0"/>
                      <w:jc w:val="center"/>
                      <w:rPr>
                        <w:rFonts w:ascii="Calibri"/>
                        <w:sz w:val="18"/>
                      </w:rPr>
                    </w:pPr>
                    <w:r>
                      <w:rPr>
                        <w:rFonts w:ascii="Calibri"/>
                        <w:color w:val="404040"/>
                        <w:sz w:val="18"/>
                      </w:rPr>
                      <w:t>29.79%</w:t>
                    </w:r>
                  </w:p>
                </w:txbxContent>
              </v:textbox>
              <w10:wrap type="none"/>
            </v:shape>
          </v:group>
        </w:pict>
      </w:r>
      <w:r>
        <w:rPr>
          <w:position w:val="7"/>
          <w:sz w:val="20"/>
        </w:rPr>
      </w:r>
    </w:p>
    <w:p>
      <w:pPr>
        <w:pStyle w:val="BodyText"/>
        <w:spacing w:before="9"/>
        <w:rPr>
          <w:sz w:val="16"/>
        </w:rPr>
      </w:pPr>
    </w:p>
    <w:p>
      <w:pPr>
        <w:pStyle w:val="BodyText"/>
        <w:spacing w:before="90"/>
        <w:ind w:left="2414"/>
        <w:jc w:val="both"/>
      </w:pPr>
      <w:r>
        <w:rPr>
          <w:b/>
        </w:rPr>
        <w:t>Source : </w:t>
      </w:r>
      <w:r>
        <w:rPr/>
        <w:t>élaboré par nous-même sur la base des outputs SPSS</w:t>
      </w:r>
    </w:p>
    <w:p>
      <w:pPr>
        <w:pStyle w:val="BodyText"/>
        <w:spacing w:line="360" w:lineRule="auto" w:before="200"/>
        <w:ind w:left="699" w:right="307" w:firstLine="360"/>
        <w:jc w:val="both"/>
      </w:pPr>
      <w:r>
        <w:rPr/>
        <w:t>Sur</w:t>
      </w:r>
      <w:r>
        <w:rPr>
          <w:spacing w:val="-5"/>
        </w:rPr>
        <w:t> </w:t>
      </w:r>
      <w:r>
        <w:rPr/>
        <w:t>un</w:t>
      </w:r>
      <w:r>
        <w:rPr>
          <w:spacing w:val="-15"/>
        </w:rPr>
        <w:t> </w:t>
      </w:r>
      <w:r>
        <w:rPr/>
        <w:t>total</w:t>
      </w:r>
      <w:r>
        <w:rPr>
          <w:spacing w:val="-15"/>
        </w:rPr>
        <w:t> </w:t>
      </w:r>
      <w:r>
        <w:rPr/>
        <w:t>de</w:t>
      </w:r>
      <w:r>
        <w:rPr>
          <w:spacing w:val="-8"/>
        </w:rPr>
        <w:t> </w:t>
      </w:r>
      <w:r>
        <w:rPr/>
        <w:t>376</w:t>
      </w:r>
      <w:r>
        <w:rPr>
          <w:spacing w:val="-11"/>
        </w:rPr>
        <w:t> </w:t>
      </w:r>
      <w:r>
        <w:rPr/>
        <w:t>réponses</w:t>
      </w:r>
      <w:r>
        <w:rPr>
          <w:spacing w:val="-9"/>
        </w:rPr>
        <w:t> </w:t>
      </w:r>
      <w:r>
        <w:rPr/>
        <w:t>valides,</w:t>
      </w:r>
      <w:r>
        <w:rPr>
          <w:spacing w:val="-5"/>
        </w:rPr>
        <w:t> </w:t>
      </w:r>
      <w:r>
        <w:rPr/>
        <w:t>une</w:t>
      </w:r>
      <w:r>
        <w:rPr>
          <w:spacing w:val="-2"/>
        </w:rPr>
        <w:t> </w:t>
      </w:r>
      <w:r>
        <w:rPr/>
        <w:t>majorité</w:t>
      </w:r>
      <w:r>
        <w:rPr>
          <w:spacing w:val="-8"/>
        </w:rPr>
        <w:t> </w:t>
      </w:r>
      <w:r>
        <w:rPr/>
        <w:t>relative</w:t>
      </w:r>
      <w:r>
        <w:rPr>
          <w:spacing w:val="-8"/>
        </w:rPr>
        <w:t> </w:t>
      </w:r>
      <w:r>
        <w:rPr/>
        <w:t>des</w:t>
      </w:r>
      <w:r>
        <w:rPr>
          <w:spacing w:val="-8"/>
        </w:rPr>
        <w:t> </w:t>
      </w:r>
      <w:r>
        <w:rPr/>
        <w:t>utilisateurs</w:t>
      </w:r>
      <w:r>
        <w:rPr>
          <w:spacing w:val="-9"/>
        </w:rPr>
        <w:t> </w:t>
      </w:r>
      <w:r>
        <w:rPr/>
        <w:t>déclarent</w:t>
      </w:r>
      <w:r>
        <w:rPr>
          <w:spacing w:val="-2"/>
        </w:rPr>
        <w:t> </w:t>
      </w:r>
      <w:r>
        <w:rPr/>
        <w:t>se</w:t>
      </w:r>
      <w:r>
        <w:rPr>
          <w:spacing w:val="-7"/>
        </w:rPr>
        <w:t> </w:t>
      </w:r>
      <w:r>
        <w:rPr>
          <w:spacing w:val="-3"/>
        </w:rPr>
        <w:t>sentir</w:t>
      </w:r>
      <w:r>
        <w:rPr>
          <w:spacing w:val="-5"/>
        </w:rPr>
        <w:t> </w:t>
      </w:r>
      <w:r>
        <w:rPr/>
        <w:t>en sécurité</w:t>
      </w:r>
      <w:r>
        <w:rPr>
          <w:spacing w:val="-10"/>
        </w:rPr>
        <w:t> </w:t>
      </w:r>
      <w:r>
        <w:rPr/>
        <w:t>lors</w:t>
      </w:r>
      <w:r>
        <w:rPr>
          <w:spacing w:val="-10"/>
        </w:rPr>
        <w:t> </w:t>
      </w:r>
      <w:r>
        <w:rPr/>
        <w:t>de</w:t>
      </w:r>
      <w:r>
        <w:rPr>
          <w:spacing w:val="-9"/>
        </w:rPr>
        <w:t> </w:t>
      </w:r>
      <w:r>
        <w:rPr/>
        <w:t>l’utilisation</w:t>
      </w:r>
      <w:r>
        <w:rPr>
          <w:spacing w:val="-12"/>
        </w:rPr>
        <w:t> </w:t>
      </w:r>
      <w:r>
        <w:rPr/>
        <w:t>de</w:t>
      </w:r>
      <w:r>
        <w:rPr>
          <w:spacing w:val="-9"/>
        </w:rPr>
        <w:t> </w:t>
      </w:r>
      <w:r>
        <w:rPr/>
        <w:t>l’application</w:t>
      </w:r>
      <w:r>
        <w:rPr>
          <w:spacing w:val="-13"/>
        </w:rPr>
        <w:t> </w:t>
      </w:r>
      <w:r>
        <w:rPr/>
        <w:t>BaridiMob.</w:t>
      </w:r>
      <w:r>
        <w:rPr>
          <w:spacing w:val="-7"/>
        </w:rPr>
        <w:t> </w:t>
      </w:r>
      <w:r>
        <w:rPr/>
        <w:t>En</w:t>
      </w:r>
      <w:r>
        <w:rPr>
          <w:spacing w:val="-12"/>
        </w:rPr>
        <w:t> </w:t>
      </w:r>
      <w:r>
        <w:rPr/>
        <w:t>effet,</w:t>
      </w:r>
      <w:r>
        <w:rPr>
          <w:spacing w:val="-7"/>
        </w:rPr>
        <w:t> </w:t>
      </w:r>
      <w:r>
        <w:rPr/>
        <w:t>29,8</w:t>
      </w:r>
      <w:r>
        <w:rPr>
          <w:spacing w:val="-12"/>
        </w:rPr>
        <w:t> </w:t>
      </w:r>
      <w:r>
        <w:rPr/>
        <w:t>%</w:t>
      </w:r>
      <w:r>
        <w:rPr>
          <w:spacing w:val="-11"/>
        </w:rPr>
        <w:t> </w:t>
      </w:r>
      <w:r>
        <w:rPr/>
        <w:t>se</w:t>
      </w:r>
      <w:r>
        <w:rPr>
          <w:spacing w:val="-7"/>
        </w:rPr>
        <w:t> </w:t>
      </w:r>
      <w:r>
        <w:rPr/>
        <w:t>disent</w:t>
      </w:r>
      <w:r>
        <w:rPr>
          <w:spacing w:val="-3"/>
        </w:rPr>
        <w:t> </w:t>
      </w:r>
      <w:r>
        <w:rPr/>
        <w:t>sécurisés</w:t>
      </w:r>
      <w:r>
        <w:rPr>
          <w:spacing w:val="-9"/>
        </w:rPr>
        <w:t> </w:t>
      </w:r>
      <w:r>
        <w:rPr/>
        <w:t>et</w:t>
      </w:r>
      <w:r>
        <w:rPr>
          <w:spacing w:val="-4"/>
        </w:rPr>
        <w:t> </w:t>
      </w:r>
      <w:r>
        <w:rPr/>
        <w:t>22,9</w:t>
      </w:r>
    </w:p>
    <w:p>
      <w:pPr>
        <w:pStyle w:val="BodyText"/>
        <w:spacing w:line="362" w:lineRule="auto"/>
        <w:ind w:left="699" w:right="314"/>
        <w:jc w:val="both"/>
      </w:pPr>
      <w:r>
        <w:rPr/>
        <w:t>% très sécurisés, ce qui représente ensemble 52,7 % des répondants. Par contre, 6,9 % des utilisateurs affirment </w:t>
      </w:r>
      <w:r>
        <w:rPr>
          <w:spacing w:val="-3"/>
        </w:rPr>
        <w:t>ne </w:t>
      </w:r>
      <w:r>
        <w:rPr/>
        <w:t>pas du tout se sentir en sécurité et 9,6 % se sentent peu sécurisés, </w:t>
      </w:r>
      <w:r>
        <w:rPr>
          <w:spacing w:val="-3"/>
        </w:rPr>
        <w:t>soit </w:t>
      </w:r>
      <w:r>
        <w:rPr/>
        <w:t>un total</w:t>
      </w:r>
      <w:r>
        <w:rPr>
          <w:spacing w:val="-20"/>
        </w:rPr>
        <w:t> </w:t>
      </w:r>
      <w:r>
        <w:rPr/>
        <w:t>de</w:t>
      </w:r>
      <w:r>
        <w:rPr>
          <w:spacing w:val="-12"/>
        </w:rPr>
        <w:t> </w:t>
      </w:r>
      <w:r>
        <w:rPr/>
        <w:t>16,5</w:t>
      </w:r>
      <w:r>
        <w:rPr>
          <w:spacing w:val="-20"/>
        </w:rPr>
        <w:t> </w:t>
      </w:r>
      <w:r>
        <w:rPr/>
        <w:t>%</w:t>
      </w:r>
      <w:r>
        <w:rPr>
          <w:spacing w:val="-14"/>
        </w:rPr>
        <w:t> </w:t>
      </w:r>
      <w:r>
        <w:rPr/>
        <w:t>exprimant</w:t>
      </w:r>
      <w:r>
        <w:rPr>
          <w:spacing w:val="-7"/>
        </w:rPr>
        <w:t> </w:t>
      </w:r>
      <w:r>
        <w:rPr/>
        <w:t>un</w:t>
      </w:r>
      <w:r>
        <w:rPr>
          <w:spacing w:val="-15"/>
        </w:rPr>
        <w:t> </w:t>
      </w:r>
      <w:r>
        <w:rPr/>
        <w:t>sentiment</w:t>
      </w:r>
      <w:r>
        <w:rPr>
          <w:spacing w:val="-6"/>
        </w:rPr>
        <w:t> </w:t>
      </w:r>
      <w:r>
        <w:rPr/>
        <w:t>d’insécurité.</w:t>
      </w:r>
      <w:r>
        <w:rPr>
          <w:spacing w:val="-10"/>
        </w:rPr>
        <w:t> </w:t>
      </w:r>
      <w:r>
        <w:rPr/>
        <w:t>Les</w:t>
      </w:r>
      <w:r>
        <w:rPr>
          <w:spacing w:val="-13"/>
        </w:rPr>
        <w:t> </w:t>
      </w:r>
      <w:r>
        <w:rPr/>
        <w:t>30,9</w:t>
      </w:r>
      <w:r>
        <w:rPr>
          <w:spacing w:val="-15"/>
        </w:rPr>
        <w:t> </w:t>
      </w:r>
      <w:r>
        <w:rPr/>
        <w:t>%</w:t>
      </w:r>
      <w:r>
        <w:rPr>
          <w:spacing w:val="-14"/>
        </w:rPr>
        <w:t> </w:t>
      </w:r>
      <w:r>
        <w:rPr/>
        <w:t>des</w:t>
      </w:r>
      <w:r>
        <w:rPr>
          <w:spacing w:val="-18"/>
        </w:rPr>
        <w:t> </w:t>
      </w:r>
      <w:r>
        <w:rPr/>
        <w:t>répondants</w:t>
      </w:r>
      <w:r>
        <w:rPr>
          <w:spacing w:val="-13"/>
        </w:rPr>
        <w:t> </w:t>
      </w:r>
      <w:r>
        <w:rPr/>
        <w:t>se</w:t>
      </w:r>
      <w:r>
        <w:rPr>
          <w:spacing w:val="-12"/>
        </w:rPr>
        <w:t> </w:t>
      </w:r>
      <w:r>
        <w:rPr/>
        <w:t>situent</w:t>
      </w:r>
      <w:r>
        <w:rPr>
          <w:spacing w:val="-7"/>
        </w:rPr>
        <w:t> </w:t>
      </w:r>
      <w:r>
        <w:rPr/>
        <w:t>au</w:t>
      </w:r>
      <w:r>
        <w:rPr>
          <w:spacing w:val="-11"/>
        </w:rPr>
        <w:t> </w:t>
      </w:r>
      <w:r>
        <w:rPr>
          <w:spacing w:val="-3"/>
        </w:rPr>
        <w:t>milieu </w:t>
      </w:r>
      <w:r>
        <w:rPr/>
        <w:t>de l’échelle, en se déclarant moyennement</w:t>
      </w:r>
      <w:r>
        <w:rPr>
          <w:spacing w:val="18"/>
        </w:rPr>
        <w:t> </w:t>
      </w:r>
      <w:r>
        <w:rPr/>
        <w:t>sécurisés.</w:t>
      </w:r>
    </w:p>
    <w:p>
      <w:pPr>
        <w:spacing w:line="405" w:lineRule="auto" w:before="160"/>
        <w:ind w:left="699" w:right="1810" w:firstLine="0"/>
        <w:jc w:val="both"/>
        <w:rPr>
          <w:sz w:val="24"/>
        </w:rPr>
      </w:pPr>
      <w:r>
        <w:rPr>
          <w:b/>
          <w:sz w:val="24"/>
        </w:rPr>
        <w:t>Q10_Si vous aviez des doutes sur la sécurité de vos données, que feriez-vous ?</w:t>
      </w:r>
      <w:bookmarkStart w:name="_bookmark35" w:id="229"/>
      <w:bookmarkEnd w:id="229"/>
      <w:r>
        <w:rPr>
          <w:b/>
          <w:sz w:val="24"/>
        </w:rPr>
      </w:r>
      <w:r>
        <w:rPr>
          <w:b/>
          <w:sz w:val="24"/>
        </w:rPr>
        <w:t> </w:t>
      </w:r>
      <w:r>
        <w:rPr>
          <w:b/>
          <w:color w:val="44536A"/>
          <w:sz w:val="24"/>
        </w:rPr>
        <w:t>Tableau 11 : </w:t>
      </w:r>
      <w:r>
        <w:rPr>
          <w:color w:val="44536A"/>
          <w:sz w:val="24"/>
        </w:rPr>
        <w:t>Comportements adoptés en cas de doute sur la sécurité des données</w:t>
      </w:r>
    </w:p>
    <w:tbl>
      <w:tblPr>
        <w:tblW w:w="0" w:type="auto"/>
        <w:jc w:val="left"/>
        <w:tblInd w:w="72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6757"/>
        <w:gridCol w:w="620"/>
        <w:gridCol w:w="721"/>
        <w:gridCol w:w="1302"/>
      </w:tblGrid>
      <w:tr>
        <w:trPr>
          <w:trHeight w:val="291" w:hRule="atLeast"/>
        </w:trPr>
        <w:tc>
          <w:tcPr>
            <w:tcW w:w="6757" w:type="dxa"/>
          </w:tcPr>
          <w:p>
            <w:pPr>
              <w:pStyle w:val="TableParagraph"/>
              <w:jc w:val="left"/>
              <w:rPr>
                <w:sz w:val="20"/>
              </w:rPr>
            </w:pPr>
          </w:p>
        </w:tc>
        <w:tc>
          <w:tcPr>
            <w:tcW w:w="620" w:type="dxa"/>
          </w:tcPr>
          <w:p>
            <w:pPr>
              <w:pStyle w:val="TableParagraph"/>
              <w:spacing w:line="206" w:lineRule="exact"/>
              <w:ind w:left="36"/>
              <w:rPr>
                <w:sz w:val="18"/>
              </w:rPr>
            </w:pPr>
            <w:r>
              <w:rPr>
                <w:w w:val="101"/>
                <w:sz w:val="18"/>
              </w:rPr>
              <w:t>n</w:t>
            </w:r>
          </w:p>
        </w:tc>
        <w:tc>
          <w:tcPr>
            <w:tcW w:w="721" w:type="dxa"/>
          </w:tcPr>
          <w:p>
            <w:pPr>
              <w:pStyle w:val="TableParagraph"/>
              <w:spacing w:line="206" w:lineRule="exact"/>
              <w:ind w:left="33"/>
              <w:rPr>
                <w:sz w:val="18"/>
              </w:rPr>
            </w:pPr>
            <w:r>
              <w:rPr>
                <w:w w:val="101"/>
                <w:sz w:val="18"/>
              </w:rPr>
              <w:t>%</w:t>
            </w:r>
          </w:p>
        </w:tc>
        <w:tc>
          <w:tcPr>
            <w:tcW w:w="1302" w:type="dxa"/>
          </w:tcPr>
          <w:p>
            <w:pPr>
              <w:pStyle w:val="TableParagraph"/>
              <w:spacing w:line="206" w:lineRule="exact"/>
              <w:ind w:left="359" w:right="328"/>
              <w:rPr>
                <w:sz w:val="18"/>
              </w:rPr>
            </w:pPr>
            <w:r>
              <w:rPr>
                <w:sz w:val="18"/>
              </w:rPr>
              <w:t>Cum %</w:t>
            </w:r>
          </w:p>
        </w:tc>
      </w:tr>
      <w:tr>
        <w:trPr>
          <w:trHeight w:val="275" w:hRule="atLeast"/>
        </w:trPr>
        <w:tc>
          <w:tcPr>
            <w:tcW w:w="6757" w:type="dxa"/>
            <w:tcBorders>
              <w:bottom w:val="nil"/>
            </w:tcBorders>
          </w:tcPr>
          <w:p>
            <w:pPr>
              <w:pStyle w:val="TableParagraph"/>
              <w:spacing w:line="249" w:lineRule="exact"/>
              <w:ind w:left="109"/>
              <w:jc w:val="left"/>
              <w:rPr>
                <w:sz w:val="22"/>
              </w:rPr>
            </w:pPr>
            <w:r>
              <w:rPr>
                <w:sz w:val="22"/>
              </w:rPr>
              <w:t>Je réduirais mon utilisation de l’application</w:t>
            </w:r>
          </w:p>
        </w:tc>
        <w:tc>
          <w:tcPr>
            <w:tcW w:w="620" w:type="dxa"/>
            <w:tcBorders>
              <w:bottom w:val="nil"/>
            </w:tcBorders>
          </w:tcPr>
          <w:p>
            <w:pPr>
              <w:pStyle w:val="TableParagraph"/>
              <w:spacing w:line="249" w:lineRule="exact"/>
              <w:ind w:left="123" w:right="92"/>
              <w:rPr>
                <w:sz w:val="22"/>
              </w:rPr>
            </w:pPr>
            <w:r>
              <w:rPr>
                <w:sz w:val="22"/>
              </w:rPr>
              <w:t>65</w:t>
            </w:r>
          </w:p>
        </w:tc>
        <w:tc>
          <w:tcPr>
            <w:tcW w:w="721" w:type="dxa"/>
            <w:tcBorders>
              <w:bottom w:val="nil"/>
            </w:tcBorders>
          </w:tcPr>
          <w:p>
            <w:pPr>
              <w:pStyle w:val="TableParagraph"/>
              <w:spacing w:line="249" w:lineRule="exact"/>
              <w:ind w:right="134"/>
              <w:jc w:val="right"/>
              <w:rPr>
                <w:sz w:val="22"/>
              </w:rPr>
            </w:pPr>
            <w:r>
              <w:rPr>
                <w:sz w:val="22"/>
              </w:rPr>
              <w:t>15,8</w:t>
            </w:r>
          </w:p>
        </w:tc>
        <w:tc>
          <w:tcPr>
            <w:tcW w:w="1302" w:type="dxa"/>
            <w:tcBorders>
              <w:bottom w:val="nil"/>
            </w:tcBorders>
          </w:tcPr>
          <w:p>
            <w:pPr>
              <w:pStyle w:val="TableParagraph"/>
              <w:spacing w:line="249" w:lineRule="exact"/>
              <w:ind w:left="359" w:right="326"/>
              <w:rPr>
                <w:sz w:val="22"/>
              </w:rPr>
            </w:pPr>
            <w:r>
              <w:rPr>
                <w:sz w:val="22"/>
              </w:rPr>
              <w:t>17,3</w:t>
            </w:r>
          </w:p>
        </w:tc>
      </w:tr>
      <w:tr>
        <w:trPr>
          <w:trHeight w:val="295" w:hRule="atLeast"/>
        </w:trPr>
        <w:tc>
          <w:tcPr>
            <w:tcW w:w="6757" w:type="dxa"/>
            <w:tcBorders>
              <w:top w:val="nil"/>
              <w:bottom w:val="nil"/>
            </w:tcBorders>
          </w:tcPr>
          <w:p>
            <w:pPr>
              <w:pStyle w:val="TableParagraph"/>
              <w:spacing w:before="18"/>
              <w:ind w:left="109"/>
              <w:jc w:val="left"/>
              <w:rPr>
                <w:sz w:val="22"/>
              </w:rPr>
            </w:pPr>
            <w:r>
              <w:rPr>
                <w:sz w:val="22"/>
              </w:rPr>
              <w:t>J’éviterais de faire des transactions sensibles (ex. : gros montants)</w:t>
            </w:r>
          </w:p>
        </w:tc>
        <w:tc>
          <w:tcPr>
            <w:tcW w:w="620" w:type="dxa"/>
            <w:tcBorders>
              <w:top w:val="nil"/>
              <w:bottom w:val="nil"/>
            </w:tcBorders>
          </w:tcPr>
          <w:p>
            <w:pPr>
              <w:pStyle w:val="TableParagraph"/>
              <w:spacing w:before="18"/>
              <w:ind w:left="123" w:right="96"/>
              <w:rPr>
                <w:sz w:val="22"/>
              </w:rPr>
            </w:pPr>
            <w:r>
              <w:rPr>
                <w:sz w:val="22"/>
              </w:rPr>
              <w:t>142</w:t>
            </w:r>
          </w:p>
        </w:tc>
        <w:tc>
          <w:tcPr>
            <w:tcW w:w="721" w:type="dxa"/>
            <w:tcBorders>
              <w:top w:val="nil"/>
              <w:bottom w:val="nil"/>
            </w:tcBorders>
          </w:tcPr>
          <w:p>
            <w:pPr>
              <w:pStyle w:val="TableParagraph"/>
              <w:spacing w:before="18"/>
              <w:ind w:right="134"/>
              <w:jc w:val="right"/>
              <w:rPr>
                <w:sz w:val="22"/>
              </w:rPr>
            </w:pPr>
            <w:r>
              <w:rPr>
                <w:sz w:val="22"/>
              </w:rPr>
              <w:t>34,5</w:t>
            </w:r>
          </w:p>
        </w:tc>
        <w:tc>
          <w:tcPr>
            <w:tcW w:w="1302" w:type="dxa"/>
            <w:tcBorders>
              <w:top w:val="nil"/>
              <w:bottom w:val="nil"/>
            </w:tcBorders>
          </w:tcPr>
          <w:p>
            <w:pPr>
              <w:pStyle w:val="TableParagraph"/>
              <w:spacing w:before="18"/>
              <w:ind w:left="359" w:right="326"/>
              <w:rPr>
                <w:sz w:val="22"/>
              </w:rPr>
            </w:pPr>
            <w:r>
              <w:rPr>
                <w:sz w:val="22"/>
              </w:rPr>
              <w:t>55,1</w:t>
            </w:r>
          </w:p>
        </w:tc>
      </w:tr>
      <w:tr>
        <w:trPr>
          <w:trHeight w:val="295" w:hRule="atLeast"/>
        </w:trPr>
        <w:tc>
          <w:tcPr>
            <w:tcW w:w="6757" w:type="dxa"/>
            <w:tcBorders>
              <w:top w:val="nil"/>
              <w:bottom w:val="nil"/>
            </w:tcBorders>
          </w:tcPr>
          <w:p>
            <w:pPr>
              <w:pStyle w:val="TableParagraph"/>
              <w:spacing w:before="15"/>
              <w:ind w:left="109"/>
              <w:jc w:val="left"/>
              <w:rPr>
                <w:sz w:val="22"/>
              </w:rPr>
            </w:pPr>
            <w:r>
              <w:rPr>
                <w:sz w:val="22"/>
              </w:rPr>
              <w:t>Je bloque ma carte ou bien l'application sur le GAB</w:t>
            </w:r>
          </w:p>
        </w:tc>
        <w:tc>
          <w:tcPr>
            <w:tcW w:w="620" w:type="dxa"/>
            <w:tcBorders>
              <w:top w:val="nil"/>
              <w:bottom w:val="nil"/>
            </w:tcBorders>
          </w:tcPr>
          <w:p>
            <w:pPr>
              <w:pStyle w:val="TableParagraph"/>
              <w:spacing w:before="15"/>
              <w:ind w:left="123" w:right="92"/>
              <w:rPr>
                <w:sz w:val="22"/>
              </w:rPr>
            </w:pPr>
            <w:r>
              <w:rPr>
                <w:sz w:val="22"/>
              </w:rPr>
              <w:t>37</w:t>
            </w:r>
          </w:p>
        </w:tc>
        <w:tc>
          <w:tcPr>
            <w:tcW w:w="721" w:type="dxa"/>
            <w:tcBorders>
              <w:top w:val="nil"/>
              <w:bottom w:val="nil"/>
            </w:tcBorders>
          </w:tcPr>
          <w:p>
            <w:pPr>
              <w:pStyle w:val="TableParagraph"/>
              <w:spacing w:before="15"/>
              <w:ind w:left="223"/>
              <w:jc w:val="left"/>
              <w:rPr>
                <w:sz w:val="22"/>
              </w:rPr>
            </w:pPr>
            <w:r>
              <w:rPr>
                <w:sz w:val="22"/>
              </w:rPr>
              <w:t>9,0</w:t>
            </w:r>
          </w:p>
        </w:tc>
        <w:tc>
          <w:tcPr>
            <w:tcW w:w="1302" w:type="dxa"/>
            <w:tcBorders>
              <w:top w:val="nil"/>
              <w:bottom w:val="nil"/>
            </w:tcBorders>
          </w:tcPr>
          <w:p>
            <w:pPr>
              <w:pStyle w:val="TableParagraph"/>
              <w:spacing w:before="15"/>
              <w:ind w:left="359" w:right="326"/>
              <w:rPr>
                <w:sz w:val="22"/>
              </w:rPr>
            </w:pPr>
            <w:r>
              <w:rPr>
                <w:sz w:val="22"/>
              </w:rPr>
              <w:t>64,9</w:t>
            </w:r>
          </w:p>
        </w:tc>
      </w:tr>
      <w:tr>
        <w:trPr>
          <w:trHeight w:val="297" w:hRule="atLeast"/>
        </w:trPr>
        <w:tc>
          <w:tcPr>
            <w:tcW w:w="6757" w:type="dxa"/>
            <w:tcBorders>
              <w:top w:val="nil"/>
              <w:bottom w:val="nil"/>
            </w:tcBorders>
          </w:tcPr>
          <w:p>
            <w:pPr>
              <w:pStyle w:val="TableParagraph"/>
              <w:spacing w:before="18"/>
              <w:ind w:left="109"/>
              <w:jc w:val="left"/>
              <w:rPr>
                <w:sz w:val="22"/>
              </w:rPr>
            </w:pPr>
            <w:r>
              <w:rPr>
                <w:sz w:val="22"/>
              </w:rPr>
              <w:t>J’arrêterais complètement d’utiliser l’application</w:t>
            </w:r>
          </w:p>
        </w:tc>
        <w:tc>
          <w:tcPr>
            <w:tcW w:w="620" w:type="dxa"/>
            <w:tcBorders>
              <w:top w:val="nil"/>
              <w:bottom w:val="nil"/>
            </w:tcBorders>
          </w:tcPr>
          <w:p>
            <w:pPr>
              <w:pStyle w:val="TableParagraph"/>
              <w:spacing w:before="18"/>
              <w:ind w:left="123" w:right="92"/>
              <w:rPr>
                <w:sz w:val="22"/>
              </w:rPr>
            </w:pPr>
            <w:r>
              <w:rPr>
                <w:sz w:val="22"/>
              </w:rPr>
              <w:t>96</w:t>
            </w:r>
          </w:p>
        </w:tc>
        <w:tc>
          <w:tcPr>
            <w:tcW w:w="721" w:type="dxa"/>
            <w:tcBorders>
              <w:top w:val="nil"/>
              <w:bottom w:val="nil"/>
            </w:tcBorders>
          </w:tcPr>
          <w:p>
            <w:pPr>
              <w:pStyle w:val="TableParagraph"/>
              <w:spacing w:before="18"/>
              <w:ind w:right="134"/>
              <w:jc w:val="right"/>
              <w:rPr>
                <w:sz w:val="22"/>
              </w:rPr>
            </w:pPr>
            <w:r>
              <w:rPr>
                <w:sz w:val="22"/>
              </w:rPr>
              <w:t>23,3</w:t>
            </w:r>
          </w:p>
        </w:tc>
        <w:tc>
          <w:tcPr>
            <w:tcW w:w="1302" w:type="dxa"/>
            <w:tcBorders>
              <w:top w:val="nil"/>
              <w:bottom w:val="nil"/>
            </w:tcBorders>
          </w:tcPr>
          <w:p>
            <w:pPr>
              <w:pStyle w:val="TableParagraph"/>
              <w:spacing w:before="18"/>
              <w:ind w:left="359" w:right="326"/>
              <w:rPr>
                <w:sz w:val="22"/>
              </w:rPr>
            </w:pPr>
            <w:r>
              <w:rPr>
                <w:sz w:val="22"/>
              </w:rPr>
              <w:t>90,4</w:t>
            </w:r>
          </w:p>
        </w:tc>
      </w:tr>
      <w:tr>
        <w:trPr>
          <w:trHeight w:val="295" w:hRule="atLeast"/>
        </w:trPr>
        <w:tc>
          <w:tcPr>
            <w:tcW w:w="6757" w:type="dxa"/>
            <w:tcBorders>
              <w:top w:val="nil"/>
              <w:bottom w:val="nil"/>
            </w:tcBorders>
          </w:tcPr>
          <w:p>
            <w:pPr>
              <w:pStyle w:val="TableParagraph"/>
              <w:spacing w:before="18"/>
              <w:ind w:left="109"/>
              <w:jc w:val="left"/>
              <w:rPr>
                <w:sz w:val="22"/>
              </w:rPr>
            </w:pPr>
            <w:r>
              <w:rPr>
                <w:sz w:val="22"/>
              </w:rPr>
              <w:t>Je continuerais à utiliser l’application sans problème</w:t>
            </w:r>
          </w:p>
        </w:tc>
        <w:tc>
          <w:tcPr>
            <w:tcW w:w="620" w:type="dxa"/>
            <w:tcBorders>
              <w:top w:val="nil"/>
              <w:bottom w:val="nil"/>
            </w:tcBorders>
          </w:tcPr>
          <w:p>
            <w:pPr>
              <w:pStyle w:val="TableParagraph"/>
              <w:spacing w:before="18"/>
              <w:ind w:left="123" w:right="92"/>
              <w:rPr>
                <w:sz w:val="22"/>
              </w:rPr>
            </w:pPr>
            <w:r>
              <w:rPr>
                <w:sz w:val="22"/>
              </w:rPr>
              <w:t>36</w:t>
            </w:r>
          </w:p>
        </w:tc>
        <w:tc>
          <w:tcPr>
            <w:tcW w:w="721" w:type="dxa"/>
            <w:tcBorders>
              <w:top w:val="nil"/>
              <w:bottom w:val="nil"/>
            </w:tcBorders>
          </w:tcPr>
          <w:p>
            <w:pPr>
              <w:pStyle w:val="TableParagraph"/>
              <w:spacing w:before="18"/>
              <w:ind w:left="223"/>
              <w:jc w:val="left"/>
              <w:rPr>
                <w:sz w:val="22"/>
              </w:rPr>
            </w:pPr>
            <w:r>
              <w:rPr>
                <w:sz w:val="22"/>
              </w:rPr>
              <w:t>8,7</w:t>
            </w:r>
          </w:p>
        </w:tc>
        <w:tc>
          <w:tcPr>
            <w:tcW w:w="1302" w:type="dxa"/>
            <w:tcBorders>
              <w:top w:val="nil"/>
              <w:bottom w:val="nil"/>
            </w:tcBorders>
          </w:tcPr>
          <w:p>
            <w:pPr>
              <w:pStyle w:val="TableParagraph"/>
              <w:spacing w:before="18"/>
              <w:ind w:left="356" w:right="328"/>
              <w:rPr>
                <w:sz w:val="22"/>
              </w:rPr>
            </w:pPr>
            <w:r>
              <w:rPr>
                <w:sz w:val="22"/>
              </w:rPr>
              <w:t>100,0</w:t>
            </w:r>
          </w:p>
        </w:tc>
      </w:tr>
      <w:tr>
        <w:trPr>
          <w:trHeight w:val="311" w:hRule="atLeast"/>
        </w:trPr>
        <w:tc>
          <w:tcPr>
            <w:tcW w:w="6757" w:type="dxa"/>
            <w:tcBorders>
              <w:top w:val="nil"/>
            </w:tcBorders>
          </w:tcPr>
          <w:p>
            <w:pPr>
              <w:pStyle w:val="TableParagraph"/>
              <w:spacing w:before="15"/>
              <w:ind w:left="109"/>
              <w:jc w:val="left"/>
              <w:rPr>
                <w:sz w:val="22"/>
              </w:rPr>
            </w:pPr>
            <w:r>
              <w:rPr>
                <w:sz w:val="22"/>
              </w:rPr>
              <w:t>System</w:t>
            </w:r>
          </w:p>
        </w:tc>
        <w:tc>
          <w:tcPr>
            <w:tcW w:w="620" w:type="dxa"/>
            <w:tcBorders>
              <w:top w:val="nil"/>
            </w:tcBorders>
          </w:tcPr>
          <w:p>
            <w:pPr>
              <w:pStyle w:val="TableParagraph"/>
              <w:spacing w:before="15"/>
              <w:ind w:left="123" w:right="92"/>
              <w:rPr>
                <w:sz w:val="22"/>
              </w:rPr>
            </w:pPr>
            <w:r>
              <w:rPr>
                <w:sz w:val="22"/>
              </w:rPr>
              <w:t>36</w:t>
            </w:r>
          </w:p>
        </w:tc>
        <w:tc>
          <w:tcPr>
            <w:tcW w:w="721" w:type="dxa"/>
            <w:tcBorders>
              <w:top w:val="nil"/>
            </w:tcBorders>
          </w:tcPr>
          <w:p>
            <w:pPr>
              <w:pStyle w:val="TableParagraph"/>
              <w:spacing w:before="15"/>
              <w:ind w:left="223"/>
              <w:jc w:val="left"/>
              <w:rPr>
                <w:sz w:val="22"/>
              </w:rPr>
            </w:pPr>
            <w:r>
              <w:rPr>
                <w:sz w:val="22"/>
              </w:rPr>
              <w:t>8,7</w:t>
            </w:r>
          </w:p>
        </w:tc>
        <w:tc>
          <w:tcPr>
            <w:tcW w:w="1302" w:type="dxa"/>
            <w:tcBorders>
              <w:top w:val="nil"/>
            </w:tcBorders>
          </w:tcPr>
          <w:p>
            <w:pPr>
              <w:pStyle w:val="TableParagraph"/>
              <w:jc w:val="left"/>
              <w:rPr>
                <w:sz w:val="22"/>
              </w:rPr>
            </w:pPr>
          </w:p>
        </w:tc>
      </w:tr>
      <w:tr>
        <w:trPr>
          <w:trHeight w:val="291" w:hRule="atLeast"/>
        </w:trPr>
        <w:tc>
          <w:tcPr>
            <w:tcW w:w="6757" w:type="dxa"/>
          </w:tcPr>
          <w:p>
            <w:pPr>
              <w:pStyle w:val="TableParagraph"/>
              <w:spacing w:line="249" w:lineRule="exact"/>
              <w:ind w:left="3126" w:right="3095"/>
              <w:rPr>
                <w:sz w:val="22"/>
              </w:rPr>
            </w:pPr>
            <w:r>
              <w:rPr>
                <w:sz w:val="22"/>
              </w:rPr>
              <w:t>Total</w:t>
            </w:r>
          </w:p>
        </w:tc>
        <w:tc>
          <w:tcPr>
            <w:tcW w:w="620" w:type="dxa"/>
          </w:tcPr>
          <w:p>
            <w:pPr>
              <w:pStyle w:val="TableParagraph"/>
              <w:spacing w:line="249" w:lineRule="exact"/>
              <w:ind w:left="123" w:right="96"/>
              <w:rPr>
                <w:sz w:val="22"/>
              </w:rPr>
            </w:pPr>
            <w:r>
              <w:rPr>
                <w:sz w:val="22"/>
              </w:rPr>
              <w:t>412</w:t>
            </w:r>
          </w:p>
        </w:tc>
        <w:tc>
          <w:tcPr>
            <w:tcW w:w="721" w:type="dxa"/>
          </w:tcPr>
          <w:p>
            <w:pPr>
              <w:pStyle w:val="TableParagraph"/>
              <w:spacing w:line="249" w:lineRule="exact"/>
              <w:ind w:right="76"/>
              <w:jc w:val="right"/>
              <w:rPr>
                <w:sz w:val="22"/>
              </w:rPr>
            </w:pPr>
            <w:r>
              <w:rPr>
                <w:sz w:val="22"/>
              </w:rPr>
              <w:t>100,0</w:t>
            </w:r>
          </w:p>
        </w:tc>
        <w:tc>
          <w:tcPr>
            <w:tcW w:w="1302" w:type="dxa"/>
          </w:tcPr>
          <w:p>
            <w:pPr>
              <w:pStyle w:val="TableParagraph"/>
              <w:jc w:val="left"/>
              <w:rPr>
                <w:sz w:val="20"/>
              </w:rPr>
            </w:pPr>
          </w:p>
        </w:tc>
      </w:tr>
    </w:tbl>
    <w:p>
      <w:pPr>
        <w:pStyle w:val="BodyText"/>
        <w:spacing w:before="232"/>
        <w:ind w:left="2414"/>
        <w:jc w:val="both"/>
      </w:pPr>
      <w:r>
        <w:rPr>
          <w:b/>
        </w:rPr>
        <w:t>Source : </w:t>
      </w:r>
      <w:r>
        <w:rPr/>
        <w:t>élaboré par nous-même sur la base des outputs SPSS</w:t>
      </w:r>
    </w:p>
    <w:p>
      <w:pPr>
        <w:pStyle w:val="BodyText"/>
        <w:spacing w:line="362" w:lineRule="auto" w:before="180"/>
        <w:ind w:left="699" w:right="318" w:firstLine="360"/>
        <w:jc w:val="both"/>
      </w:pPr>
      <w:r>
        <w:rPr/>
        <w:t>Sur</w:t>
      </w:r>
      <w:r>
        <w:rPr>
          <w:spacing w:val="-16"/>
        </w:rPr>
        <w:t> </w:t>
      </w:r>
      <w:r>
        <w:rPr/>
        <w:t>un</w:t>
      </w:r>
      <w:r>
        <w:rPr>
          <w:spacing w:val="-20"/>
        </w:rPr>
        <w:t> </w:t>
      </w:r>
      <w:r>
        <w:rPr/>
        <w:t>total</w:t>
      </w:r>
      <w:r>
        <w:rPr>
          <w:spacing w:val="-21"/>
        </w:rPr>
        <w:t> </w:t>
      </w:r>
      <w:r>
        <w:rPr/>
        <w:t>de</w:t>
      </w:r>
      <w:r>
        <w:rPr>
          <w:spacing w:val="-13"/>
        </w:rPr>
        <w:t> </w:t>
      </w:r>
      <w:r>
        <w:rPr/>
        <w:t>376</w:t>
      </w:r>
      <w:r>
        <w:rPr>
          <w:spacing w:val="-17"/>
        </w:rPr>
        <w:t> </w:t>
      </w:r>
      <w:r>
        <w:rPr/>
        <w:t>réponses</w:t>
      </w:r>
      <w:r>
        <w:rPr>
          <w:spacing w:val="-14"/>
        </w:rPr>
        <w:t> </w:t>
      </w:r>
      <w:r>
        <w:rPr/>
        <w:t>valides,</w:t>
      </w:r>
      <w:r>
        <w:rPr>
          <w:spacing w:val="-10"/>
        </w:rPr>
        <w:t> </w:t>
      </w:r>
      <w:r>
        <w:rPr/>
        <w:t>une</w:t>
      </w:r>
      <w:r>
        <w:rPr>
          <w:spacing w:val="-9"/>
        </w:rPr>
        <w:t> </w:t>
      </w:r>
      <w:r>
        <w:rPr/>
        <w:t>majorité</w:t>
      </w:r>
      <w:r>
        <w:rPr>
          <w:spacing w:val="-14"/>
        </w:rPr>
        <w:t> </w:t>
      </w:r>
      <w:r>
        <w:rPr/>
        <w:t>d’utilisateurs</w:t>
      </w:r>
      <w:r>
        <w:rPr>
          <w:spacing w:val="-14"/>
        </w:rPr>
        <w:t> </w:t>
      </w:r>
      <w:r>
        <w:rPr/>
        <w:t>environ</w:t>
      </w:r>
      <w:r>
        <w:rPr>
          <w:spacing w:val="-16"/>
        </w:rPr>
        <w:t> </w:t>
      </w:r>
      <w:r>
        <w:rPr/>
        <w:t>55,1</w:t>
      </w:r>
      <w:r>
        <w:rPr>
          <w:spacing w:val="-16"/>
        </w:rPr>
        <w:t> </w:t>
      </w:r>
      <w:r>
        <w:rPr/>
        <w:t>%</w:t>
      </w:r>
      <w:r>
        <w:rPr>
          <w:spacing w:val="-15"/>
        </w:rPr>
        <w:t> </w:t>
      </w:r>
      <w:r>
        <w:rPr/>
        <w:t>indiquent</w:t>
      </w:r>
      <w:r>
        <w:rPr>
          <w:spacing w:val="-8"/>
        </w:rPr>
        <w:t> </w:t>
      </w:r>
      <w:r>
        <w:rPr/>
        <w:t>qu’ils adopteraient des mesures de prudence en cas de problème, </w:t>
      </w:r>
      <w:r>
        <w:rPr>
          <w:spacing w:val="-3"/>
        </w:rPr>
        <w:t>soit </w:t>
      </w:r>
      <w:r>
        <w:rPr/>
        <w:t>en réduisant </w:t>
      </w:r>
      <w:r>
        <w:rPr>
          <w:spacing w:val="-3"/>
        </w:rPr>
        <w:t>leur </w:t>
      </w:r>
      <w:r>
        <w:rPr/>
        <w:t>utilisation de l’application</w:t>
      </w:r>
      <w:r>
        <w:rPr>
          <w:spacing w:val="-11"/>
        </w:rPr>
        <w:t> </w:t>
      </w:r>
      <w:r>
        <w:rPr/>
        <w:t>17,3</w:t>
      </w:r>
      <w:r>
        <w:rPr>
          <w:spacing w:val="-5"/>
        </w:rPr>
        <w:t> </w:t>
      </w:r>
      <w:r>
        <w:rPr/>
        <w:t>%,</w:t>
      </w:r>
      <w:r>
        <w:rPr>
          <w:spacing w:val="-4"/>
        </w:rPr>
        <w:t> soit</w:t>
      </w:r>
      <w:r>
        <w:rPr>
          <w:spacing w:val="-1"/>
        </w:rPr>
        <w:t> </w:t>
      </w:r>
      <w:r>
        <w:rPr/>
        <w:t>en</w:t>
      </w:r>
      <w:r>
        <w:rPr>
          <w:spacing w:val="-10"/>
        </w:rPr>
        <w:t> </w:t>
      </w:r>
      <w:r>
        <w:rPr/>
        <w:t>évitant</w:t>
      </w:r>
      <w:r>
        <w:rPr>
          <w:spacing w:val="-1"/>
        </w:rPr>
        <w:t> </w:t>
      </w:r>
      <w:r>
        <w:rPr/>
        <w:t>d’y</w:t>
      </w:r>
      <w:r>
        <w:rPr>
          <w:spacing w:val="-14"/>
        </w:rPr>
        <w:t> </w:t>
      </w:r>
      <w:r>
        <w:rPr/>
        <w:t>effectuer</w:t>
      </w:r>
      <w:r>
        <w:rPr>
          <w:spacing w:val="-4"/>
        </w:rPr>
        <w:t> </w:t>
      </w:r>
      <w:r>
        <w:rPr/>
        <w:t>des</w:t>
      </w:r>
      <w:r>
        <w:rPr>
          <w:spacing w:val="-8"/>
        </w:rPr>
        <w:t> </w:t>
      </w:r>
      <w:r>
        <w:rPr/>
        <w:t>transactions</w:t>
      </w:r>
      <w:r>
        <w:rPr>
          <w:spacing w:val="-7"/>
        </w:rPr>
        <w:t> </w:t>
      </w:r>
      <w:r>
        <w:rPr/>
        <w:t>sensibles,</w:t>
      </w:r>
      <w:r>
        <w:rPr>
          <w:spacing w:val="-4"/>
        </w:rPr>
        <w:t> </w:t>
      </w:r>
      <w:r>
        <w:rPr/>
        <w:t>comme</w:t>
      </w:r>
      <w:r>
        <w:rPr>
          <w:spacing w:val="-6"/>
        </w:rPr>
        <w:t> </w:t>
      </w:r>
      <w:r>
        <w:rPr/>
        <w:t>des</w:t>
      </w:r>
      <w:r>
        <w:rPr>
          <w:spacing w:val="-8"/>
        </w:rPr>
        <w:t> </w:t>
      </w:r>
      <w:r>
        <w:rPr/>
        <w:t>paiements</w:t>
      </w:r>
    </w:p>
    <w:p>
      <w:pPr>
        <w:spacing w:after="0" w:line="362" w:lineRule="auto"/>
        <w:jc w:val="both"/>
        <w:sectPr>
          <w:type w:val="continuous"/>
          <w:pgSz w:w="12240" w:h="15840"/>
          <w:pgMar w:top="3140" w:bottom="280" w:left="1000" w:right="820"/>
        </w:sectPr>
      </w:pPr>
    </w:p>
    <w:p>
      <w:pPr>
        <w:pStyle w:val="BodyText"/>
        <w:spacing w:before="6"/>
        <w:rPr>
          <w:sz w:val="19"/>
        </w:rPr>
      </w:pPr>
    </w:p>
    <w:p>
      <w:pPr>
        <w:pStyle w:val="BodyText"/>
        <w:spacing w:line="362" w:lineRule="auto" w:before="90"/>
        <w:ind w:left="699" w:right="313"/>
        <w:jc w:val="both"/>
      </w:pPr>
      <w:r>
        <w:rPr/>
        <w:t>importants 37,8 %. Par ailleurs, 35,3 % des répondants adopteraient une réaction plus radicale, en bloquant </w:t>
      </w:r>
      <w:r>
        <w:rPr>
          <w:spacing w:val="-3"/>
        </w:rPr>
        <w:t>leur </w:t>
      </w:r>
      <w:r>
        <w:rPr/>
        <w:t>carte ou l’application 9,8 %, voire en arrêtant complètement d’utiliser l’application 25,5 %. </w:t>
      </w:r>
      <w:r>
        <w:rPr>
          <w:spacing w:val="-3"/>
        </w:rPr>
        <w:t>Seuls </w:t>
      </w:r>
      <w:r>
        <w:rPr/>
        <w:t>9,6 % des utilisateurs déclarent </w:t>
      </w:r>
      <w:r>
        <w:rPr>
          <w:spacing w:val="-3"/>
        </w:rPr>
        <w:t>qu’ils </w:t>
      </w:r>
      <w:r>
        <w:rPr/>
        <w:t>continueraient à utiliser l’application sans problème. Ces résultats suggèrent une forte sensibilité à </w:t>
      </w:r>
      <w:r>
        <w:rPr>
          <w:spacing w:val="-5"/>
        </w:rPr>
        <w:t>la </w:t>
      </w:r>
      <w:r>
        <w:rPr/>
        <w:t>sécurité, avec une grande majorité d’utilisateurs enclins à </w:t>
      </w:r>
      <w:r>
        <w:rPr>
          <w:spacing w:val="-3"/>
        </w:rPr>
        <w:t>modifier </w:t>
      </w:r>
      <w:r>
        <w:rPr/>
        <w:t>leur comportement en cas de doute sur </w:t>
      </w:r>
      <w:r>
        <w:rPr>
          <w:spacing w:val="-5"/>
        </w:rPr>
        <w:t>la </w:t>
      </w:r>
      <w:r>
        <w:rPr/>
        <w:t>fiabilité de l’application</w:t>
      </w:r>
    </w:p>
    <w:p>
      <w:pPr>
        <w:pStyle w:val="Heading5"/>
        <w:spacing w:line="280" w:lineRule="auto" w:before="158"/>
        <w:ind w:left="699" w:right="1214" w:firstLine="0"/>
      </w:pPr>
      <w:r>
        <w:rPr/>
        <w:t>Q11_Avez-vous déjà été victime d’un problème de sécurité (piratage, fraude, vol</w:t>
      </w:r>
      <w:r>
        <w:rPr>
          <w:spacing w:val="-30"/>
        </w:rPr>
        <w:t> </w:t>
      </w:r>
      <w:r>
        <w:rPr/>
        <w:t>de données) sur BaridiMob ?</w:t>
      </w:r>
    </w:p>
    <w:p>
      <w:pPr>
        <w:spacing w:after="0" w:line="280" w:lineRule="auto"/>
        <w:sectPr>
          <w:pgSz w:w="12240" w:h="15840"/>
          <w:pgMar w:header="723" w:footer="850" w:top="1080" w:bottom="1040" w:left="1000" w:right="820"/>
        </w:sectPr>
      </w:pPr>
    </w:p>
    <w:p>
      <w:pPr>
        <w:spacing w:line="247" w:lineRule="auto" w:before="142"/>
        <w:ind w:left="699" w:right="0" w:firstLine="0"/>
        <w:jc w:val="left"/>
        <w:rPr>
          <w:sz w:val="24"/>
        </w:rPr>
      </w:pPr>
      <w:bookmarkStart w:name="_bookmark36" w:id="230"/>
      <w:bookmarkEnd w:id="230"/>
      <w:r>
        <w:rPr/>
      </w:r>
      <w:r>
        <w:rPr>
          <w:b/>
          <w:color w:val="44536A"/>
          <w:sz w:val="24"/>
        </w:rPr>
        <w:t>Tableau 12 : </w:t>
      </w:r>
      <w:r>
        <w:rPr>
          <w:color w:val="44536A"/>
          <w:sz w:val="24"/>
        </w:rPr>
        <w:t>Fréquence des atteintes à la sécurité sur BaridiMob</w:t>
      </w:r>
    </w:p>
    <w:p>
      <w:pPr>
        <w:pStyle w:val="BodyText"/>
        <w:spacing w:line="237" w:lineRule="auto" w:before="163"/>
        <w:ind w:left="621" w:right="123"/>
      </w:pPr>
      <w:r>
        <w:rPr/>
        <w:br w:type="column"/>
      </w:r>
      <w:bookmarkStart w:name="_bookmark37" w:id="231"/>
      <w:bookmarkEnd w:id="231"/>
      <w:r>
        <w:rPr/>
      </w:r>
      <w:r>
        <w:rPr>
          <w:b/>
          <w:color w:val="44536A"/>
        </w:rPr>
        <w:t>Figure 12: </w:t>
      </w:r>
      <w:r>
        <w:rPr>
          <w:color w:val="44536A"/>
        </w:rPr>
        <w:t>Fréquence des atteintes à la sécurité sur BaridiMob</w:t>
      </w:r>
    </w:p>
    <w:p>
      <w:pPr>
        <w:spacing w:after="0" w:line="237" w:lineRule="auto"/>
        <w:sectPr>
          <w:type w:val="continuous"/>
          <w:pgSz w:w="12240" w:h="15840"/>
          <w:pgMar w:top="3140" w:bottom="280" w:left="1000" w:right="820"/>
          <w:cols w:num="2" w:equalWidth="0">
            <w:col w:w="4797" w:space="40"/>
            <w:col w:w="5583"/>
          </w:cols>
        </w:sectPr>
      </w:pPr>
    </w:p>
    <w:p>
      <w:pPr>
        <w:pStyle w:val="BodyText"/>
        <w:spacing w:before="5"/>
        <w:rPr>
          <w:sz w:val="11"/>
        </w:rPr>
      </w:pPr>
    </w:p>
    <w:p>
      <w:pPr>
        <w:tabs>
          <w:tab w:pos="5442" w:val="left" w:leader="none"/>
        </w:tabs>
        <w:spacing w:line="240" w:lineRule="auto"/>
        <w:ind w:left="699" w:right="0" w:firstLine="0"/>
        <w:rPr>
          <w:sz w:val="20"/>
        </w:rPr>
      </w:pPr>
      <w:r>
        <w:rPr>
          <w:sz w:val="20"/>
        </w:rPr>
        <w:pict>
          <v:shape style="width:222.85pt;height:104.95pt;mso-position-horizontal-relative:char;mso-position-vertical-relative:line" type="#_x0000_t202" filled="false" stroked="false">
            <w10:anchorlock/>
            <v:textbox inset="0,0,0,0">
              <w:txbxContent>
                <w:tbl>
                  <w:tblPr>
                    <w:tblW w:w="0" w:type="auto"/>
                    <w:jc w:val="left"/>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28"/>
                    <w:gridCol w:w="1076"/>
                    <w:gridCol w:w="947"/>
                    <w:gridCol w:w="1364"/>
                  </w:tblGrid>
                  <w:tr>
                    <w:trPr>
                      <w:trHeight w:val="363" w:hRule="atLeast"/>
                    </w:trPr>
                    <w:tc>
                      <w:tcPr>
                        <w:tcW w:w="1028" w:type="dxa"/>
                      </w:tcPr>
                      <w:p>
                        <w:pPr>
                          <w:pStyle w:val="TableParagraph"/>
                          <w:jc w:val="left"/>
                          <w:rPr>
                            <w:sz w:val="22"/>
                          </w:rPr>
                        </w:pPr>
                      </w:p>
                    </w:tc>
                    <w:tc>
                      <w:tcPr>
                        <w:tcW w:w="1076" w:type="dxa"/>
                      </w:tcPr>
                      <w:p>
                        <w:pPr>
                          <w:pStyle w:val="TableParagraph"/>
                          <w:spacing w:before="39"/>
                          <w:ind w:left="37"/>
                          <w:rPr>
                            <w:sz w:val="24"/>
                          </w:rPr>
                        </w:pPr>
                        <w:r>
                          <w:rPr>
                            <w:w w:val="99"/>
                            <w:sz w:val="24"/>
                          </w:rPr>
                          <w:t>N</w:t>
                        </w:r>
                      </w:p>
                    </w:tc>
                    <w:tc>
                      <w:tcPr>
                        <w:tcW w:w="947" w:type="dxa"/>
                      </w:tcPr>
                      <w:p>
                        <w:pPr>
                          <w:pStyle w:val="TableParagraph"/>
                          <w:spacing w:before="39"/>
                          <w:ind w:left="29"/>
                          <w:rPr>
                            <w:sz w:val="24"/>
                          </w:rPr>
                        </w:pPr>
                        <w:r>
                          <w:rPr>
                            <w:w w:val="99"/>
                            <w:sz w:val="24"/>
                          </w:rPr>
                          <w:t>%</w:t>
                        </w:r>
                      </w:p>
                    </w:tc>
                    <w:tc>
                      <w:tcPr>
                        <w:tcW w:w="1364" w:type="dxa"/>
                      </w:tcPr>
                      <w:p>
                        <w:pPr>
                          <w:pStyle w:val="TableParagraph"/>
                          <w:spacing w:before="39"/>
                          <w:ind w:left="66" w:right="42"/>
                          <w:rPr>
                            <w:sz w:val="24"/>
                          </w:rPr>
                        </w:pPr>
                        <w:r>
                          <w:rPr>
                            <w:sz w:val="24"/>
                          </w:rPr>
                          <w:t>Cumul</w:t>
                        </w:r>
                      </w:p>
                    </w:tc>
                  </w:tr>
                  <w:tr>
                    <w:trPr>
                      <w:trHeight w:val="343" w:hRule="atLeast"/>
                    </w:trPr>
                    <w:tc>
                      <w:tcPr>
                        <w:tcW w:w="1028" w:type="dxa"/>
                        <w:tcBorders>
                          <w:bottom w:val="nil"/>
                        </w:tcBorders>
                      </w:tcPr>
                      <w:p>
                        <w:pPr>
                          <w:pStyle w:val="TableParagraph"/>
                          <w:spacing w:before="40"/>
                          <w:ind w:left="172"/>
                          <w:jc w:val="left"/>
                          <w:rPr>
                            <w:sz w:val="24"/>
                          </w:rPr>
                        </w:pPr>
                        <w:r>
                          <w:rPr>
                            <w:sz w:val="24"/>
                          </w:rPr>
                          <w:t>Non</w:t>
                        </w:r>
                      </w:p>
                    </w:tc>
                    <w:tc>
                      <w:tcPr>
                        <w:tcW w:w="1076" w:type="dxa"/>
                        <w:tcBorders>
                          <w:bottom w:val="nil"/>
                        </w:tcBorders>
                      </w:tcPr>
                      <w:p>
                        <w:pPr>
                          <w:pStyle w:val="TableParagraph"/>
                          <w:spacing w:before="40"/>
                          <w:ind w:left="339" w:right="307"/>
                          <w:rPr>
                            <w:sz w:val="24"/>
                          </w:rPr>
                        </w:pPr>
                        <w:r>
                          <w:rPr>
                            <w:sz w:val="24"/>
                          </w:rPr>
                          <w:t>360</w:t>
                        </w:r>
                      </w:p>
                    </w:tc>
                    <w:tc>
                      <w:tcPr>
                        <w:tcW w:w="947" w:type="dxa"/>
                        <w:tcBorders>
                          <w:bottom w:val="nil"/>
                        </w:tcBorders>
                      </w:tcPr>
                      <w:p>
                        <w:pPr>
                          <w:pStyle w:val="TableParagraph"/>
                          <w:spacing w:before="40"/>
                          <w:ind w:left="186" w:right="146"/>
                          <w:rPr>
                            <w:sz w:val="24"/>
                          </w:rPr>
                        </w:pPr>
                        <w:r>
                          <w:rPr>
                            <w:sz w:val="24"/>
                          </w:rPr>
                          <w:t>87,4</w:t>
                        </w:r>
                      </w:p>
                    </w:tc>
                    <w:tc>
                      <w:tcPr>
                        <w:tcW w:w="1364" w:type="dxa"/>
                        <w:tcBorders>
                          <w:bottom w:val="nil"/>
                        </w:tcBorders>
                      </w:tcPr>
                      <w:p>
                        <w:pPr>
                          <w:pStyle w:val="TableParagraph"/>
                          <w:spacing w:before="40"/>
                          <w:ind w:left="76" w:right="42"/>
                          <w:rPr>
                            <w:sz w:val="24"/>
                          </w:rPr>
                        </w:pPr>
                        <w:r>
                          <w:rPr>
                            <w:sz w:val="24"/>
                          </w:rPr>
                          <w:t>95,7</w:t>
                        </w:r>
                      </w:p>
                    </w:tc>
                  </w:tr>
                  <w:tr>
                    <w:trPr>
                      <w:trHeight w:val="323" w:hRule="atLeast"/>
                    </w:trPr>
                    <w:tc>
                      <w:tcPr>
                        <w:tcW w:w="1028" w:type="dxa"/>
                        <w:tcBorders>
                          <w:top w:val="nil"/>
                          <w:bottom w:val="nil"/>
                        </w:tcBorders>
                      </w:tcPr>
                      <w:p>
                        <w:pPr>
                          <w:pStyle w:val="TableParagraph"/>
                          <w:spacing w:before="17"/>
                          <w:ind w:left="172"/>
                          <w:jc w:val="left"/>
                          <w:rPr>
                            <w:sz w:val="24"/>
                          </w:rPr>
                        </w:pPr>
                        <w:r>
                          <w:rPr>
                            <w:sz w:val="24"/>
                          </w:rPr>
                          <w:t>Oui</w:t>
                        </w:r>
                      </w:p>
                    </w:tc>
                    <w:tc>
                      <w:tcPr>
                        <w:tcW w:w="1076" w:type="dxa"/>
                        <w:tcBorders>
                          <w:top w:val="nil"/>
                          <w:bottom w:val="nil"/>
                        </w:tcBorders>
                      </w:tcPr>
                      <w:p>
                        <w:pPr>
                          <w:pStyle w:val="TableParagraph"/>
                          <w:spacing w:before="17"/>
                          <w:ind w:left="339" w:right="302"/>
                          <w:rPr>
                            <w:sz w:val="24"/>
                          </w:rPr>
                        </w:pPr>
                        <w:r>
                          <w:rPr>
                            <w:sz w:val="24"/>
                          </w:rPr>
                          <w:t>16</w:t>
                        </w:r>
                      </w:p>
                    </w:tc>
                    <w:tc>
                      <w:tcPr>
                        <w:tcW w:w="947" w:type="dxa"/>
                        <w:tcBorders>
                          <w:top w:val="nil"/>
                          <w:bottom w:val="nil"/>
                        </w:tcBorders>
                      </w:tcPr>
                      <w:p>
                        <w:pPr>
                          <w:pStyle w:val="TableParagraph"/>
                          <w:spacing w:before="17"/>
                          <w:ind w:left="186" w:right="151"/>
                          <w:rPr>
                            <w:sz w:val="24"/>
                          </w:rPr>
                        </w:pPr>
                        <w:r>
                          <w:rPr>
                            <w:sz w:val="24"/>
                          </w:rPr>
                          <w:t>3,9</w:t>
                        </w:r>
                      </w:p>
                    </w:tc>
                    <w:tc>
                      <w:tcPr>
                        <w:tcW w:w="1364" w:type="dxa"/>
                        <w:tcBorders>
                          <w:top w:val="nil"/>
                          <w:bottom w:val="nil"/>
                        </w:tcBorders>
                      </w:tcPr>
                      <w:p>
                        <w:pPr>
                          <w:pStyle w:val="TableParagraph"/>
                          <w:spacing w:before="17"/>
                          <w:ind w:left="71" w:right="42"/>
                          <w:rPr>
                            <w:sz w:val="24"/>
                          </w:rPr>
                        </w:pPr>
                        <w:r>
                          <w:rPr>
                            <w:sz w:val="24"/>
                          </w:rPr>
                          <w:t>100,0</w:t>
                        </w:r>
                      </w:p>
                    </w:tc>
                  </w:tr>
                  <w:tr>
                    <w:trPr>
                      <w:trHeight w:val="326" w:hRule="atLeast"/>
                    </w:trPr>
                    <w:tc>
                      <w:tcPr>
                        <w:tcW w:w="1028" w:type="dxa"/>
                        <w:tcBorders>
                          <w:top w:val="nil"/>
                          <w:bottom w:val="nil"/>
                        </w:tcBorders>
                      </w:tcPr>
                      <w:p>
                        <w:pPr>
                          <w:pStyle w:val="TableParagraph"/>
                          <w:spacing w:before="20"/>
                          <w:ind w:left="172"/>
                          <w:jc w:val="left"/>
                          <w:rPr>
                            <w:sz w:val="24"/>
                          </w:rPr>
                        </w:pPr>
                        <w:r>
                          <w:rPr>
                            <w:sz w:val="24"/>
                          </w:rPr>
                          <w:t>Total</w:t>
                        </w:r>
                      </w:p>
                    </w:tc>
                    <w:tc>
                      <w:tcPr>
                        <w:tcW w:w="1076" w:type="dxa"/>
                        <w:tcBorders>
                          <w:top w:val="nil"/>
                          <w:bottom w:val="nil"/>
                        </w:tcBorders>
                      </w:tcPr>
                      <w:p>
                        <w:pPr>
                          <w:pStyle w:val="TableParagraph"/>
                          <w:spacing w:before="20"/>
                          <w:ind w:left="339" w:right="307"/>
                          <w:rPr>
                            <w:sz w:val="24"/>
                          </w:rPr>
                        </w:pPr>
                        <w:r>
                          <w:rPr>
                            <w:sz w:val="24"/>
                          </w:rPr>
                          <w:t>376</w:t>
                        </w:r>
                      </w:p>
                    </w:tc>
                    <w:tc>
                      <w:tcPr>
                        <w:tcW w:w="947" w:type="dxa"/>
                        <w:tcBorders>
                          <w:top w:val="nil"/>
                          <w:bottom w:val="nil"/>
                        </w:tcBorders>
                      </w:tcPr>
                      <w:p>
                        <w:pPr>
                          <w:pStyle w:val="TableParagraph"/>
                          <w:spacing w:before="20"/>
                          <w:ind w:left="186" w:right="146"/>
                          <w:rPr>
                            <w:sz w:val="24"/>
                          </w:rPr>
                        </w:pPr>
                        <w:r>
                          <w:rPr>
                            <w:sz w:val="24"/>
                          </w:rPr>
                          <w:t>91,3</w:t>
                        </w:r>
                      </w:p>
                    </w:tc>
                    <w:tc>
                      <w:tcPr>
                        <w:tcW w:w="1364" w:type="dxa"/>
                        <w:tcBorders>
                          <w:top w:val="nil"/>
                          <w:bottom w:val="nil"/>
                        </w:tcBorders>
                      </w:tcPr>
                      <w:p>
                        <w:pPr>
                          <w:pStyle w:val="TableParagraph"/>
                          <w:jc w:val="left"/>
                          <w:rPr>
                            <w:sz w:val="22"/>
                          </w:rPr>
                        </w:pPr>
                      </w:p>
                    </w:tc>
                  </w:tr>
                  <w:tr>
                    <w:trPr>
                      <w:trHeight w:val="301" w:hRule="atLeast"/>
                    </w:trPr>
                    <w:tc>
                      <w:tcPr>
                        <w:tcW w:w="1028" w:type="dxa"/>
                        <w:tcBorders>
                          <w:top w:val="nil"/>
                        </w:tcBorders>
                      </w:tcPr>
                      <w:p>
                        <w:pPr>
                          <w:pStyle w:val="TableParagraph"/>
                          <w:spacing w:line="238" w:lineRule="exact" w:before="43"/>
                          <w:ind w:left="172"/>
                          <w:jc w:val="left"/>
                          <w:rPr>
                            <w:sz w:val="22"/>
                          </w:rPr>
                        </w:pPr>
                        <w:r>
                          <w:rPr>
                            <w:sz w:val="22"/>
                          </w:rPr>
                          <w:t>System</w:t>
                        </w:r>
                      </w:p>
                    </w:tc>
                    <w:tc>
                      <w:tcPr>
                        <w:tcW w:w="1076" w:type="dxa"/>
                        <w:tcBorders>
                          <w:top w:val="nil"/>
                        </w:tcBorders>
                      </w:tcPr>
                      <w:p>
                        <w:pPr>
                          <w:pStyle w:val="TableParagraph"/>
                          <w:spacing w:line="261" w:lineRule="exact" w:before="20"/>
                          <w:ind w:left="339" w:right="302"/>
                          <w:rPr>
                            <w:sz w:val="24"/>
                          </w:rPr>
                        </w:pPr>
                        <w:r>
                          <w:rPr>
                            <w:sz w:val="24"/>
                          </w:rPr>
                          <w:t>36</w:t>
                        </w:r>
                      </w:p>
                    </w:tc>
                    <w:tc>
                      <w:tcPr>
                        <w:tcW w:w="947" w:type="dxa"/>
                        <w:tcBorders>
                          <w:top w:val="nil"/>
                        </w:tcBorders>
                      </w:tcPr>
                      <w:p>
                        <w:pPr>
                          <w:pStyle w:val="TableParagraph"/>
                          <w:spacing w:line="261" w:lineRule="exact" w:before="20"/>
                          <w:ind w:left="186" w:right="151"/>
                          <w:rPr>
                            <w:sz w:val="24"/>
                          </w:rPr>
                        </w:pPr>
                        <w:r>
                          <w:rPr>
                            <w:sz w:val="24"/>
                          </w:rPr>
                          <w:t>8,7</w:t>
                        </w:r>
                      </w:p>
                    </w:tc>
                    <w:tc>
                      <w:tcPr>
                        <w:tcW w:w="1364" w:type="dxa"/>
                        <w:tcBorders>
                          <w:top w:val="nil"/>
                        </w:tcBorders>
                      </w:tcPr>
                      <w:p>
                        <w:pPr>
                          <w:pStyle w:val="TableParagraph"/>
                          <w:jc w:val="left"/>
                          <w:rPr>
                            <w:sz w:val="22"/>
                          </w:rPr>
                        </w:pPr>
                      </w:p>
                    </w:tc>
                  </w:tr>
                  <w:tr>
                    <w:trPr>
                      <w:trHeight w:val="320" w:hRule="atLeast"/>
                    </w:trPr>
                    <w:tc>
                      <w:tcPr>
                        <w:tcW w:w="1028" w:type="dxa"/>
                      </w:tcPr>
                      <w:p>
                        <w:pPr>
                          <w:pStyle w:val="TableParagraph"/>
                          <w:jc w:val="left"/>
                          <w:rPr>
                            <w:sz w:val="22"/>
                          </w:rPr>
                        </w:pPr>
                      </w:p>
                    </w:tc>
                    <w:tc>
                      <w:tcPr>
                        <w:tcW w:w="1076" w:type="dxa"/>
                      </w:tcPr>
                      <w:p>
                        <w:pPr>
                          <w:pStyle w:val="TableParagraph"/>
                          <w:spacing w:line="261" w:lineRule="exact" w:before="39"/>
                          <w:ind w:left="339" w:right="307"/>
                          <w:rPr>
                            <w:sz w:val="24"/>
                          </w:rPr>
                        </w:pPr>
                        <w:r>
                          <w:rPr>
                            <w:sz w:val="24"/>
                          </w:rPr>
                          <w:t>412</w:t>
                        </w:r>
                      </w:p>
                    </w:tc>
                    <w:tc>
                      <w:tcPr>
                        <w:tcW w:w="947" w:type="dxa"/>
                      </w:tcPr>
                      <w:p>
                        <w:pPr>
                          <w:pStyle w:val="TableParagraph"/>
                          <w:spacing w:line="261" w:lineRule="exact" w:before="39"/>
                          <w:ind w:left="186" w:right="151"/>
                          <w:rPr>
                            <w:sz w:val="24"/>
                          </w:rPr>
                        </w:pPr>
                        <w:r>
                          <w:rPr>
                            <w:sz w:val="24"/>
                          </w:rPr>
                          <w:t>100,0</w:t>
                        </w:r>
                      </w:p>
                    </w:tc>
                    <w:tc>
                      <w:tcPr>
                        <w:tcW w:w="1364" w:type="dxa"/>
                      </w:tcPr>
                      <w:p>
                        <w:pPr>
                          <w:pStyle w:val="TableParagraph"/>
                          <w:jc w:val="left"/>
                          <w:rPr>
                            <w:sz w:val="22"/>
                          </w:rPr>
                        </w:pPr>
                      </w:p>
                    </w:tc>
                  </w:tr>
                </w:tbl>
                <w:p>
                  <w:pPr>
                    <w:pStyle w:val="BodyText"/>
                  </w:pPr>
                </w:p>
              </w:txbxContent>
            </v:textbox>
          </v:shape>
        </w:pict>
      </w:r>
      <w:r>
        <w:rPr>
          <w:sz w:val="20"/>
        </w:rPr>
      </w:r>
      <w:r>
        <w:rPr>
          <w:sz w:val="20"/>
        </w:rPr>
        <w:tab/>
      </w:r>
      <w:r>
        <w:rPr>
          <w:position w:val="4"/>
          <w:sz w:val="20"/>
        </w:rPr>
        <w:pict>
          <v:group style="width:229.45pt;height:104.25pt;mso-position-horizontal-relative:char;mso-position-vertical-relative:line" coordorigin="0,0" coordsize="4589,2085">
            <v:shape style="position:absolute;left:1239;top:193;width:2786;height:998" type="#_x0000_t75" stroked="false">
              <v:imagedata r:id="rId97" o:title=""/>
            </v:shape>
            <v:rect style="position:absolute;left:1823;top:1545;width:99;height:99" filled="true" fillcolor="#ec7c30" stroked="false">
              <v:fill type="solid"/>
            </v:rect>
            <v:rect style="position:absolute;left:2340;top:1545;width:99;height:99" filled="true" fillcolor="#5b9bd4" stroked="false">
              <v:fill type="solid"/>
            </v:rect>
            <v:rect style="position:absolute;left:7;top:7;width:4574;height:2070" filled="false" stroked="true" strokeweight=".75pt" strokecolor="#d9d9d9">
              <v:stroke dashstyle="solid"/>
            </v:rect>
            <v:shape style="position:absolute;left:3773;top:1332;width:294;height:183" type="#_x0000_t202" filled="false" stroked="false">
              <v:textbox inset="0,0,0,0">
                <w:txbxContent>
                  <w:p>
                    <w:pPr>
                      <w:spacing w:line="183" w:lineRule="exact" w:before="0"/>
                      <w:ind w:left="0" w:right="0" w:firstLine="0"/>
                      <w:jc w:val="left"/>
                      <w:rPr>
                        <w:rFonts w:ascii="Calibri"/>
                        <w:sz w:val="18"/>
                      </w:rPr>
                    </w:pPr>
                    <w:r>
                      <w:rPr>
                        <w:rFonts w:ascii="Calibri"/>
                        <w:color w:val="585858"/>
                        <w:sz w:val="18"/>
                      </w:rPr>
                      <w:t>400</w:t>
                    </w:r>
                  </w:p>
                </w:txbxContent>
              </v:textbox>
              <w10:wrap type="none"/>
            </v:shape>
            <v:shape style="position:absolute;left:1968;top:1332;width:844;height:363" type="#_x0000_t202" filled="false" stroked="false">
              <v:textbox inset="0,0,0,0">
                <w:txbxContent>
                  <w:p>
                    <w:pPr>
                      <w:spacing w:line="165" w:lineRule="exact" w:before="0"/>
                      <w:ind w:left="479" w:right="0" w:firstLine="0"/>
                      <w:jc w:val="left"/>
                      <w:rPr>
                        <w:rFonts w:ascii="Calibri"/>
                        <w:sz w:val="18"/>
                      </w:rPr>
                    </w:pPr>
                    <w:r>
                      <w:rPr>
                        <w:rFonts w:ascii="Calibri"/>
                        <w:color w:val="585858"/>
                        <w:spacing w:val="-2"/>
                        <w:sz w:val="18"/>
                      </w:rPr>
                      <w:t>200</w:t>
                    </w:r>
                  </w:p>
                  <w:p>
                    <w:pPr>
                      <w:tabs>
                        <w:tab w:pos="516" w:val="left" w:leader="none"/>
                      </w:tabs>
                      <w:spacing w:line="197" w:lineRule="exact" w:before="0"/>
                      <w:ind w:left="0" w:right="0" w:firstLine="0"/>
                      <w:jc w:val="left"/>
                      <w:rPr>
                        <w:rFonts w:ascii="Calibri"/>
                        <w:sz w:val="18"/>
                      </w:rPr>
                    </w:pPr>
                    <w:r>
                      <w:rPr>
                        <w:rFonts w:ascii="Calibri"/>
                        <w:color w:val="585858"/>
                        <w:sz w:val="18"/>
                      </w:rPr>
                      <w:t>Oui</w:t>
                      <w:tab/>
                      <w:t>Non</w:t>
                    </w:r>
                  </w:p>
                </w:txbxContent>
              </v:textbox>
              <w10:wrap type="none"/>
            </v:shape>
            <v:shape style="position:absolute;left:1212;top:1332;width:113;height:183" type="#_x0000_t202" filled="false" stroked="false">
              <v:textbox inset="0,0,0,0">
                <w:txbxContent>
                  <w:p>
                    <w:pPr>
                      <w:spacing w:line="183" w:lineRule="exact" w:before="0"/>
                      <w:ind w:left="0" w:right="0" w:firstLine="0"/>
                      <w:jc w:val="left"/>
                      <w:rPr>
                        <w:rFonts w:ascii="Calibri"/>
                        <w:sz w:val="18"/>
                      </w:rPr>
                    </w:pPr>
                    <w:r>
                      <w:rPr>
                        <w:rFonts w:ascii="Calibri"/>
                        <w:color w:val="585858"/>
                        <w:w w:val="101"/>
                        <w:sz w:val="18"/>
                      </w:rPr>
                      <w:t>0</w:t>
                    </w:r>
                  </w:p>
                </w:txbxContent>
              </v:textbox>
              <w10:wrap type="none"/>
            </v:shape>
            <v:shape style="position:absolute;left:3796;top:924;width:294;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360</w:t>
                    </w:r>
                  </w:p>
                </w:txbxContent>
              </v:textbox>
              <w10:wrap type="none"/>
            </v:shape>
            <v:shape style="position:absolute;left:1516;top:774;width:184;height:159" type="#_x0000_t202" filled="false" stroked="false">
              <v:textbox inset="0,0,0,0">
                <w:txbxContent>
                  <w:p>
                    <w:pPr>
                      <w:spacing w:line="158" w:lineRule="exact" w:before="0"/>
                      <w:ind w:left="0" w:right="0" w:firstLine="0"/>
                      <w:jc w:val="left"/>
                      <w:rPr>
                        <w:rFonts w:ascii="Calibri"/>
                        <w:sz w:val="16"/>
                      </w:rPr>
                    </w:pPr>
                    <w:r>
                      <w:rPr>
                        <w:rFonts w:ascii="Calibri"/>
                        <w:color w:val="404040"/>
                        <w:sz w:val="16"/>
                      </w:rPr>
                      <w:t>16</w:t>
                    </w:r>
                  </w:p>
                </w:txbxContent>
              </v:textbox>
              <w10:wrap type="none"/>
            </v:shape>
            <v:shape style="position:absolute;left:324;top:885;width:790;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Frequency</w:t>
                    </w:r>
                  </w:p>
                </w:txbxContent>
              </v:textbox>
              <w10:wrap type="none"/>
            </v:shape>
            <v:shape style="position:absolute;left:1987;top:478;width:343;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87.4</w:t>
                    </w:r>
                  </w:p>
                </w:txbxContent>
              </v:textbox>
              <w10:wrap type="none"/>
            </v:shape>
            <v:shape style="position:absolute;left:524;top:439;width:586;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Percent</w:t>
                    </w:r>
                  </w:p>
                </w:txbxContent>
              </v:textbox>
              <w10:wrap type="none"/>
            </v:shape>
            <v:shape style="position:absolute;left:1400;top:272;width:221;height:159" type="#_x0000_t202" filled="false" stroked="false">
              <v:textbox inset="0,0,0,0">
                <w:txbxContent>
                  <w:p>
                    <w:pPr>
                      <w:spacing w:line="158" w:lineRule="exact" w:before="0"/>
                      <w:ind w:left="0" w:right="0" w:firstLine="0"/>
                      <w:jc w:val="left"/>
                      <w:rPr>
                        <w:rFonts w:ascii="Calibri"/>
                        <w:sz w:val="16"/>
                      </w:rPr>
                    </w:pPr>
                    <w:r>
                      <w:rPr>
                        <w:rFonts w:ascii="Calibri"/>
                        <w:color w:val="404040"/>
                        <w:sz w:val="16"/>
                      </w:rPr>
                      <w:t>3.9</w:t>
                    </w:r>
                  </w:p>
                </w:txbxContent>
              </v:textbox>
              <w10:wrap type="none"/>
            </v:shape>
          </v:group>
        </w:pict>
      </w:r>
      <w:r>
        <w:rPr>
          <w:position w:val="4"/>
          <w:sz w:val="20"/>
        </w:rPr>
      </w:r>
    </w:p>
    <w:p>
      <w:pPr>
        <w:pStyle w:val="BodyText"/>
        <w:spacing w:before="3"/>
        <w:rPr>
          <w:sz w:val="10"/>
        </w:rPr>
      </w:pPr>
    </w:p>
    <w:p>
      <w:pPr>
        <w:pStyle w:val="BodyText"/>
        <w:spacing w:before="90"/>
        <w:ind w:left="825" w:right="445"/>
        <w:jc w:val="center"/>
      </w:pPr>
      <w:r>
        <w:rPr>
          <w:b/>
        </w:rPr>
        <w:t>Source : </w:t>
      </w:r>
      <w:r>
        <w:rPr/>
        <w:t>élaboré par nous-même sur la base des outputs SPSS</w:t>
      </w:r>
    </w:p>
    <w:p>
      <w:pPr>
        <w:pStyle w:val="BodyText"/>
        <w:spacing w:before="3"/>
        <w:rPr>
          <w:sz w:val="25"/>
        </w:rPr>
      </w:pPr>
    </w:p>
    <w:p>
      <w:pPr>
        <w:pStyle w:val="BodyText"/>
        <w:spacing w:line="362" w:lineRule="auto"/>
        <w:ind w:left="699" w:right="322" w:firstLine="360"/>
        <w:jc w:val="both"/>
      </w:pPr>
      <w:r>
        <w:rPr/>
        <w:t>Parmi les 376 personnes qui ont répondu, </w:t>
      </w:r>
      <w:r>
        <w:rPr>
          <w:spacing w:val="-5"/>
        </w:rPr>
        <w:t>la </w:t>
      </w:r>
      <w:r>
        <w:rPr/>
        <w:t>grande majorité, </w:t>
      </w:r>
      <w:r>
        <w:rPr>
          <w:spacing w:val="-3"/>
        </w:rPr>
        <w:t>soit </w:t>
      </w:r>
      <w:r>
        <w:rPr/>
        <w:t>95,7 %, ont répondu non à</w:t>
      </w:r>
      <w:r>
        <w:rPr>
          <w:spacing w:val="-36"/>
        </w:rPr>
        <w:t> </w:t>
      </w:r>
      <w:r>
        <w:rPr>
          <w:spacing w:val="-5"/>
        </w:rPr>
        <w:t>la </w:t>
      </w:r>
      <w:r>
        <w:rPr/>
        <w:t>question posée, tandis que seulement 4,3 % ont répondu oui. </w:t>
      </w:r>
      <w:r>
        <w:rPr>
          <w:spacing w:val="-3"/>
        </w:rPr>
        <w:t>Cela </w:t>
      </w:r>
      <w:r>
        <w:rPr/>
        <w:t>montre que presque tous </w:t>
      </w:r>
      <w:r>
        <w:rPr>
          <w:spacing w:val="-4"/>
        </w:rPr>
        <w:t>les </w:t>
      </w:r>
      <w:r>
        <w:rPr/>
        <w:t>utilisateurs partagent </w:t>
      </w:r>
      <w:r>
        <w:rPr>
          <w:spacing w:val="-5"/>
        </w:rPr>
        <w:t>le </w:t>
      </w:r>
      <w:r>
        <w:rPr/>
        <w:t>même avis, avec très peu</w:t>
      </w:r>
      <w:r>
        <w:rPr>
          <w:spacing w:val="14"/>
        </w:rPr>
        <w:t> </w:t>
      </w:r>
      <w:r>
        <w:rPr/>
        <w:t>d’exceptions.</w:t>
      </w:r>
    </w:p>
    <w:p>
      <w:pPr>
        <w:pStyle w:val="Heading5"/>
        <w:spacing w:before="166"/>
        <w:ind w:left="699" w:firstLine="0"/>
      </w:pPr>
      <w:r>
        <w:rPr/>
        <w:t>Q12_Si oui, est ce que vous pouvez nous décrire la nature du problème ?</w:t>
      </w:r>
    </w:p>
    <w:p>
      <w:pPr>
        <w:pStyle w:val="BodyText"/>
        <w:spacing w:before="1"/>
        <w:rPr>
          <w:b/>
          <w:sz w:val="9"/>
        </w:rPr>
      </w:pPr>
    </w:p>
    <w:p>
      <w:pPr>
        <w:tabs>
          <w:tab w:pos="5587" w:val="left" w:leader="none"/>
        </w:tabs>
        <w:spacing w:before="90"/>
        <w:ind w:left="699" w:right="0" w:firstLine="0"/>
        <w:jc w:val="left"/>
        <w:rPr>
          <w:sz w:val="24"/>
        </w:rPr>
      </w:pPr>
      <w:bookmarkStart w:name="_bookmark39" w:id="232"/>
      <w:bookmarkEnd w:id="232"/>
      <w:r>
        <w:rPr/>
      </w:r>
      <w:r>
        <w:rPr>
          <w:b/>
          <w:color w:val="44536A"/>
          <w:position w:val="2"/>
          <w:sz w:val="24"/>
        </w:rPr>
        <w:t>Tableau 13</w:t>
      </w:r>
      <w:r>
        <w:rPr>
          <w:b/>
          <w:position w:val="2"/>
          <w:sz w:val="24"/>
        </w:rPr>
        <w:t>:</w:t>
      </w:r>
      <w:r>
        <w:rPr>
          <w:color w:val="44536A"/>
          <w:position w:val="2"/>
          <w:sz w:val="24"/>
        </w:rPr>
        <w:t>Catégories de</w:t>
      </w:r>
      <w:r>
        <w:rPr>
          <w:color w:val="44536A"/>
          <w:spacing w:val="-4"/>
          <w:position w:val="2"/>
          <w:sz w:val="24"/>
        </w:rPr>
        <w:t> </w:t>
      </w:r>
      <w:r>
        <w:rPr>
          <w:color w:val="44536A"/>
          <w:position w:val="2"/>
          <w:sz w:val="24"/>
        </w:rPr>
        <w:t>problèmes</w:t>
      </w:r>
      <w:r>
        <w:rPr>
          <w:color w:val="44536A"/>
          <w:spacing w:val="-3"/>
          <w:position w:val="2"/>
          <w:sz w:val="24"/>
        </w:rPr>
        <w:t> </w:t>
      </w:r>
      <w:r>
        <w:rPr>
          <w:color w:val="44536A"/>
          <w:position w:val="2"/>
          <w:sz w:val="24"/>
        </w:rPr>
        <w:t>rencontrés</w:t>
        <w:tab/>
      </w:r>
      <w:bookmarkStart w:name="_bookmark38" w:id="233"/>
      <w:bookmarkEnd w:id="233"/>
      <w:r>
        <w:rPr>
          <w:color w:val="44536A"/>
          <w:position w:val="2"/>
          <w:sz w:val="24"/>
        </w:rPr>
      </w:r>
      <w:r>
        <w:rPr>
          <w:b/>
          <w:color w:val="44536A"/>
          <w:sz w:val="24"/>
        </w:rPr>
        <w:t>Figure 13 : </w:t>
      </w:r>
      <w:r>
        <w:rPr>
          <w:color w:val="44536A"/>
          <w:sz w:val="24"/>
        </w:rPr>
        <w:t>Catégories de problèmes</w:t>
      </w:r>
      <w:r>
        <w:rPr>
          <w:color w:val="44536A"/>
          <w:spacing w:val="-26"/>
          <w:sz w:val="24"/>
        </w:rPr>
        <w:t> </w:t>
      </w:r>
      <w:r>
        <w:rPr>
          <w:color w:val="44536A"/>
          <w:sz w:val="24"/>
        </w:rPr>
        <w:t>rencontrés</w:t>
      </w:r>
    </w:p>
    <w:p>
      <w:pPr>
        <w:pStyle w:val="BodyText"/>
        <w:spacing w:before="9"/>
        <w:rPr>
          <w:sz w:val="12"/>
        </w:rPr>
      </w:pPr>
      <w:r>
        <w:rPr/>
        <w:pict>
          <v:shape style="position:absolute;margin-left:84.744003pt;margin-top:9.396973pt;width:226.7pt;height:51.65pt;mso-position-horizontal-relative:page;mso-position-vertical-relative:paragraph;z-index:-251658240;mso-wrap-distance-left:0;mso-wrap-distance-right:0" type="#_x0000_t202" filled="false" stroked="false">
            <v:textbox inset="0,0,0,0">
              <w:txbxContent>
                <w:tbl>
                  <w:tblPr>
                    <w:tblW w:w="0" w:type="auto"/>
                    <w:jc w:val="left"/>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487"/>
                    <w:gridCol w:w="2002"/>
                  </w:tblGrid>
                  <w:tr>
                    <w:trPr>
                      <w:trHeight w:val="465" w:hRule="atLeast"/>
                    </w:trPr>
                    <w:tc>
                      <w:tcPr>
                        <w:tcW w:w="2487" w:type="dxa"/>
                        <w:tcBorders>
                          <w:bottom w:val="single" w:sz="2" w:space="0" w:color="000000"/>
                        </w:tcBorders>
                      </w:tcPr>
                      <w:p>
                        <w:pPr>
                          <w:pStyle w:val="TableParagraph"/>
                          <w:spacing w:before="106"/>
                          <w:ind w:left="202" w:right="173"/>
                          <w:rPr>
                            <w:b/>
                            <w:sz w:val="22"/>
                          </w:rPr>
                        </w:pPr>
                        <w:r>
                          <w:rPr>
                            <w:b/>
                            <w:sz w:val="22"/>
                          </w:rPr>
                          <w:t>Perte d'argent</w:t>
                        </w:r>
                      </w:p>
                    </w:tc>
                    <w:tc>
                      <w:tcPr>
                        <w:tcW w:w="2002" w:type="dxa"/>
                        <w:tcBorders>
                          <w:bottom w:val="single" w:sz="2" w:space="0" w:color="000000"/>
                        </w:tcBorders>
                      </w:tcPr>
                      <w:p>
                        <w:pPr>
                          <w:pStyle w:val="TableParagraph"/>
                          <w:spacing w:before="106"/>
                          <w:ind w:right="856"/>
                          <w:jc w:val="right"/>
                          <w:rPr>
                            <w:b/>
                            <w:sz w:val="22"/>
                          </w:rPr>
                        </w:pPr>
                        <w:r>
                          <w:rPr>
                            <w:b/>
                            <w:sz w:val="22"/>
                          </w:rPr>
                          <w:t>10</w:t>
                        </w:r>
                      </w:p>
                    </w:tc>
                  </w:tr>
                  <w:tr>
                    <w:trPr>
                      <w:trHeight w:val="503" w:hRule="atLeast"/>
                    </w:trPr>
                    <w:tc>
                      <w:tcPr>
                        <w:tcW w:w="2487" w:type="dxa"/>
                        <w:tcBorders>
                          <w:top w:val="single" w:sz="2" w:space="0" w:color="000000"/>
                        </w:tcBorders>
                      </w:tcPr>
                      <w:p>
                        <w:pPr>
                          <w:pStyle w:val="TableParagraph"/>
                          <w:spacing w:before="125"/>
                          <w:ind w:left="202" w:right="173"/>
                          <w:rPr>
                            <w:b/>
                            <w:sz w:val="22"/>
                          </w:rPr>
                        </w:pPr>
                        <w:r>
                          <w:rPr>
                            <w:b/>
                            <w:sz w:val="22"/>
                          </w:rPr>
                          <w:t>Escroquerie et fraude</w:t>
                        </w:r>
                      </w:p>
                    </w:tc>
                    <w:tc>
                      <w:tcPr>
                        <w:tcW w:w="2002" w:type="dxa"/>
                        <w:tcBorders>
                          <w:top w:val="single" w:sz="2" w:space="0" w:color="000000"/>
                        </w:tcBorders>
                      </w:tcPr>
                      <w:p>
                        <w:pPr>
                          <w:pStyle w:val="TableParagraph"/>
                          <w:spacing w:line="249" w:lineRule="exact"/>
                          <w:ind w:right="913"/>
                          <w:jc w:val="right"/>
                          <w:rPr>
                            <w:b/>
                            <w:sz w:val="22"/>
                          </w:rPr>
                        </w:pPr>
                        <w:r>
                          <w:rPr>
                            <w:b/>
                            <w:w w:val="100"/>
                            <w:sz w:val="22"/>
                          </w:rPr>
                          <w:t>6</w:t>
                        </w:r>
                      </w:p>
                    </w:tc>
                  </w:tr>
                </w:tbl>
                <w:p>
                  <w:pPr>
                    <w:pStyle w:val="BodyText"/>
                  </w:pPr>
                </w:p>
              </w:txbxContent>
            </v:textbox>
            <w10:wrap type="topAndBottom"/>
          </v:shape>
        </w:pict>
      </w:r>
      <w:r>
        <w:rPr/>
        <w:pict>
          <v:group style="position:absolute;margin-left:329.625pt;margin-top:9.341972pt;width:226.35pt;height:67.350pt;mso-position-horizontal-relative:page;mso-position-vertical-relative:paragraph;z-index:-251545600;mso-wrap-distance-left:0;mso-wrap-distance-right:0" coordorigin="6593,187" coordsize="4527,1347">
            <v:shape style="position:absolute;left:8133;top:340;width:795;height:1185" coordorigin="8133,341" coordsize="795,1185" path="m8336,341l8336,933,8133,1490,8182,1505,8233,1517,8284,1523,8336,1526,8410,1521,8482,1508,8550,1486,8614,1456,8674,1420,8729,1376,8779,1327,8822,1272,8859,1212,8888,1147,8910,1079,8924,1007,8928,933,8924,859,8910,787,8888,719,8859,655,8822,595,8779,540,8729,490,8674,447,8614,410,8550,381,8482,359,8410,345,8336,341xe" filled="true" fillcolor="#5b9bd4" stroked="false">
              <v:path arrowok="t"/>
              <v:fill type="solid"/>
            </v:shape>
            <v:shape style="position:absolute;left:7743;top:340;width:593;height:1150" coordorigin="7743,341" coordsize="593,1150" path="m8336,341l8262,345,8190,359,8122,381,8057,411,7996,448,7940,492,7890,543,7846,600,7809,663,7779,731,7758,802,7746,874,7743,945,7749,1016,7763,1085,7785,1151,7815,1215,7851,1274,7895,1329,7946,1379,8002,1423,8065,1460,8133,1490,8336,933,8336,341xe" filled="true" fillcolor="#ec7c30" stroked="false">
              <v:path arrowok="t"/>
              <v:fill type="solid"/>
            </v:shape>
            <v:shape style="position:absolute;left:7743;top:340;width:593;height:1150" coordorigin="7743,341" coordsize="593,1150" path="m8133,1490l8065,1460,8002,1423,7946,1379,7895,1329,7851,1274,7815,1215,7785,1151,7763,1085,7749,1016,7743,945,7746,874,7758,802,7779,731,7809,663,7846,600,7890,543,7940,492,7996,448,8057,411,8122,381,8190,359,8262,345,8336,341,8336,933,8133,1490xe" filled="false" stroked="true" strokeweight="1.44pt" strokecolor="#ffffff">
              <v:path arrowok="t"/>
              <v:stroke dashstyle="solid"/>
            </v:shape>
            <v:rect style="position:absolute;left:9327;top:322;width:99;height:99" filled="true" fillcolor="#5b9bd4" stroked="false">
              <v:fill type="solid"/>
            </v:rect>
            <v:rect style="position:absolute;left:9327;top:565;width:99;height:99" filled="true" fillcolor="#ec7c30" stroked="false">
              <v:fill type="solid"/>
            </v:rect>
            <v:rect style="position:absolute;left:6600;top:194;width:4512;height:1332" filled="false" stroked="true" strokeweight=".75pt" strokecolor="#d9d9d9">
              <v:stroke dashstyle="solid"/>
            </v:rect>
            <v:shape style="position:absolute;left:8552;top:1013;width:203;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10</w:t>
                    </w:r>
                  </w:p>
                </w:txbxContent>
              </v:textbox>
              <w10:wrap type="none"/>
            </v:shape>
            <v:shape style="position:absolute;left:9471;top:291;width:1607;height:426" type="#_x0000_t202" filled="false" stroked="false">
              <v:textbox inset="0,0,0,0">
                <w:txbxContent>
                  <w:p>
                    <w:pPr>
                      <w:spacing w:line="185" w:lineRule="exact" w:before="0"/>
                      <w:ind w:left="0" w:right="0" w:firstLine="0"/>
                      <w:jc w:val="left"/>
                      <w:rPr>
                        <w:rFonts w:ascii="Calibri"/>
                        <w:sz w:val="18"/>
                      </w:rPr>
                    </w:pPr>
                    <w:r>
                      <w:rPr>
                        <w:rFonts w:ascii="Calibri"/>
                        <w:color w:val="585858"/>
                        <w:sz w:val="18"/>
                      </w:rPr>
                      <w:t>Perte d'argent</w:t>
                    </w:r>
                  </w:p>
                  <w:p>
                    <w:pPr>
                      <w:spacing w:line="217" w:lineRule="exact" w:before="23"/>
                      <w:ind w:left="0" w:right="0" w:firstLine="0"/>
                      <w:jc w:val="left"/>
                      <w:rPr>
                        <w:rFonts w:ascii="Calibri"/>
                        <w:sz w:val="18"/>
                      </w:rPr>
                    </w:pPr>
                    <w:r>
                      <w:rPr>
                        <w:rFonts w:ascii="Calibri"/>
                        <w:color w:val="585858"/>
                        <w:sz w:val="18"/>
                      </w:rPr>
                      <w:t>Escroquerie et fraude</w:t>
                    </w:r>
                  </w:p>
                </w:txbxContent>
              </v:textbox>
              <w10:wrap type="none"/>
            </v:shape>
            <v:shape style="position:absolute;left:8058;top:622;width:113;height:183" type="#_x0000_t202" filled="false" stroked="false">
              <v:textbox inset="0,0,0,0">
                <w:txbxContent>
                  <w:p>
                    <w:pPr>
                      <w:spacing w:line="183" w:lineRule="exact" w:before="0"/>
                      <w:ind w:left="0" w:right="0" w:firstLine="0"/>
                      <w:jc w:val="left"/>
                      <w:rPr>
                        <w:rFonts w:ascii="Calibri"/>
                        <w:sz w:val="18"/>
                      </w:rPr>
                    </w:pPr>
                    <w:r>
                      <w:rPr>
                        <w:rFonts w:ascii="Calibri"/>
                        <w:color w:val="404040"/>
                        <w:w w:val="101"/>
                        <w:sz w:val="18"/>
                      </w:rPr>
                      <w:t>6</w:t>
                    </w:r>
                  </w:p>
                </w:txbxContent>
              </v:textbox>
              <w10:wrap type="none"/>
            </v:shape>
            <w10:wrap type="topAndBottom"/>
          </v:group>
        </w:pict>
      </w:r>
    </w:p>
    <w:p>
      <w:pPr>
        <w:pStyle w:val="BodyText"/>
        <w:spacing w:before="86"/>
        <w:ind w:left="2414"/>
        <w:jc w:val="both"/>
      </w:pPr>
      <w:r>
        <w:rPr>
          <w:b/>
        </w:rPr>
        <w:t>Source : </w:t>
      </w:r>
      <w:r>
        <w:rPr/>
        <w:t>élaboré par nous-même sur la base des outputs SPSS</w:t>
      </w:r>
    </w:p>
    <w:p>
      <w:pPr>
        <w:pStyle w:val="BodyText"/>
        <w:spacing w:line="360" w:lineRule="auto" w:before="180"/>
        <w:ind w:left="699" w:right="317" w:firstLine="360"/>
        <w:jc w:val="both"/>
      </w:pPr>
      <w:r>
        <w:rPr/>
        <w:t>Ce petit tableau explique que dix personnes ont déclaré avoir subi une perte d’argent et huit personnes ont été victimes d’escroquerie ou de fraude. Cela montre que certains utilisateurs ont déjà fait face à des situations risquées en utilisant l’application.</w:t>
      </w:r>
    </w:p>
    <w:p>
      <w:pPr>
        <w:spacing w:after="0" w:line="360" w:lineRule="auto"/>
        <w:jc w:val="both"/>
        <w:sectPr>
          <w:type w:val="continuous"/>
          <w:pgSz w:w="12240" w:h="15840"/>
          <w:pgMar w:top="3140" w:bottom="280" w:left="1000" w:right="820"/>
        </w:sectPr>
      </w:pPr>
    </w:p>
    <w:p>
      <w:pPr>
        <w:pStyle w:val="BodyText"/>
        <w:spacing w:before="4"/>
        <w:rPr>
          <w:sz w:val="20"/>
        </w:rPr>
      </w:pPr>
    </w:p>
    <w:p>
      <w:pPr>
        <w:pStyle w:val="Heading5"/>
        <w:spacing w:before="90"/>
        <w:ind w:left="699" w:firstLine="0"/>
        <w:jc w:val="left"/>
      </w:pPr>
      <w:r>
        <w:rPr/>
        <w:t>Q13_Quelles améliorations souhaiteriez-vous en matière de sécurité ?</w:t>
      </w:r>
    </w:p>
    <w:p>
      <w:pPr>
        <w:spacing w:after="0"/>
        <w:jc w:val="left"/>
        <w:sectPr>
          <w:pgSz w:w="12240" w:h="15840"/>
          <w:pgMar w:header="723" w:footer="850" w:top="1080" w:bottom="1040" w:left="1000" w:right="820"/>
        </w:sectPr>
      </w:pPr>
    </w:p>
    <w:p>
      <w:pPr>
        <w:tabs>
          <w:tab w:pos="3720" w:val="left" w:leader="none"/>
          <w:tab w:pos="4959" w:val="left" w:leader="none"/>
        </w:tabs>
        <w:spacing w:line="242" w:lineRule="auto" w:before="194"/>
        <w:ind w:left="699" w:right="0" w:firstLine="0"/>
        <w:jc w:val="left"/>
        <w:rPr>
          <w:sz w:val="24"/>
        </w:rPr>
      </w:pPr>
      <w:bookmarkStart w:name="_bookmark40" w:id="234"/>
      <w:bookmarkEnd w:id="234"/>
      <w:r>
        <w:rPr/>
      </w:r>
      <w:r>
        <w:rPr>
          <w:b/>
          <w:color w:val="44536A"/>
          <w:sz w:val="24"/>
        </w:rPr>
        <w:t>Tableau 14</w:t>
      </w:r>
      <w:r>
        <w:rPr>
          <w:b/>
          <w:color w:val="44536A"/>
          <w:spacing w:val="-1"/>
          <w:sz w:val="24"/>
        </w:rPr>
        <w:t> </w:t>
      </w:r>
      <w:r>
        <w:rPr>
          <w:b/>
          <w:color w:val="44536A"/>
          <w:sz w:val="24"/>
        </w:rPr>
        <w:t>:</w:t>
      </w:r>
      <w:r>
        <w:rPr>
          <w:b/>
          <w:color w:val="44536A"/>
          <w:spacing w:val="59"/>
          <w:sz w:val="24"/>
        </w:rPr>
        <w:t> </w:t>
      </w:r>
      <w:r>
        <w:rPr>
          <w:color w:val="44536A"/>
          <w:sz w:val="24"/>
        </w:rPr>
        <w:t>Améliorations</w:t>
        <w:tab/>
        <w:t>souhaitées</w:t>
        <w:tab/>
      </w:r>
      <w:r>
        <w:rPr>
          <w:color w:val="44536A"/>
          <w:spacing w:val="-11"/>
          <w:sz w:val="24"/>
        </w:rPr>
        <w:t>en </w:t>
      </w:r>
      <w:r>
        <w:rPr>
          <w:color w:val="44536A"/>
          <w:sz w:val="24"/>
        </w:rPr>
        <w:t>matière de</w:t>
      </w:r>
      <w:r>
        <w:rPr>
          <w:color w:val="44536A"/>
          <w:spacing w:val="2"/>
          <w:sz w:val="24"/>
        </w:rPr>
        <w:t> </w:t>
      </w:r>
      <w:r>
        <w:rPr>
          <w:color w:val="44536A"/>
          <w:sz w:val="24"/>
        </w:rPr>
        <w:t>sécurité</w:t>
      </w:r>
    </w:p>
    <w:p>
      <w:pPr>
        <w:spacing w:line="242" w:lineRule="auto" w:before="180"/>
        <w:ind w:left="560" w:right="37" w:firstLine="0"/>
        <w:jc w:val="left"/>
        <w:rPr>
          <w:sz w:val="24"/>
        </w:rPr>
      </w:pPr>
      <w:r>
        <w:rPr/>
        <w:br w:type="column"/>
      </w:r>
      <w:bookmarkStart w:name="_bookmark41" w:id="235"/>
      <w:bookmarkEnd w:id="235"/>
      <w:r>
        <w:rPr/>
      </w:r>
      <w:r>
        <w:rPr>
          <w:b/>
          <w:color w:val="44536A"/>
          <w:sz w:val="24"/>
        </w:rPr>
        <w:t>Figure 14 : </w:t>
      </w:r>
      <w:r>
        <w:rPr>
          <w:color w:val="44536A"/>
          <w:sz w:val="24"/>
        </w:rPr>
        <w:t>Améliorations souhaitées en matière de sécurité</w:t>
      </w:r>
    </w:p>
    <w:p>
      <w:pPr>
        <w:spacing w:after="0" w:line="242" w:lineRule="auto"/>
        <w:jc w:val="left"/>
        <w:rPr>
          <w:sz w:val="24"/>
        </w:rPr>
        <w:sectPr>
          <w:type w:val="continuous"/>
          <w:pgSz w:w="12240" w:h="15840"/>
          <w:pgMar w:top="3140" w:bottom="280" w:left="1000" w:right="820"/>
          <w:cols w:num="2" w:equalWidth="0">
            <w:col w:w="5184" w:space="40"/>
            <w:col w:w="5196"/>
          </w:cols>
        </w:sectPr>
      </w:pPr>
    </w:p>
    <w:p>
      <w:pPr>
        <w:pStyle w:val="BodyText"/>
        <w:spacing w:before="9"/>
        <w:rPr>
          <w:sz w:val="17"/>
        </w:rPr>
      </w:pPr>
    </w:p>
    <w:p>
      <w:pPr>
        <w:tabs>
          <w:tab w:pos="5706" w:val="left" w:leader="none"/>
        </w:tabs>
        <w:spacing w:line="240" w:lineRule="auto"/>
        <w:ind w:left="694" w:right="0" w:firstLine="0"/>
        <w:rPr>
          <w:sz w:val="20"/>
        </w:rPr>
      </w:pPr>
      <w:r>
        <w:rPr>
          <w:sz w:val="20"/>
        </w:rPr>
        <w:pict>
          <v:shape style="width:232.2pt;height:135.15pt;mso-position-horizontal-relative:char;mso-position-vertical-relative:line" type="#_x0000_t202" filled="false" stroked="false">
            <w10:anchorlock/>
            <v:textbox inset="0,0,0,0">
              <w:txbxContent>
                <w:tbl>
                  <w:tblPr>
                    <w:tblW w:w="0" w:type="auto"/>
                    <w:jc w:val="left"/>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270"/>
                    <w:gridCol w:w="1330"/>
                  </w:tblGrid>
                  <w:tr>
                    <w:trPr>
                      <w:trHeight w:val="383" w:hRule="atLeast"/>
                    </w:trPr>
                    <w:tc>
                      <w:tcPr>
                        <w:tcW w:w="3270" w:type="dxa"/>
                        <w:tcBorders>
                          <w:bottom w:val="nil"/>
                        </w:tcBorders>
                      </w:tcPr>
                      <w:p>
                        <w:pPr>
                          <w:pStyle w:val="TableParagraph"/>
                          <w:spacing w:before="24"/>
                          <w:ind w:left="71"/>
                          <w:jc w:val="left"/>
                          <w:rPr>
                            <w:sz w:val="22"/>
                          </w:rPr>
                        </w:pPr>
                        <w:r>
                          <w:rPr>
                            <w:sz w:val="22"/>
                          </w:rPr>
                          <w:t>Double authentification</w:t>
                        </w:r>
                      </w:p>
                    </w:tc>
                    <w:tc>
                      <w:tcPr>
                        <w:tcW w:w="1330" w:type="dxa"/>
                        <w:tcBorders>
                          <w:bottom w:val="nil"/>
                        </w:tcBorders>
                      </w:tcPr>
                      <w:p>
                        <w:pPr>
                          <w:pStyle w:val="TableParagraph"/>
                          <w:spacing w:before="24"/>
                          <w:ind w:left="479" w:right="450"/>
                          <w:rPr>
                            <w:sz w:val="22"/>
                          </w:rPr>
                        </w:pPr>
                        <w:r>
                          <w:rPr>
                            <w:sz w:val="22"/>
                          </w:rPr>
                          <w:t>167</w:t>
                        </w:r>
                      </w:p>
                    </w:tc>
                  </w:tr>
                  <w:tr>
                    <w:trPr>
                      <w:trHeight w:val="446" w:hRule="atLeast"/>
                    </w:trPr>
                    <w:tc>
                      <w:tcPr>
                        <w:tcW w:w="3270" w:type="dxa"/>
                        <w:tcBorders>
                          <w:top w:val="nil"/>
                          <w:bottom w:val="nil"/>
                        </w:tcBorders>
                      </w:tcPr>
                      <w:p>
                        <w:pPr>
                          <w:pStyle w:val="TableParagraph"/>
                          <w:spacing w:before="97"/>
                          <w:ind w:left="71"/>
                          <w:jc w:val="left"/>
                          <w:rPr>
                            <w:sz w:val="22"/>
                          </w:rPr>
                        </w:pPr>
                        <w:r>
                          <w:rPr>
                            <w:sz w:val="22"/>
                          </w:rPr>
                          <w:t>Meilleur cryptage des données</w:t>
                        </w:r>
                      </w:p>
                    </w:tc>
                    <w:tc>
                      <w:tcPr>
                        <w:tcW w:w="1330" w:type="dxa"/>
                        <w:tcBorders>
                          <w:top w:val="nil"/>
                          <w:bottom w:val="nil"/>
                        </w:tcBorders>
                      </w:tcPr>
                      <w:p>
                        <w:pPr>
                          <w:pStyle w:val="TableParagraph"/>
                          <w:spacing w:before="97"/>
                          <w:ind w:left="479" w:right="450"/>
                          <w:rPr>
                            <w:sz w:val="22"/>
                          </w:rPr>
                        </w:pPr>
                        <w:r>
                          <w:rPr>
                            <w:sz w:val="22"/>
                          </w:rPr>
                          <w:t>191</w:t>
                        </w:r>
                      </w:p>
                    </w:tc>
                  </w:tr>
                  <w:tr>
                    <w:trPr>
                      <w:trHeight w:val="636" w:hRule="atLeast"/>
                    </w:trPr>
                    <w:tc>
                      <w:tcPr>
                        <w:tcW w:w="3270" w:type="dxa"/>
                        <w:tcBorders>
                          <w:top w:val="nil"/>
                          <w:bottom w:val="nil"/>
                        </w:tcBorders>
                      </w:tcPr>
                      <w:p>
                        <w:pPr>
                          <w:pStyle w:val="TableParagraph"/>
                          <w:spacing w:line="270" w:lineRule="atLeast" w:before="70"/>
                          <w:ind w:left="71"/>
                          <w:jc w:val="left"/>
                          <w:rPr>
                            <w:sz w:val="22"/>
                          </w:rPr>
                        </w:pPr>
                        <w:r>
                          <w:rPr>
                            <w:sz w:val="22"/>
                          </w:rPr>
                          <w:t>Ajouter un code de confirmation secret</w:t>
                        </w:r>
                      </w:p>
                    </w:tc>
                    <w:tc>
                      <w:tcPr>
                        <w:tcW w:w="1330" w:type="dxa"/>
                        <w:tcBorders>
                          <w:top w:val="nil"/>
                          <w:bottom w:val="nil"/>
                        </w:tcBorders>
                      </w:tcPr>
                      <w:p>
                        <w:pPr>
                          <w:pStyle w:val="TableParagraph"/>
                          <w:spacing w:before="3"/>
                          <w:jc w:val="left"/>
                          <w:rPr>
                            <w:sz w:val="19"/>
                          </w:rPr>
                        </w:pPr>
                      </w:p>
                      <w:p>
                        <w:pPr>
                          <w:pStyle w:val="TableParagraph"/>
                          <w:ind w:left="479" w:right="450"/>
                          <w:rPr>
                            <w:sz w:val="22"/>
                          </w:rPr>
                        </w:pPr>
                        <w:r>
                          <w:rPr>
                            <w:sz w:val="22"/>
                          </w:rPr>
                          <w:t>136</w:t>
                        </w:r>
                      </w:p>
                    </w:tc>
                  </w:tr>
                  <w:tr>
                    <w:trPr>
                      <w:trHeight w:val="578" w:hRule="atLeast"/>
                    </w:trPr>
                    <w:tc>
                      <w:tcPr>
                        <w:tcW w:w="3270" w:type="dxa"/>
                        <w:tcBorders>
                          <w:top w:val="nil"/>
                        </w:tcBorders>
                      </w:tcPr>
                      <w:p>
                        <w:pPr>
                          <w:pStyle w:val="TableParagraph"/>
                          <w:spacing w:line="274" w:lineRule="exact" w:before="4"/>
                          <w:ind w:left="71" w:right="522"/>
                          <w:jc w:val="left"/>
                          <w:rPr>
                            <w:sz w:val="22"/>
                          </w:rPr>
                        </w:pPr>
                        <w:r>
                          <w:rPr>
                            <w:sz w:val="22"/>
                          </w:rPr>
                          <w:t>Alertes instantanées en cas de tentative suspecte</w:t>
                        </w:r>
                      </w:p>
                    </w:tc>
                    <w:tc>
                      <w:tcPr>
                        <w:tcW w:w="1330" w:type="dxa"/>
                        <w:tcBorders>
                          <w:top w:val="nil"/>
                        </w:tcBorders>
                      </w:tcPr>
                      <w:p>
                        <w:pPr>
                          <w:pStyle w:val="TableParagraph"/>
                          <w:spacing w:before="157"/>
                          <w:ind w:left="479" w:right="450"/>
                          <w:rPr>
                            <w:sz w:val="22"/>
                          </w:rPr>
                        </w:pPr>
                        <w:r>
                          <w:rPr>
                            <w:sz w:val="22"/>
                          </w:rPr>
                          <w:t>274</w:t>
                        </w:r>
                      </w:p>
                    </w:tc>
                  </w:tr>
                  <w:tr>
                    <w:trPr>
                      <w:trHeight w:val="570" w:hRule="atLeast"/>
                    </w:trPr>
                    <w:tc>
                      <w:tcPr>
                        <w:tcW w:w="3270" w:type="dxa"/>
                      </w:tcPr>
                      <w:p>
                        <w:pPr>
                          <w:pStyle w:val="TableParagraph"/>
                          <w:spacing w:before="144"/>
                          <w:ind w:left="71"/>
                          <w:jc w:val="left"/>
                          <w:rPr>
                            <w:sz w:val="22"/>
                          </w:rPr>
                        </w:pPr>
                        <w:r>
                          <w:rPr>
                            <w:sz w:val="22"/>
                          </w:rPr>
                          <w:t>Total</w:t>
                        </w:r>
                      </w:p>
                    </w:tc>
                    <w:tc>
                      <w:tcPr>
                        <w:tcW w:w="1330" w:type="dxa"/>
                      </w:tcPr>
                      <w:p>
                        <w:pPr>
                          <w:pStyle w:val="TableParagraph"/>
                          <w:spacing w:before="144"/>
                          <w:ind w:left="479" w:right="450"/>
                          <w:rPr>
                            <w:sz w:val="22"/>
                          </w:rPr>
                        </w:pPr>
                        <w:r>
                          <w:rPr>
                            <w:sz w:val="22"/>
                          </w:rPr>
                          <w:t>768</w:t>
                        </w:r>
                      </w:p>
                    </w:tc>
                  </w:tr>
                </w:tbl>
                <w:p>
                  <w:pPr>
                    <w:pStyle w:val="BodyText"/>
                  </w:pPr>
                </w:p>
              </w:txbxContent>
            </v:textbox>
          </v:shape>
        </w:pict>
      </w:r>
      <w:r>
        <w:rPr>
          <w:sz w:val="20"/>
        </w:rPr>
      </w:r>
      <w:r>
        <w:rPr>
          <w:sz w:val="20"/>
        </w:rPr>
        <w:tab/>
      </w:r>
      <w:r>
        <w:rPr>
          <w:position w:val="2"/>
          <w:sz w:val="20"/>
        </w:rPr>
        <w:pict>
          <v:group style="width:220.35pt;height:133.75pt;mso-position-horizontal-relative:char;mso-position-vertical-relative:line" coordorigin="0,0" coordsize="4407,2675">
            <v:shape style="position:absolute;left:1108;top:554;width:578;height:915" coordorigin="1109,554" coordsize="578,915" path="m1109,554l1109,1469,1686,759,1623,712,1557,671,1487,636,1415,607,1341,584,1265,567,1187,557,1109,554xe" filled="true" fillcolor="#5b9bd4" stroked="false">
              <v:path arrowok="t"/>
              <v:fill type="solid"/>
            </v:shape>
            <v:shape style="position:absolute;left:1108;top:759;width:910;height:710" coordorigin="1109,759" coordsize="910,710" path="m1686,759l1109,1469,2018,1372,2006,1292,1987,1215,1962,1140,1931,1068,1893,998,1850,932,1800,870,1746,813,1686,759xe" filled="true" fillcolor="#ec7c30" stroked="false">
              <v:path arrowok="t"/>
              <v:fill type="solid"/>
            </v:shape>
            <v:shape style="position:absolute;left:1108;top:759;width:910;height:710" coordorigin="1109,759" coordsize="910,710" path="m1686,759l1746,813,1800,870,1850,932,1893,998,1931,1068,1962,1140,1987,1215,2006,1292,2018,1372,1109,1469,1686,759xe" filled="false" stroked="true" strokeweight="1.44pt" strokecolor="#ffffff">
              <v:path arrowok="t"/>
              <v:stroke dashstyle="solid"/>
            </v:shape>
            <v:shape style="position:absolute;left:1108;top:1371;width:915;height:495" coordorigin="1109,1371" coordsize="915,495" path="m2018,1371l1109,1469,1932,1866,1966,1788,1992,1708,2010,1625,2020,1541,2023,1456,2018,1371xe" filled="true" fillcolor="#a4a4a4" stroked="false">
              <v:path arrowok="t"/>
              <v:fill type="solid"/>
            </v:shape>
            <v:shape style="position:absolute;left:1108;top:1371;width:915;height:495" coordorigin="1109,1371" coordsize="915,495" path="m2018,1371l2023,1456,2020,1541,2010,1625,1992,1708,1966,1788,1932,1866,1109,1469,2018,1371xe" filled="false" stroked="true" strokeweight="1.44pt" strokecolor="#ffffff">
              <v:path arrowok="t"/>
              <v:stroke dashstyle="solid"/>
            </v:shape>
            <v:shape style="position:absolute;left:1108;top:1468;width:824;height:915" coordorigin="1109,1469" coordsize="824,915" path="m1109,1469l1109,2383,1189,2380,1268,2369,1345,2352,1420,2329,1492,2299,1561,2263,1627,2222,1690,2175,1748,2123,1802,2066,1850,2004,1894,1937,1932,1866,1109,1469xe" filled="true" fillcolor="#ffc000" stroked="false">
              <v:path arrowok="t"/>
              <v:fill type="solid"/>
            </v:shape>
            <v:shape style="position:absolute;left:1108;top:1468;width:824;height:915" coordorigin="1109,1469" coordsize="824,915" path="m1932,1866l1894,1937,1850,2004,1802,2066,1748,2123,1690,2175,1627,2222,1561,2263,1492,2299,1420,2329,1345,2352,1268,2369,1189,2380,1109,2383,1109,1469,1932,1866xe" filled="false" stroked="true" strokeweight="1.44pt" strokecolor="#ffffff">
              <v:path arrowok="t"/>
              <v:stroke dashstyle="solid"/>
            </v:shape>
            <v:shape style="position:absolute;left:194;top:554;width:915;height:1829" coordorigin="194,554" coordsize="915,1829" path="m1109,554l1034,557,960,566,889,581,820,601,753,626,688,656,627,691,569,731,514,774,462,822,414,873,371,929,331,987,296,1048,266,1113,241,1180,221,1249,206,1320,197,1394,194,1469,197,1544,206,1617,221,1688,241,1758,266,1825,296,1889,331,1950,371,2009,414,2064,462,2115,514,2163,569,2207,627,2246,688,2281,753,2311,820,2336,889,2357,960,2371,1034,2380,1109,2383,1109,554xe" filled="true" fillcolor="#4471c4" stroked="false">
              <v:path arrowok="t"/>
              <v:fill type="solid"/>
            </v:shape>
            <v:shape style="position:absolute;left:194;top:554;width:915;height:1829" coordorigin="194,554" coordsize="915,1829" path="m1109,2383l1034,2380,960,2371,889,2357,820,2336,753,2311,688,2281,627,2246,569,2207,514,2163,462,2115,414,2064,371,2009,331,1950,296,1889,266,1825,241,1758,221,1688,206,1617,197,1544,194,1469,197,1394,206,1320,221,1249,241,1180,266,1113,296,1048,331,987,371,929,414,873,462,822,514,774,569,731,627,691,688,656,753,626,820,601,889,581,960,566,1034,557,1109,554,1109,1469,1109,2383xe" filled="false" stroked="true" strokeweight="1.44pt" strokecolor="#ffffff">
              <v:path arrowok="t"/>
              <v:stroke dashstyle="solid"/>
            </v:shape>
            <v:rect style="position:absolute;left:2201;top:488;width:99;height:99" filled="true" fillcolor="#5b9bd4" stroked="false">
              <v:fill type="solid"/>
            </v:rect>
            <v:rect style="position:absolute;left:2201;top:899;width:99;height:99" filled="true" fillcolor="#ec7c30" stroked="false">
              <v:fill type="solid"/>
            </v:rect>
            <v:rect style="position:absolute;left:2201;top:1309;width:99;height:99" filled="true" fillcolor="#a4a4a4" stroked="false">
              <v:fill type="solid"/>
            </v:rect>
            <v:rect style="position:absolute;left:2201;top:1720;width:99;height:99" filled="true" fillcolor="#ffc000" stroked="false">
              <v:fill type="solid"/>
            </v:rect>
            <v:rect style="position:absolute;left:7;top:7;width:4392;height:2660" filled="false" stroked="true" strokeweight=".75pt" strokecolor="#d9d9d9">
              <v:stroke dashstyle="solid"/>
            </v:rect>
            <v:shape style="position:absolute;left:2345;top:865;width:2016;height:1224" type="#_x0000_t202" filled="false" stroked="false">
              <v:textbox inset="0,0,0,0">
                <w:txbxContent>
                  <w:p>
                    <w:pPr>
                      <w:spacing w:line="185" w:lineRule="exact" w:before="0"/>
                      <w:ind w:left="0" w:right="0" w:firstLine="0"/>
                      <w:jc w:val="left"/>
                      <w:rPr>
                        <w:rFonts w:ascii="Calibri"/>
                        <w:sz w:val="18"/>
                      </w:rPr>
                    </w:pPr>
                    <w:r>
                      <w:rPr>
                        <w:rFonts w:ascii="Calibri"/>
                        <w:color w:val="585858"/>
                        <w:sz w:val="18"/>
                      </w:rPr>
                      <w:t>Meilleur cryptage des</w:t>
                    </w:r>
                  </w:p>
                  <w:p>
                    <w:pPr>
                      <w:spacing w:line="205" w:lineRule="exact" w:before="0"/>
                      <w:ind w:left="0" w:right="0" w:firstLine="0"/>
                      <w:jc w:val="left"/>
                      <w:rPr>
                        <w:rFonts w:ascii="Calibri" w:hAnsi="Calibri"/>
                        <w:sz w:val="18"/>
                      </w:rPr>
                    </w:pPr>
                    <w:r>
                      <w:rPr>
                        <w:rFonts w:ascii="Calibri" w:hAnsi="Calibri"/>
                        <w:color w:val="585858"/>
                        <w:sz w:val="18"/>
                      </w:rPr>
                      <w:t>données</w:t>
                    </w:r>
                  </w:p>
                  <w:p>
                    <w:pPr>
                      <w:spacing w:line="205" w:lineRule="exact" w:before="0"/>
                      <w:ind w:left="0" w:right="0" w:firstLine="0"/>
                      <w:jc w:val="left"/>
                      <w:rPr>
                        <w:rFonts w:ascii="Calibri"/>
                        <w:sz w:val="18"/>
                      </w:rPr>
                    </w:pPr>
                    <w:r>
                      <w:rPr>
                        <w:rFonts w:ascii="Calibri"/>
                        <w:color w:val="585858"/>
                        <w:sz w:val="18"/>
                      </w:rPr>
                      <w:t>Ajouter un code</w:t>
                    </w:r>
                    <w:r>
                      <w:rPr>
                        <w:rFonts w:ascii="Calibri"/>
                        <w:color w:val="585858"/>
                        <w:spacing w:val="-8"/>
                        <w:sz w:val="18"/>
                      </w:rPr>
                      <w:t> </w:t>
                    </w:r>
                    <w:r>
                      <w:rPr>
                        <w:rFonts w:ascii="Calibri"/>
                        <w:color w:val="585858"/>
                        <w:sz w:val="18"/>
                      </w:rPr>
                      <w:t>de</w:t>
                    </w:r>
                  </w:p>
                  <w:p>
                    <w:pPr>
                      <w:spacing w:line="205" w:lineRule="exact" w:before="0"/>
                      <w:ind w:left="0" w:right="0" w:firstLine="0"/>
                      <w:jc w:val="left"/>
                      <w:rPr>
                        <w:rFonts w:ascii="Calibri"/>
                        <w:sz w:val="18"/>
                      </w:rPr>
                    </w:pPr>
                    <w:r>
                      <w:rPr>
                        <w:rFonts w:ascii="Calibri"/>
                        <w:color w:val="585858"/>
                        <w:sz w:val="18"/>
                      </w:rPr>
                      <w:t>confirmation</w:t>
                    </w:r>
                    <w:r>
                      <w:rPr>
                        <w:rFonts w:ascii="Calibri"/>
                        <w:color w:val="585858"/>
                        <w:spacing w:val="-9"/>
                        <w:sz w:val="18"/>
                      </w:rPr>
                      <w:t> </w:t>
                    </w:r>
                    <w:r>
                      <w:rPr>
                        <w:rFonts w:ascii="Calibri"/>
                        <w:color w:val="585858"/>
                        <w:sz w:val="18"/>
                      </w:rPr>
                      <w:t>secret</w:t>
                    </w:r>
                  </w:p>
                  <w:p>
                    <w:pPr>
                      <w:spacing w:line="205" w:lineRule="exact" w:before="0"/>
                      <w:ind w:left="0" w:right="0" w:firstLine="0"/>
                      <w:jc w:val="left"/>
                      <w:rPr>
                        <w:rFonts w:ascii="Calibri" w:hAnsi="Calibri"/>
                        <w:sz w:val="18"/>
                      </w:rPr>
                    </w:pPr>
                    <w:r>
                      <w:rPr>
                        <w:rFonts w:ascii="Calibri" w:hAnsi="Calibri"/>
                        <w:color w:val="585858"/>
                        <w:sz w:val="18"/>
                      </w:rPr>
                      <w:t>Alertes instantanées en cas</w:t>
                    </w:r>
                  </w:p>
                  <w:p>
                    <w:pPr>
                      <w:spacing w:line="217" w:lineRule="exact" w:before="0"/>
                      <w:ind w:left="0" w:right="0" w:firstLine="0"/>
                      <w:jc w:val="left"/>
                      <w:rPr>
                        <w:rFonts w:ascii="Calibri"/>
                        <w:sz w:val="18"/>
                      </w:rPr>
                    </w:pPr>
                    <w:r>
                      <w:rPr>
                        <w:rFonts w:ascii="Calibri"/>
                        <w:color w:val="585858"/>
                        <w:sz w:val="18"/>
                      </w:rPr>
                      <w:t>de tentative suspecte</w:t>
                    </w:r>
                  </w:p>
                </w:txbxContent>
              </v:textbox>
              <w10:wrap type="none"/>
            </v:shape>
            <v:shape style="position:absolute;left:1312;top:1979;width:294;height:183" type="#_x0000_t202" filled="false" stroked="false">
              <v:textbox inset="0,0,0,0">
                <w:txbxContent>
                  <w:p>
                    <w:pPr>
                      <w:spacing w:line="183" w:lineRule="exact" w:before="0"/>
                      <w:ind w:left="0" w:right="0" w:firstLine="0"/>
                      <w:jc w:val="left"/>
                      <w:rPr>
                        <w:rFonts w:ascii="Calibri"/>
                        <w:sz w:val="18"/>
                      </w:rPr>
                    </w:pPr>
                    <w:r>
                      <w:rPr>
                        <w:rFonts w:ascii="Calibri"/>
                        <w:color w:val="404040"/>
                        <w:sz w:val="18"/>
                      </w:rPr>
                      <w:t>274</w:t>
                    </w:r>
                  </w:p>
                </w:txbxContent>
              </v:textbox>
              <w10:wrap type="none"/>
            </v:shape>
            <v:shape style="position:absolute;left:1642;top:1499;width:294;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136</w:t>
                    </w:r>
                  </w:p>
                </w:txbxContent>
              </v:textbox>
              <w10:wrap type="none"/>
            </v:shape>
            <v:shape style="position:absolute;left:277;top:1394;width:294;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768</w:t>
                    </w:r>
                  </w:p>
                </w:txbxContent>
              </v:textbox>
              <w10:wrap type="none"/>
            </v:shape>
            <v:shape style="position:absolute;left:1567;top:1109;width:294;height:183" type="#_x0000_t202" filled="false" stroked="false">
              <v:textbox inset="0,0,0,0">
                <w:txbxContent>
                  <w:p>
                    <w:pPr>
                      <w:spacing w:line="183" w:lineRule="exact" w:before="0"/>
                      <w:ind w:left="0" w:right="0" w:firstLine="0"/>
                      <w:jc w:val="left"/>
                      <w:rPr>
                        <w:rFonts w:ascii="Calibri"/>
                        <w:sz w:val="18"/>
                      </w:rPr>
                    </w:pPr>
                    <w:r>
                      <w:rPr>
                        <w:rFonts w:ascii="Calibri"/>
                        <w:color w:val="404040"/>
                        <w:sz w:val="18"/>
                      </w:rPr>
                      <w:t>191</w:t>
                    </w:r>
                  </w:p>
                </w:txbxContent>
              </v:textbox>
              <w10:wrap type="none"/>
            </v:shape>
            <v:shape style="position:absolute;left:1177;top:749;width:294;height:183" type="#_x0000_t202" filled="false" stroked="false">
              <v:textbox inset="0,0,0,0">
                <w:txbxContent>
                  <w:p>
                    <w:pPr>
                      <w:spacing w:line="182" w:lineRule="exact" w:before="0"/>
                      <w:ind w:left="0" w:right="0" w:firstLine="0"/>
                      <w:jc w:val="left"/>
                      <w:rPr>
                        <w:rFonts w:ascii="Calibri"/>
                        <w:sz w:val="18"/>
                      </w:rPr>
                    </w:pPr>
                    <w:r>
                      <w:rPr>
                        <w:rFonts w:ascii="Calibri"/>
                        <w:color w:val="404040"/>
                        <w:sz w:val="18"/>
                      </w:rPr>
                      <w:t>167</w:t>
                    </w:r>
                  </w:p>
                </w:txbxContent>
              </v:textbox>
              <w10:wrap type="none"/>
            </v:shape>
            <v:shape style="position:absolute;left:2345;top:454;width:1757;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Double authentification</w:t>
                    </w:r>
                  </w:p>
                </w:txbxContent>
              </v:textbox>
              <w10:wrap type="none"/>
            </v:shape>
          </v:group>
        </w:pict>
      </w:r>
      <w:r>
        <w:rPr>
          <w:position w:val="2"/>
          <w:sz w:val="20"/>
        </w:rPr>
      </w:r>
    </w:p>
    <w:p>
      <w:pPr>
        <w:pStyle w:val="BodyText"/>
        <w:rPr>
          <w:sz w:val="7"/>
        </w:rPr>
      </w:pPr>
    </w:p>
    <w:p>
      <w:pPr>
        <w:pStyle w:val="BodyText"/>
        <w:spacing w:before="90"/>
        <w:ind w:left="2414"/>
      </w:pPr>
      <w:r>
        <w:rPr>
          <w:b/>
        </w:rPr>
        <w:t>Source : </w:t>
      </w:r>
      <w:r>
        <w:rPr/>
        <w:t>élaboré par nous-même sur la base des outputs SPSS</w:t>
      </w:r>
    </w:p>
    <w:p>
      <w:pPr>
        <w:pStyle w:val="BodyText"/>
        <w:spacing w:before="3"/>
        <w:rPr>
          <w:sz w:val="23"/>
        </w:rPr>
      </w:pPr>
    </w:p>
    <w:p>
      <w:pPr>
        <w:pStyle w:val="BodyText"/>
        <w:spacing w:line="360" w:lineRule="auto"/>
        <w:ind w:left="699" w:right="320" w:firstLine="360"/>
        <w:jc w:val="both"/>
      </w:pPr>
      <w:r>
        <w:rPr/>
        <w:t>Les utilisateurs ont proposé plusieurs idées pour améliorer </w:t>
      </w:r>
      <w:r>
        <w:rPr>
          <w:spacing w:val="-5"/>
        </w:rPr>
        <w:t>la </w:t>
      </w:r>
      <w:r>
        <w:rPr/>
        <w:t>sécurité de l’application. 274 personnes aimeraient recevoir des alertes instantanées en cas de tentative suspecte. 191 personnes souhaitent un meilleur cryptage des données pour protéger leurs informations. 167 personnes aimeraient</w:t>
      </w:r>
      <w:r>
        <w:rPr>
          <w:spacing w:val="-9"/>
        </w:rPr>
        <w:t> </w:t>
      </w:r>
      <w:r>
        <w:rPr/>
        <w:t>qu’il</w:t>
      </w:r>
      <w:r>
        <w:rPr>
          <w:spacing w:val="-16"/>
        </w:rPr>
        <w:t> </w:t>
      </w:r>
      <w:r>
        <w:rPr/>
        <w:t>y</w:t>
      </w:r>
      <w:r>
        <w:rPr>
          <w:spacing w:val="-21"/>
        </w:rPr>
        <w:t> </w:t>
      </w:r>
      <w:r>
        <w:rPr>
          <w:spacing w:val="-3"/>
        </w:rPr>
        <w:t>ait</w:t>
      </w:r>
      <w:r>
        <w:rPr>
          <w:spacing w:val="-8"/>
        </w:rPr>
        <w:t> </w:t>
      </w:r>
      <w:r>
        <w:rPr/>
        <w:t>une</w:t>
      </w:r>
      <w:r>
        <w:rPr>
          <w:spacing w:val="-14"/>
        </w:rPr>
        <w:t> </w:t>
      </w:r>
      <w:r>
        <w:rPr/>
        <w:t>double</w:t>
      </w:r>
      <w:r>
        <w:rPr>
          <w:spacing w:val="-14"/>
        </w:rPr>
        <w:t> </w:t>
      </w:r>
      <w:r>
        <w:rPr/>
        <w:t>authentification.</w:t>
      </w:r>
      <w:r>
        <w:rPr>
          <w:spacing w:val="-11"/>
        </w:rPr>
        <w:t> </w:t>
      </w:r>
      <w:r>
        <w:rPr/>
        <w:t>136</w:t>
      </w:r>
      <w:r>
        <w:rPr>
          <w:spacing w:val="-12"/>
        </w:rPr>
        <w:t> </w:t>
      </w:r>
      <w:r>
        <w:rPr/>
        <w:t>personnes</w:t>
      </w:r>
      <w:r>
        <w:rPr>
          <w:spacing w:val="-15"/>
        </w:rPr>
        <w:t> </w:t>
      </w:r>
      <w:r>
        <w:rPr/>
        <w:t>proposent</w:t>
      </w:r>
      <w:r>
        <w:rPr>
          <w:spacing w:val="-12"/>
        </w:rPr>
        <w:t> </w:t>
      </w:r>
      <w:r>
        <w:rPr/>
        <w:t>d’ajouter</w:t>
      </w:r>
      <w:r>
        <w:rPr>
          <w:spacing w:val="-15"/>
        </w:rPr>
        <w:t> </w:t>
      </w:r>
      <w:r>
        <w:rPr/>
        <w:t>un</w:t>
      </w:r>
      <w:r>
        <w:rPr>
          <w:spacing w:val="-17"/>
        </w:rPr>
        <w:t> </w:t>
      </w:r>
      <w:r>
        <w:rPr/>
        <w:t>code</w:t>
      </w:r>
      <w:r>
        <w:rPr>
          <w:spacing w:val="-17"/>
        </w:rPr>
        <w:t> </w:t>
      </w:r>
      <w:r>
        <w:rPr/>
        <w:t>secret de confirmation pour valider certaines actions. Cela montre que les utilisateurs sont sensibles à </w:t>
      </w:r>
      <w:r>
        <w:rPr>
          <w:spacing w:val="-5"/>
        </w:rPr>
        <w:t>la </w:t>
      </w:r>
      <w:r>
        <w:rPr/>
        <w:t>sécurité et attendent des mesures concrètes pour se sentir</w:t>
      </w:r>
      <w:r>
        <w:rPr>
          <w:spacing w:val="12"/>
        </w:rPr>
        <w:t> </w:t>
      </w:r>
      <w:r>
        <w:rPr/>
        <w:t>protégés.</w:t>
      </w:r>
    </w:p>
    <w:p>
      <w:pPr>
        <w:pStyle w:val="Heading5"/>
        <w:spacing w:line="280" w:lineRule="auto" w:before="166"/>
        <w:ind w:left="699" w:right="449" w:firstLine="0"/>
      </w:pPr>
      <w:r>
        <w:rPr/>
        <w:t>Q14_Si vous considérez que BaridiMob n’est pas sécurisé, seriez-vous prêt(e) à utiliser</w:t>
      </w:r>
      <w:r>
        <w:rPr>
          <w:spacing w:val="-30"/>
        </w:rPr>
        <w:t> </w:t>
      </w:r>
      <w:r>
        <w:rPr/>
        <w:t>une autre solution de paiement</w:t>
      </w:r>
      <w:r>
        <w:rPr>
          <w:spacing w:val="7"/>
        </w:rPr>
        <w:t> </w:t>
      </w:r>
      <w:r>
        <w:rPr/>
        <w:t>?</w:t>
      </w:r>
    </w:p>
    <w:p>
      <w:pPr>
        <w:spacing w:before="147"/>
        <w:ind w:left="699" w:right="0" w:firstLine="0"/>
        <w:jc w:val="both"/>
        <w:rPr>
          <w:sz w:val="24"/>
        </w:rPr>
      </w:pPr>
      <w:bookmarkStart w:name="_bookmark42" w:id="236"/>
      <w:bookmarkEnd w:id="236"/>
      <w:r>
        <w:rPr/>
      </w:r>
      <w:r>
        <w:rPr>
          <w:b/>
          <w:color w:val="44536A"/>
          <w:sz w:val="24"/>
        </w:rPr>
        <w:t>Tableau 15 : </w:t>
      </w:r>
      <w:r>
        <w:rPr>
          <w:color w:val="44536A"/>
          <w:sz w:val="24"/>
        </w:rPr>
        <w:t>Réaction face à un manque de sécurité sur BaridiMob</w:t>
      </w:r>
    </w:p>
    <w:p>
      <w:pPr>
        <w:pStyle w:val="BodyText"/>
        <w:spacing w:before="4"/>
        <w:rPr>
          <w:sz w:val="16"/>
        </w:rPr>
      </w:pPr>
    </w:p>
    <w:tbl>
      <w:tblPr>
        <w:tblW w:w="0" w:type="auto"/>
        <w:jc w:val="left"/>
        <w:tblInd w:w="72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893"/>
        <w:gridCol w:w="1258"/>
        <w:gridCol w:w="1109"/>
        <w:gridCol w:w="2218"/>
      </w:tblGrid>
      <w:tr>
        <w:trPr>
          <w:trHeight w:val="517" w:hRule="atLeast"/>
        </w:trPr>
        <w:tc>
          <w:tcPr>
            <w:tcW w:w="4893" w:type="dxa"/>
          </w:tcPr>
          <w:p>
            <w:pPr>
              <w:pStyle w:val="TableParagraph"/>
              <w:jc w:val="left"/>
              <w:rPr>
                <w:sz w:val="22"/>
              </w:rPr>
            </w:pPr>
          </w:p>
        </w:tc>
        <w:tc>
          <w:tcPr>
            <w:tcW w:w="1258" w:type="dxa"/>
          </w:tcPr>
          <w:p>
            <w:pPr>
              <w:pStyle w:val="TableParagraph"/>
              <w:spacing w:before="77"/>
              <w:ind w:left="187" w:right="157"/>
              <w:rPr>
                <w:rFonts w:ascii="Calibri Light"/>
                <w:b w:val="0"/>
                <w:sz w:val="20"/>
              </w:rPr>
            </w:pPr>
            <w:r>
              <w:rPr>
                <w:rFonts w:ascii="Calibri Light"/>
                <w:b w:val="0"/>
                <w:sz w:val="20"/>
              </w:rPr>
              <w:t>Frequency</w:t>
            </w:r>
          </w:p>
        </w:tc>
        <w:tc>
          <w:tcPr>
            <w:tcW w:w="1109" w:type="dxa"/>
          </w:tcPr>
          <w:p>
            <w:pPr>
              <w:pStyle w:val="TableParagraph"/>
              <w:spacing w:before="77"/>
              <w:ind w:left="229" w:right="187"/>
              <w:rPr>
                <w:rFonts w:ascii="Calibri Light"/>
                <w:b w:val="0"/>
                <w:sz w:val="20"/>
              </w:rPr>
            </w:pPr>
            <w:r>
              <w:rPr>
                <w:rFonts w:ascii="Calibri Light"/>
                <w:b w:val="0"/>
                <w:sz w:val="20"/>
              </w:rPr>
              <w:t>Percent</w:t>
            </w:r>
          </w:p>
        </w:tc>
        <w:tc>
          <w:tcPr>
            <w:tcW w:w="2218" w:type="dxa"/>
          </w:tcPr>
          <w:p>
            <w:pPr>
              <w:pStyle w:val="TableParagraph"/>
              <w:spacing w:before="77"/>
              <w:ind w:left="306" w:right="265"/>
              <w:rPr>
                <w:rFonts w:ascii="Calibri Light"/>
                <w:b w:val="0"/>
                <w:sz w:val="20"/>
              </w:rPr>
            </w:pPr>
            <w:r>
              <w:rPr>
                <w:rFonts w:ascii="Calibri Light"/>
                <w:b w:val="0"/>
                <w:sz w:val="20"/>
              </w:rPr>
              <w:t>Cumulative Percent</w:t>
            </w:r>
          </w:p>
        </w:tc>
      </w:tr>
      <w:tr>
        <w:trPr>
          <w:trHeight w:val="335" w:hRule="atLeast"/>
        </w:trPr>
        <w:tc>
          <w:tcPr>
            <w:tcW w:w="4893" w:type="dxa"/>
            <w:tcBorders>
              <w:bottom w:val="single" w:sz="4" w:space="0" w:color="BEBEBE"/>
            </w:tcBorders>
          </w:tcPr>
          <w:p>
            <w:pPr>
              <w:pStyle w:val="TableParagraph"/>
              <w:spacing w:line="237" w:lineRule="exact" w:before="78"/>
              <w:ind w:left="172"/>
              <w:jc w:val="left"/>
              <w:rPr>
                <w:rFonts w:ascii="Calibri Light" w:hAnsi="Calibri Light"/>
                <w:b w:val="0"/>
                <w:sz w:val="20"/>
              </w:rPr>
            </w:pPr>
            <w:r>
              <w:rPr>
                <w:rFonts w:ascii="Calibri Light" w:hAnsi="Calibri Light"/>
                <w:b w:val="0"/>
                <w:sz w:val="20"/>
              </w:rPr>
              <w:t>Oui, immédiatement</w:t>
            </w:r>
          </w:p>
        </w:tc>
        <w:tc>
          <w:tcPr>
            <w:tcW w:w="1258" w:type="dxa"/>
            <w:tcBorders>
              <w:bottom w:val="single" w:sz="4" w:space="0" w:color="BEBEBE"/>
            </w:tcBorders>
          </w:tcPr>
          <w:p>
            <w:pPr>
              <w:pStyle w:val="TableParagraph"/>
              <w:spacing w:line="237" w:lineRule="exact" w:before="78"/>
              <w:ind w:left="180" w:right="157"/>
              <w:rPr>
                <w:rFonts w:ascii="Calibri Light"/>
                <w:b w:val="0"/>
                <w:sz w:val="20"/>
              </w:rPr>
            </w:pPr>
            <w:r>
              <w:rPr>
                <w:rFonts w:ascii="Calibri Light"/>
                <w:b w:val="0"/>
                <w:sz w:val="20"/>
              </w:rPr>
              <w:t>168</w:t>
            </w:r>
          </w:p>
        </w:tc>
        <w:tc>
          <w:tcPr>
            <w:tcW w:w="1109" w:type="dxa"/>
            <w:tcBorders>
              <w:bottom w:val="single" w:sz="4" w:space="0" w:color="BEBEBE"/>
            </w:tcBorders>
          </w:tcPr>
          <w:p>
            <w:pPr>
              <w:pStyle w:val="TableParagraph"/>
              <w:spacing w:line="237" w:lineRule="exact" w:before="78"/>
              <w:ind w:left="215" w:right="187"/>
              <w:rPr>
                <w:rFonts w:ascii="Calibri Light"/>
                <w:b w:val="0"/>
                <w:sz w:val="20"/>
              </w:rPr>
            </w:pPr>
            <w:r>
              <w:rPr>
                <w:rFonts w:ascii="Calibri Light"/>
                <w:b w:val="0"/>
                <w:sz w:val="20"/>
              </w:rPr>
              <w:t>40,8</w:t>
            </w:r>
          </w:p>
        </w:tc>
        <w:tc>
          <w:tcPr>
            <w:tcW w:w="2218" w:type="dxa"/>
            <w:tcBorders>
              <w:bottom w:val="single" w:sz="4" w:space="0" w:color="BEBEBE"/>
            </w:tcBorders>
          </w:tcPr>
          <w:p>
            <w:pPr>
              <w:pStyle w:val="TableParagraph"/>
              <w:spacing w:line="237" w:lineRule="exact" w:before="78"/>
              <w:ind w:left="299" w:right="265"/>
              <w:rPr>
                <w:rFonts w:ascii="Calibri Light"/>
                <w:b w:val="0"/>
                <w:sz w:val="20"/>
              </w:rPr>
            </w:pPr>
            <w:r>
              <w:rPr>
                <w:rFonts w:ascii="Calibri Light"/>
                <w:b w:val="0"/>
                <w:sz w:val="20"/>
              </w:rPr>
              <w:t>44,7</w:t>
            </w:r>
          </w:p>
        </w:tc>
      </w:tr>
      <w:tr>
        <w:trPr>
          <w:trHeight w:val="321" w:hRule="atLeast"/>
        </w:trPr>
        <w:tc>
          <w:tcPr>
            <w:tcW w:w="4893" w:type="dxa"/>
            <w:tcBorders>
              <w:top w:val="single" w:sz="4" w:space="0" w:color="BEBEBE"/>
              <w:bottom w:val="single" w:sz="4" w:space="0" w:color="BEBEBE"/>
            </w:tcBorders>
          </w:tcPr>
          <w:p>
            <w:pPr>
              <w:pStyle w:val="TableParagraph"/>
              <w:spacing w:line="228" w:lineRule="exact" w:before="73"/>
              <w:ind w:left="172"/>
              <w:jc w:val="left"/>
              <w:rPr>
                <w:rFonts w:ascii="Calibri Light" w:hAnsi="Calibri Light"/>
                <w:b w:val="0"/>
                <w:sz w:val="20"/>
              </w:rPr>
            </w:pPr>
            <w:r>
              <w:rPr>
                <w:rFonts w:ascii="Calibri Light" w:hAnsi="Calibri Light"/>
                <w:b w:val="0"/>
                <w:sz w:val="20"/>
              </w:rPr>
              <w:t>Oui, mais seulement en cas de problème avéré</w:t>
            </w:r>
          </w:p>
        </w:tc>
        <w:tc>
          <w:tcPr>
            <w:tcW w:w="1258" w:type="dxa"/>
            <w:tcBorders>
              <w:top w:val="single" w:sz="4" w:space="0" w:color="BEBEBE"/>
              <w:bottom w:val="single" w:sz="4" w:space="0" w:color="BEBEBE"/>
            </w:tcBorders>
          </w:tcPr>
          <w:p>
            <w:pPr>
              <w:pStyle w:val="TableParagraph"/>
              <w:spacing w:line="228" w:lineRule="exact" w:before="73"/>
              <w:ind w:left="180" w:right="157"/>
              <w:rPr>
                <w:rFonts w:ascii="Calibri Light"/>
                <w:b w:val="0"/>
                <w:sz w:val="20"/>
              </w:rPr>
            </w:pPr>
            <w:r>
              <w:rPr>
                <w:rFonts w:ascii="Calibri Light"/>
                <w:b w:val="0"/>
                <w:sz w:val="20"/>
              </w:rPr>
              <w:t>190</w:t>
            </w:r>
          </w:p>
        </w:tc>
        <w:tc>
          <w:tcPr>
            <w:tcW w:w="1109" w:type="dxa"/>
            <w:tcBorders>
              <w:top w:val="single" w:sz="4" w:space="0" w:color="BEBEBE"/>
              <w:bottom w:val="single" w:sz="4" w:space="0" w:color="BEBEBE"/>
            </w:tcBorders>
          </w:tcPr>
          <w:p>
            <w:pPr>
              <w:pStyle w:val="TableParagraph"/>
              <w:spacing w:line="228" w:lineRule="exact" w:before="73"/>
              <w:ind w:left="215" w:right="187"/>
              <w:rPr>
                <w:rFonts w:ascii="Calibri Light"/>
                <w:b w:val="0"/>
                <w:sz w:val="20"/>
              </w:rPr>
            </w:pPr>
            <w:r>
              <w:rPr>
                <w:rFonts w:ascii="Calibri Light"/>
                <w:b w:val="0"/>
                <w:sz w:val="20"/>
              </w:rPr>
              <w:t>46,1</w:t>
            </w:r>
          </w:p>
        </w:tc>
        <w:tc>
          <w:tcPr>
            <w:tcW w:w="2218" w:type="dxa"/>
            <w:tcBorders>
              <w:top w:val="single" w:sz="4" w:space="0" w:color="BEBEBE"/>
              <w:bottom w:val="single" w:sz="4" w:space="0" w:color="BEBEBE"/>
            </w:tcBorders>
          </w:tcPr>
          <w:p>
            <w:pPr>
              <w:pStyle w:val="TableParagraph"/>
              <w:spacing w:line="228" w:lineRule="exact" w:before="73"/>
              <w:ind w:left="299" w:right="265"/>
              <w:rPr>
                <w:rFonts w:ascii="Calibri Light"/>
                <w:b w:val="0"/>
                <w:sz w:val="20"/>
              </w:rPr>
            </w:pPr>
            <w:r>
              <w:rPr>
                <w:rFonts w:ascii="Calibri Light"/>
                <w:b w:val="0"/>
                <w:sz w:val="20"/>
              </w:rPr>
              <w:t>95,2</w:t>
            </w:r>
          </w:p>
        </w:tc>
      </w:tr>
      <w:tr>
        <w:trPr>
          <w:trHeight w:val="330" w:hRule="atLeast"/>
        </w:trPr>
        <w:tc>
          <w:tcPr>
            <w:tcW w:w="4893" w:type="dxa"/>
            <w:tcBorders>
              <w:top w:val="single" w:sz="4" w:space="0" w:color="BEBEBE"/>
              <w:bottom w:val="single" w:sz="4" w:space="0" w:color="BEBEBE"/>
            </w:tcBorders>
          </w:tcPr>
          <w:p>
            <w:pPr>
              <w:pStyle w:val="TableParagraph"/>
              <w:spacing w:line="237" w:lineRule="exact" w:before="73"/>
              <w:ind w:left="172"/>
              <w:jc w:val="left"/>
              <w:rPr>
                <w:rFonts w:ascii="Calibri Light" w:hAnsi="Calibri Light"/>
                <w:b w:val="0"/>
                <w:sz w:val="20"/>
              </w:rPr>
            </w:pPr>
            <w:r>
              <w:rPr>
                <w:rFonts w:ascii="Calibri Light" w:hAnsi="Calibri Light"/>
                <w:b w:val="0"/>
                <w:sz w:val="20"/>
              </w:rPr>
              <w:t>Non, je resterais sur Baridi-Mob malgré les risques</w:t>
            </w:r>
          </w:p>
        </w:tc>
        <w:tc>
          <w:tcPr>
            <w:tcW w:w="1258" w:type="dxa"/>
            <w:tcBorders>
              <w:top w:val="single" w:sz="4" w:space="0" w:color="BEBEBE"/>
              <w:bottom w:val="single" w:sz="4" w:space="0" w:color="BEBEBE"/>
            </w:tcBorders>
          </w:tcPr>
          <w:p>
            <w:pPr>
              <w:pStyle w:val="TableParagraph"/>
              <w:spacing w:line="237" w:lineRule="exact" w:before="73"/>
              <w:ind w:left="186" w:right="157"/>
              <w:rPr>
                <w:rFonts w:ascii="Calibri Light"/>
                <w:b w:val="0"/>
                <w:sz w:val="20"/>
              </w:rPr>
            </w:pPr>
            <w:r>
              <w:rPr>
                <w:rFonts w:ascii="Calibri Light"/>
                <w:b w:val="0"/>
                <w:sz w:val="20"/>
              </w:rPr>
              <w:t>18</w:t>
            </w:r>
          </w:p>
        </w:tc>
        <w:tc>
          <w:tcPr>
            <w:tcW w:w="1109" w:type="dxa"/>
            <w:tcBorders>
              <w:top w:val="single" w:sz="4" w:space="0" w:color="BEBEBE"/>
              <w:bottom w:val="single" w:sz="4" w:space="0" w:color="BEBEBE"/>
            </w:tcBorders>
          </w:tcPr>
          <w:p>
            <w:pPr>
              <w:pStyle w:val="TableParagraph"/>
              <w:spacing w:line="237" w:lineRule="exact" w:before="73"/>
              <w:ind w:left="220" w:right="187"/>
              <w:rPr>
                <w:rFonts w:ascii="Calibri Light"/>
                <w:b w:val="0"/>
                <w:sz w:val="20"/>
              </w:rPr>
            </w:pPr>
            <w:r>
              <w:rPr>
                <w:rFonts w:ascii="Calibri Light"/>
                <w:b w:val="0"/>
                <w:sz w:val="20"/>
              </w:rPr>
              <w:t>4,4</w:t>
            </w:r>
          </w:p>
        </w:tc>
        <w:tc>
          <w:tcPr>
            <w:tcW w:w="2218" w:type="dxa"/>
            <w:tcBorders>
              <w:top w:val="single" w:sz="4" w:space="0" w:color="BEBEBE"/>
              <w:bottom w:val="single" w:sz="4" w:space="0" w:color="BEBEBE"/>
            </w:tcBorders>
          </w:tcPr>
          <w:p>
            <w:pPr>
              <w:pStyle w:val="TableParagraph"/>
              <w:spacing w:line="237" w:lineRule="exact" w:before="73"/>
              <w:ind w:left="295" w:right="265"/>
              <w:rPr>
                <w:rFonts w:ascii="Calibri Light"/>
                <w:b w:val="0"/>
                <w:sz w:val="20"/>
              </w:rPr>
            </w:pPr>
            <w:r>
              <w:rPr>
                <w:rFonts w:ascii="Calibri Light"/>
                <w:b w:val="0"/>
                <w:sz w:val="20"/>
              </w:rPr>
              <w:t>100,0</w:t>
            </w:r>
          </w:p>
        </w:tc>
      </w:tr>
      <w:tr>
        <w:trPr>
          <w:trHeight w:val="325" w:hRule="atLeast"/>
        </w:trPr>
        <w:tc>
          <w:tcPr>
            <w:tcW w:w="4893" w:type="dxa"/>
            <w:tcBorders>
              <w:top w:val="single" w:sz="4" w:space="0" w:color="BEBEBE"/>
              <w:bottom w:val="single" w:sz="4" w:space="0" w:color="BEBEBE"/>
            </w:tcBorders>
          </w:tcPr>
          <w:p>
            <w:pPr>
              <w:pStyle w:val="TableParagraph"/>
              <w:spacing w:line="228" w:lineRule="exact" w:before="78"/>
              <w:ind w:left="172"/>
              <w:jc w:val="left"/>
              <w:rPr>
                <w:rFonts w:ascii="Calibri Light"/>
                <w:b w:val="0"/>
                <w:sz w:val="20"/>
              </w:rPr>
            </w:pPr>
            <w:r>
              <w:rPr>
                <w:rFonts w:ascii="Calibri Light"/>
                <w:b w:val="0"/>
                <w:sz w:val="20"/>
              </w:rPr>
              <w:t>Total</w:t>
            </w:r>
          </w:p>
        </w:tc>
        <w:tc>
          <w:tcPr>
            <w:tcW w:w="1258" w:type="dxa"/>
            <w:tcBorders>
              <w:top w:val="single" w:sz="4" w:space="0" w:color="BEBEBE"/>
              <w:bottom w:val="single" w:sz="4" w:space="0" w:color="BEBEBE"/>
            </w:tcBorders>
          </w:tcPr>
          <w:p>
            <w:pPr>
              <w:pStyle w:val="TableParagraph"/>
              <w:spacing w:line="228" w:lineRule="exact" w:before="78"/>
              <w:ind w:left="180" w:right="157"/>
              <w:rPr>
                <w:rFonts w:ascii="Calibri Light"/>
                <w:b w:val="0"/>
                <w:sz w:val="20"/>
              </w:rPr>
            </w:pPr>
            <w:r>
              <w:rPr>
                <w:rFonts w:ascii="Calibri Light"/>
                <w:b w:val="0"/>
                <w:sz w:val="20"/>
              </w:rPr>
              <w:t>376</w:t>
            </w:r>
          </w:p>
        </w:tc>
        <w:tc>
          <w:tcPr>
            <w:tcW w:w="1109" w:type="dxa"/>
            <w:tcBorders>
              <w:top w:val="single" w:sz="4" w:space="0" w:color="BEBEBE"/>
              <w:bottom w:val="single" w:sz="4" w:space="0" w:color="BEBEBE"/>
            </w:tcBorders>
          </w:tcPr>
          <w:p>
            <w:pPr>
              <w:pStyle w:val="TableParagraph"/>
              <w:spacing w:line="228" w:lineRule="exact" w:before="78"/>
              <w:ind w:left="215" w:right="187"/>
              <w:rPr>
                <w:rFonts w:ascii="Calibri Light"/>
                <w:b w:val="0"/>
                <w:sz w:val="20"/>
              </w:rPr>
            </w:pPr>
            <w:r>
              <w:rPr>
                <w:rFonts w:ascii="Calibri Light"/>
                <w:b w:val="0"/>
                <w:sz w:val="20"/>
              </w:rPr>
              <w:t>91,3</w:t>
            </w:r>
          </w:p>
        </w:tc>
        <w:tc>
          <w:tcPr>
            <w:tcW w:w="2218" w:type="dxa"/>
            <w:tcBorders>
              <w:top w:val="single" w:sz="4" w:space="0" w:color="BEBEBE"/>
              <w:bottom w:val="single" w:sz="4" w:space="0" w:color="BEBEBE"/>
            </w:tcBorders>
          </w:tcPr>
          <w:p>
            <w:pPr>
              <w:pStyle w:val="TableParagraph"/>
              <w:jc w:val="left"/>
              <w:rPr>
                <w:sz w:val="22"/>
              </w:rPr>
            </w:pPr>
          </w:p>
        </w:tc>
      </w:tr>
      <w:tr>
        <w:trPr>
          <w:trHeight w:val="330" w:hRule="atLeast"/>
        </w:trPr>
        <w:tc>
          <w:tcPr>
            <w:tcW w:w="4893" w:type="dxa"/>
            <w:tcBorders>
              <w:top w:val="single" w:sz="4" w:space="0" w:color="BEBEBE"/>
            </w:tcBorders>
          </w:tcPr>
          <w:p>
            <w:pPr>
              <w:pStyle w:val="TableParagraph"/>
              <w:spacing w:line="237" w:lineRule="exact" w:before="73"/>
              <w:ind w:left="172"/>
              <w:jc w:val="left"/>
              <w:rPr>
                <w:rFonts w:ascii="Calibri Light"/>
                <w:b w:val="0"/>
                <w:sz w:val="20"/>
              </w:rPr>
            </w:pPr>
            <w:r>
              <w:rPr>
                <w:rFonts w:ascii="Calibri Light"/>
                <w:b w:val="0"/>
                <w:sz w:val="20"/>
              </w:rPr>
              <w:t>Missing</w:t>
            </w:r>
          </w:p>
        </w:tc>
        <w:tc>
          <w:tcPr>
            <w:tcW w:w="1258" w:type="dxa"/>
            <w:tcBorders>
              <w:top w:val="single" w:sz="4" w:space="0" w:color="BEBEBE"/>
            </w:tcBorders>
          </w:tcPr>
          <w:p>
            <w:pPr>
              <w:pStyle w:val="TableParagraph"/>
              <w:spacing w:line="237" w:lineRule="exact" w:before="73"/>
              <w:ind w:left="186" w:right="157"/>
              <w:rPr>
                <w:rFonts w:ascii="Calibri Light"/>
                <w:b w:val="0"/>
                <w:sz w:val="20"/>
              </w:rPr>
            </w:pPr>
            <w:r>
              <w:rPr>
                <w:rFonts w:ascii="Calibri Light"/>
                <w:b w:val="0"/>
                <w:sz w:val="20"/>
              </w:rPr>
              <w:t>36</w:t>
            </w:r>
          </w:p>
        </w:tc>
        <w:tc>
          <w:tcPr>
            <w:tcW w:w="1109" w:type="dxa"/>
            <w:tcBorders>
              <w:top w:val="single" w:sz="4" w:space="0" w:color="BEBEBE"/>
            </w:tcBorders>
          </w:tcPr>
          <w:p>
            <w:pPr>
              <w:pStyle w:val="TableParagraph"/>
              <w:spacing w:line="237" w:lineRule="exact" w:before="73"/>
              <w:ind w:left="220" w:right="187"/>
              <w:rPr>
                <w:rFonts w:ascii="Calibri Light"/>
                <w:b w:val="0"/>
                <w:sz w:val="20"/>
              </w:rPr>
            </w:pPr>
            <w:r>
              <w:rPr>
                <w:rFonts w:ascii="Calibri Light"/>
                <w:b w:val="0"/>
                <w:sz w:val="20"/>
              </w:rPr>
              <w:t>8,7</w:t>
            </w:r>
          </w:p>
        </w:tc>
        <w:tc>
          <w:tcPr>
            <w:tcW w:w="2218" w:type="dxa"/>
            <w:tcBorders>
              <w:top w:val="single" w:sz="4" w:space="0" w:color="BEBEBE"/>
            </w:tcBorders>
          </w:tcPr>
          <w:p>
            <w:pPr>
              <w:pStyle w:val="TableParagraph"/>
              <w:jc w:val="left"/>
              <w:rPr>
                <w:sz w:val="22"/>
              </w:rPr>
            </w:pPr>
          </w:p>
        </w:tc>
      </w:tr>
      <w:tr>
        <w:trPr>
          <w:trHeight w:val="325" w:hRule="atLeast"/>
        </w:trPr>
        <w:tc>
          <w:tcPr>
            <w:tcW w:w="4893" w:type="dxa"/>
          </w:tcPr>
          <w:p>
            <w:pPr>
              <w:pStyle w:val="TableParagraph"/>
              <w:spacing w:line="227" w:lineRule="exact" w:before="78"/>
              <w:ind w:left="109"/>
              <w:jc w:val="left"/>
              <w:rPr>
                <w:rFonts w:ascii="Calibri Light"/>
                <w:b w:val="0"/>
                <w:sz w:val="20"/>
              </w:rPr>
            </w:pPr>
            <w:r>
              <w:rPr>
                <w:rFonts w:ascii="Calibri Light"/>
                <w:b w:val="0"/>
                <w:sz w:val="20"/>
              </w:rPr>
              <w:t>Total</w:t>
            </w:r>
          </w:p>
        </w:tc>
        <w:tc>
          <w:tcPr>
            <w:tcW w:w="1258" w:type="dxa"/>
          </w:tcPr>
          <w:p>
            <w:pPr>
              <w:pStyle w:val="TableParagraph"/>
              <w:spacing w:line="227" w:lineRule="exact" w:before="78"/>
              <w:ind w:left="187" w:right="154"/>
              <w:rPr>
                <w:rFonts w:ascii="Calibri Light"/>
                <w:b w:val="0"/>
                <w:sz w:val="20"/>
              </w:rPr>
            </w:pPr>
            <w:r>
              <w:rPr>
                <w:rFonts w:ascii="Calibri Light"/>
                <w:b w:val="0"/>
                <w:sz w:val="20"/>
              </w:rPr>
              <w:t>412</w:t>
            </w:r>
          </w:p>
        </w:tc>
        <w:tc>
          <w:tcPr>
            <w:tcW w:w="1109" w:type="dxa"/>
          </w:tcPr>
          <w:p>
            <w:pPr>
              <w:pStyle w:val="TableParagraph"/>
              <w:spacing w:line="227" w:lineRule="exact" w:before="78"/>
              <w:ind w:left="229" w:right="186"/>
              <w:rPr>
                <w:rFonts w:ascii="Calibri Light"/>
                <w:b w:val="0"/>
                <w:sz w:val="20"/>
              </w:rPr>
            </w:pPr>
            <w:r>
              <w:rPr>
                <w:rFonts w:ascii="Calibri Light"/>
                <w:b w:val="0"/>
                <w:sz w:val="20"/>
              </w:rPr>
              <w:t>100,0</w:t>
            </w:r>
          </w:p>
        </w:tc>
        <w:tc>
          <w:tcPr>
            <w:tcW w:w="2218" w:type="dxa"/>
          </w:tcPr>
          <w:p>
            <w:pPr>
              <w:pStyle w:val="TableParagraph"/>
              <w:jc w:val="left"/>
              <w:rPr>
                <w:sz w:val="22"/>
              </w:rPr>
            </w:pPr>
          </w:p>
        </w:tc>
      </w:tr>
    </w:tbl>
    <w:p>
      <w:pPr>
        <w:pStyle w:val="BodyText"/>
        <w:spacing w:before="9"/>
        <w:rPr>
          <w:sz w:val="21"/>
        </w:rPr>
      </w:pPr>
    </w:p>
    <w:p>
      <w:pPr>
        <w:pStyle w:val="BodyText"/>
        <w:ind w:left="2414"/>
      </w:pPr>
      <w:r>
        <w:rPr>
          <w:b/>
        </w:rPr>
        <w:t>Source : </w:t>
      </w:r>
      <w:r>
        <w:rPr/>
        <w:t>élaboré par nous-même sur la base des outputs SPSS</w:t>
      </w:r>
    </w:p>
    <w:p>
      <w:pPr>
        <w:pStyle w:val="BodyText"/>
        <w:spacing w:line="360" w:lineRule="auto" w:before="180"/>
        <w:ind w:left="699" w:right="238" w:firstLine="720"/>
      </w:pPr>
      <w:r>
        <w:rPr/>
        <w:t>La plupart des utilisateurs changeraient d’application si </w:t>
      </w:r>
      <w:r>
        <w:rPr>
          <w:spacing w:val="-3"/>
        </w:rPr>
        <w:t>la </w:t>
      </w:r>
      <w:r>
        <w:rPr/>
        <w:t>sécurité pose problème. Presque </w:t>
      </w:r>
      <w:r>
        <w:rPr>
          <w:spacing w:val="-3"/>
        </w:rPr>
        <w:t>la </w:t>
      </w:r>
      <w:r>
        <w:rPr>
          <w:spacing w:val="-2"/>
        </w:rPr>
        <w:t>moitié </w:t>
      </w:r>
      <w:r>
        <w:rPr/>
        <w:t>44,7 % disent qu’ils changeraient tout de suite, </w:t>
      </w:r>
      <w:r>
        <w:rPr>
          <w:spacing w:val="-3"/>
        </w:rPr>
        <w:t>et</w:t>
      </w:r>
      <w:r>
        <w:rPr>
          <w:spacing w:val="48"/>
        </w:rPr>
        <w:t> </w:t>
      </w:r>
      <w:r>
        <w:rPr/>
        <w:t>un peu </w:t>
      </w:r>
      <w:r>
        <w:rPr>
          <w:spacing w:val="-3"/>
        </w:rPr>
        <w:t>plus </w:t>
      </w:r>
      <w:r>
        <w:rPr/>
        <w:t>de </w:t>
      </w:r>
      <w:r>
        <w:rPr>
          <w:spacing w:val="-5"/>
        </w:rPr>
        <w:t>la</w:t>
      </w:r>
      <w:r>
        <w:rPr>
          <w:spacing w:val="47"/>
        </w:rPr>
        <w:t> </w:t>
      </w:r>
      <w:r>
        <w:rPr/>
        <w:t>moitié 50,5 %</w:t>
      </w:r>
    </w:p>
    <w:p>
      <w:pPr>
        <w:spacing w:after="0" w:line="360" w:lineRule="auto"/>
        <w:sectPr>
          <w:type w:val="continuous"/>
          <w:pgSz w:w="12240" w:h="15840"/>
          <w:pgMar w:top="3140" w:bottom="280" w:left="1000" w:right="820"/>
        </w:sectPr>
      </w:pPr>
    </w:p>
    <w:p>
      <w:pPr>
        <w:pStyle w:val="BodyText"/>
        <w:spacing w:before="6"/>
        <w:rPr>
          <w:sz w:val="19"/>
        </w:rPr>
      </w:pPr>
    </w:p>
    <w:p>
      <w:pPr>
        <w:pStyle w:val="BodyText"/>
        <w:spacing w:line="367" w:lineRule="auto" w:before="90"/>
        <w:ind w:left="699" w:right="238"/>
      </w:pPr>
      <w:r>
        <w:rPr/>
        <w:t>attendraient de voir s’il y a vraiment un problème. Très peu de personnes 4,8 % resteraient sur BaridiMob même s’il y avait des risques.</w:t>
      </w:r>
    </w:p>
    <w:p>
      <w:pPr>
        <w:pStyle w:val="Heading5"/>
        <w:numPr>
          <w:ilvl w:val="0"/>
          <w:numId w:val="27"/>
        </w:numPr>
        <w:tabs>
          <w:tab w:pos="1488" w:val="left" w:leader="none"/>
        </w:tabs>
        <w:spacing w:line="362" w:lineRule="auto" w:before="149" w:after="0"/>
        <w:ind w:left="1487" w:right="317" w:hanging="360"/>
        <w:jc w:val="left"/>
      </w:pPr>
      <w:r>
        <w:rPr/>
        <w:t>Partie 04 : Analyse des problèmes de fonctionnement rencontrés sur BaridiMob comme bugs et dysfonctionnements (04 questions)</w:t>
      </w:r>
      <w:r>
        <w:rPr>
          <w:spacing w:val="8"/>
        </w:rPr>
        <w:t> </w:t>
      </w:r>
      <w:r>
        <w:rPr/>
        <w:t>:</w:t>
      </w:r>
    </w:p>
    <w:p>
      <w:pPr>
        <w:spacing w:before="160"/>
        <w:ind w:left="699" w:right="0" w:firstLine="0"/>
        <w:jc w:val="left"/>
        <w:rPr>
          <w:b/>
          <w:sz w:val="24"/>
        </w:rPr>
      </w:pPr>
      <w:r>
        <w:rPr>
          <w:b/>
          <w:sz w:val="24"/>
        </w:rPr>
        <w:t>Q15_Avez-vous déjà rencontré des bugs ou erreurs en utilisant BaridiMob ?</w:t>
      </w:r>
    </w:p>
    <w:p>
      <w:pPr>
        <w:pStyle w:val="BodyText"/>
        <w:spacing w:before="6"/>
        <w:rPr>
          <w:b/>
          <w:sz w:val="17"/>
        </w:rPr>
      </w:pPr>
    </w:p>
    <w:p>
      <w:pPr>
        <w:spacing w:after="0"/>
        <w:rPr>
          <w:sz w:val="17"/>
        </w:rPr>
        <w:sectPr>
          <w:pgSz w:w="12240" w:h="15840"/>
          <w:pgMar w:header="723" w:footer="850" w:top="1080" w:bottom="1040" w:left="1000" w:right="820"/>
        </w:sectPr>
      </w:pPr>
    </w:p>
    <w:p>
      <w:pPr>
        <w:spacing w:line="237" w:lineRule="auto" w:before="92"/>
        <w:ind w:left="699" w:right="-10" w:firstLine="0"/>
        <w:jc w:val="left"/>
        <w:rPr>
          <w:sz w:val="24"/>
        </w:rPr>
      </w:pPr>
      <w:bookmarkStart w:name="_bookmark43" w:id="237"/>
      <w:bookmarkEnd w:id="237"/>
      <w:r>
        <w:rPr/>
      </w:r>
      <w:r>
        <w:rPr>
          <w:b/>
          <w:color w:val="44536A"/>
          <w:sz w:val="24"/>
        </w:rPr>
        <w:t>Tableau 16 : </w:t>
      </w:r>
      <w:r>
        <w:rPr>
          <w:color w:val="44536A"/>
          <w:sz w:val="24"/>
        </w:rPr>
        <w:t>Rencontres de</w:t>
      </w:r>
      <w:r>
        <w:rPr>
          <w:color w:val="44536A"/>
          <w:spacing w:val="-15"/>
          <w:sz w:val="24"/>
        </w:rPr>
        <w:t> </w:t>
      </w:r>
      <w:r>
        <w:rPr>
          <w:color w:val="44536A"/>
          <w:sz w:val="24"/>
        </w:rPr>
        <w:t>dysfonctionnements sur</w:t>
      </w:r>
      <w:r>
        <w:rPr>
          <w:color w:val="44536A"/>
          <w:spacing w:val="2"/>
          <w:sz w:val="24"/>
        </w:rPr>
        <w:t> </w:t>
      </w:r>
      <w:r>
        <w:rPr>
          <w:color w:val="44536A"/>
          <w:sz w:val="24"/>
        </w:rPr>
        <w:t>BaridiMob</w:t>
      </w:r>
    </w:p>
    <w:p>
      <w:pPr>
        <w:spacing w:line="237" w:lineRule="auto" w:before="106"/>
        <w:ind w:left="274" w:right="213" w:firstLine="0"/>
        <w:jc w:val="left"/>
        <w:rPr>
          <w:sz w:val="24"/>
        </w:rPr>
      </w:pPr>
      <w:r>
        <w:rPr/>
        <w:br w:type="column"/>
      </w:r>
      <w:bookmarkStart w:name="_bookmark44" w:id="238"/>
      <w:bookmarkEnd w:id="238"/>
      <w:r>
        <w:rPr/>
      </w:r>
      <w:r>
        <w:rPr>
          <w:b/>
          <w:color w:val="44536A"/>
          <w:sz w:val="24"/>
        </w:rPr>
        <w:t>Figure 15 :</w:t>
      </w:r>
      <w:r>
        <w:rPr>
          <w:color w:val="44536A"/>
          <w:sz w:val="24"/>
        </w:rPr>
        <w:t>Rencontres de dysfonctionnements sur BaridiMob</w:t>
      </w:r>
    </w:p>
    <w:p>
      <w:pPr>
        <w:spacing w:after="0" w:line="237" w:lineRule="auto"/>
        <w:jc w:val="left"/>
        <w:rPr>
          <w:sz w:val="24"/>
        </w:rPr>
        <w:sectPr>
          <w:type w:val="continuous"/>
          <w:pgSz w:w="12240" w:h="15840"/>
          <w:pgMar w:top="3140" w:bottom="280" w:left="1000" w:right="820"/>
          <w:cols w:num="2" w:equalWidth="0">
            <w:col w:w="5394" w:space="40"/>
            <w:col w:w="4986"/>
          </w:cols>
        </w:sectPr>
      </w:pPr>
    </w:p>
    <w:p>
      <w:pPr>
        <w:pStyle w:val="BodyText"/>
        <w:spacing w:before="10"/>
        <w:rPr>
          <w:sz w:val="15"/>
        </w:rPr>
      </w:pPr>
    </w:p>
    <w:p>
      <w:pPr>
        <w:tabs>
          <w:tab w:pos="5904" w:val="left" w:leader="none"/>
        </w:tabs>
        <w:spacing w:line="240" w:lineRule="auto"/>
        <w:ind w:left="699" w:right="0" w:firstLine="0"/>
        <w:rPr>
          <w:sz w:val="20"/>
        </w:rPr>
      </w:pPr>
      <w:r>
        <w:rPr>
          <w:sz w:val="20"/>
        </w:rPr>
        <w:pict>
          <v:shape style="width:244.45pt;height:132.050pt;mso-position-horizontal-relative:char;mso-position-vertical-relative:line" type="#_x0000_t202" filled="false" stroked="false">
            <w10:anchorlock/>
            <v:textbox inset="0,0,0,0">
              <w:txbxContent>
                <w:tbl>
                  <w:tblPr>
                    <w:tblW w:w="0" w:type="auto"/>
                    <w:jc w:val="left"/>
                    <w:tblInd w:w="5"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1316"/>
                    <w:gridCol w:w="1234"/>
                    <w:gridCol w:w="1023"/>
                    <w:gridCol w:w="1301"/>
                  </w:tblGrid>
                  <w:tr>
                    <w:trPr>
                      <w:trHeight w:val="642" w:hRule="atLeast"/>
                    </w:trPr>
                    <w:tc>
                      <w:tcPr>
                        <w:tcW w:w="1316" w:type="dxa"/>
                      </w:tcPr>
                      <w:p>
                        <w:pPr>
                          <w:pStyle w:val="TableParagraph"/>
                          <w:jc w:val="left"/>
                          <w:rPr>
                            <w:sz w:val="22"/>
                          </w:rPr>
                        </w:pPr>
                      </w:p>
                    </w:tc>
                    <w:tc>
                      <w:tcPr>
                        <w:tcW w:w="1234" w:type="dxa"/>
                      </w:tcPr>
                      <w:p>
                        <w:pPr>
                          <w:pStyle w:val="TableParagraph"/>
                          <w:spacing w:before="115"/>
                          <w:ind w:left="188" w:right="175"/>
                          <w:rPr>
                            <w:b/>
                            <w:sz w:val="18"/>
                          </w:rPr>
                        </w:pPr>
                        <w:r>
                          <w:rPr>
                            <w:b/>
                            <w:sz w:val="18"/>
                          </w:rPr>
                          <w:t>Frequency</w:t>
                        </w:r>
                      </w:p>
                    </w:tc>
                    <w:tc>
                      <w:tcPr>
                        <w:tcW w:w="1023" w:type="dxa"/>
                      </w:tcPr>
                      <w:p>
                        <w:pPr>
                          <w:pStyle w:val="TableParagraph"/>
                          <w:spacing w:before="115"/>
                          <w:ind w:left="201" w:right="181"/>
                          <w:rPr>
                            <w:b/>
                            <w:sz w:val="18"/>
                          </w:rPr>
                        </w:pPr>
                        <w:r>
                          <w:rPr>
                            <w:b/>
                            <w:sz w:val="18"/>
                          </w:rPr>
                          <w:t>Percent</w:t>
                        </w:r>
                      </w:p>
                    </w:tc>
                    <w:tc>
                      <w:tcPr>
                        <w:tcW w:w="1301" w:type="dxa"/>
                      </w:tcPr>
                      <w:p>
                        <w:pPr>
                          <w:pStyle w:val="TableParagraph"/>
                          <w:spacing w:line="320" w:lineRule="atLeast" w:before="2"/>
                          <w:ind w:left="354" w:right="171" w:hanging="154"/>
                          <w:jc w:val="left"/>
                          <w:rPr>
                            <w:b/>
                            <w:sz w:val="18"/>
                          </w:rPr>
                        </w:pPr>
                        <w:r>
                          <w:rPr>
                            <w:b/>
                            <w:sz w:val="18"/>
                          </w:rPr>
                          <w:t>Cumulative Percent</w:t>
                        </w:r>
                      </w:p>
                    </w:tc>
                  </w:tr>
                  <w:tr>
                    <w:trPr>
                      <w:trHeight w:val="316" w:hRule="atLeast"/>
                    </w:trPr>
                    <w:tc>
                      <w:tcPr>
                        <w:tcW w:w="1316" w:type="dxa"/>
                      </w:tcPr>
                      <w:p>
                        <w:pPr>
                          <w:pStyle w:val="TableParagraph"/>
                          <w:spacing w:line="186" w:lineRule="exact" w:before="110"/>
                          <w:ind w:left="152" w:right="142"/>
                          <w:rPr>
                            <w:b/>
                            <w:sz w:val="18"/>
                          </w:rPr>
                        </w:pPr>
                        <w:r>
                          <w:rPr>
                            <w:b/>
                            <w:sz w:val="18"/>
                          </w:rPr>
                          <w:t>Oui, souvent</w:t>
                        </w:r>
                      </w:p>
                    </w:tc>
                    <w:tc>
                      <w:tcPr>
                        <w:tcW w:w="1234" w:type="dxa"/>
                      </w:tcPr>
                      <w:p>
                        <w:pPr>
                          <w:pStyle w:val="TableParagraph"/>
                          <w:spacing w:line="186" w:lineRule="exact" w:before="110"/>
                          <w:ind w:left="188" w:right="97"/>
                          <w:rPr>
                            <w:b/>
                            <w:sz w:val="18"/>
                          </w:rPr>
                        </w:pPr>
                        <w:r>
                          <w:rPr>
                            <w:b/>
                            <w:sz w:val="18"/>
                          </w:rPr>
                          <w:t>87</w:t>
                        </w:r>
                      </w:p>
                    </w:tc>
                    <w:tc>
                      <w:tcPr>
                        <w:tcW w:w="1023" w:type="dxa"/>
                      </w:tcPr>
                      <w:p>
                        <w:pPr>
                          <w:pStyle w:val="TableParagraph"/>
                          <w:spacing w:line="186" w:lineRule="exact" w:before="110"/>
                          <w:ind w:left="200" w:right="181"/>
                          <w:rPr>
                            <w:b/>
                            <w:sz w:val="18"/>
                          </w:rPr>
                        </w:pPr>
                        <w:r>
                          <w:rPr>
                            <w:b/>
                            <w:sz w:val="18"/>
                          </w:rPr>
                          <w:t>21,1</w:t>
                        </w:r>
                      </w:p>
                    </w:tc>
                    <w:tc>
                      <w:tcPr>
                        <w:tcW w:w="1301" w:type="dxa"/>
                      </w:tcPr>
                      <w:p>
                        <w:pPr>
                          <w:pStyle w:val="TableParagraph"/>
                          <w:spacing w:line="186" w:lineRule="exact" w:before="110"/>
                          <w:ind w:left="432" w:right="414"/>
                          <w:rPr>
                            <w:b/>
                            <w:sz w:val="18"/>
                          </w:rPr>
                        </w:pPr>
                        <w:r>
                          <w:rPr>
                            <w:b/>
                            <w:sz w:val="18"/>
                          </w:rPr>
                          <w:t>23,1</w:t>
                        </w:r>
                      </w:p>
                    </w:tc>
                  </w:tr>
                  <w:tr>
                    <w:trPr>
                      <w:trHeight w:val="321" w:hRule="atLeast"/>
                    </w:trPr>
                    <w:tc>
                      <w:tcPr>
                        <w:tcW w:w="1316" w:type="dxa"/>
                      </w:tcPr>
                      <w:p>
                        <w:pPr>
                          <w:pStyle w:val="TableParagraph"/>
                          <w:spacing w:line="186" w:lineRule="exact" w:before="115"/>
                          <w:ind w:left="152" w:right="141"/>
                          <w:rPr>
                            <w:b/>
                            <w:sz w:val="18"/>
                          </w:rPr>
                        </w:pPr>
                        <w:r>
                          <w:rPr>
                            <w:b/>
                            <w:sz w:val="18"/>
                          </w:rPr>
                          <w:t>Oui, parfois</w:t>
                        </w:r>
                      </w:p>
                    </w:tc>
                    <w:tc>
                      <w:tcPr>
                        <w:tcW w:w="1234" w:type="dxa"/>
                      </w:tcPr>
                      <w:p>
                        <w:pPr>
                          <w:pStyle w:val="TableParagraph"/>
                          <w:spacing w:line="186" w:lineRule="exact" w:before="115"/>
                          <w:ind w:left="184" w:right="175"/>
                          <w:rPr>
                            <w:b/>
                            <w:sz w:val="18"/>
                          </w:rPr>
                        </w:pPr>
                        <w:r>
                          <w:rPr>
                            <w:b/>
                            <w:sz w:val="18"/>
                          </w:rPr>
                          <w:t>232</w:t>
                        </w:r>
                      </w:p>
                    </w:tc>
                    <w:tc>
                      <w:tcPr>
                        <w:tcW w:w="1023" w:type="dxa"/>
                      </w:tcPr>
                      <w:p>
                        <w:pPr>
                          <w:pStyle w:val="TableParagraph"/>
                          <w:spacing w:line="186" w:lineRule="exact" w:before="115"/>
                          <w:ind w:left="200" w:right="181"/>
                          <w:rPr>
                            <w:b/>
                            <w:sz w:val="18"/>
                          </w:rPr>
                        </w:pPr>
                        <w:r>
                          <w:rPr>
                            <w:b/>
                            <w:sz w:val="18"/>
                          </w:rPr>
                          <w:t>56,3</w:t>
                        </w:r>
                      </w:p>
                    </w:tc>
                    <w:tc>
                      <w:tcPr>
                        <w:tcW w:w="1301" w:type="dxa"/>
                      </w:tcPr>
                      <w:p>
                        <w:pPr>
                          <w:pStyle w:val="TableParagraph"/>
                          <w:spacing w:line="186" w:lineRule="exact" w:before="115"/>
                          <w:ind w:left="432" w:right="414"/>
                          <w:rPr>
                            <w:b/>
                            <w:sz w:val="18"/>
                          </w:rPr>
                        </w:pPr>
                        <w:r>
                          <w:rPr>
                            <w:b/>
                            <w:sz w:val="18"/>
                          </w:rPr>
                          <w:t>84,8</w:t>
                        </w:r>
                      </w:p>
                    </w:tc>
                  </w:tr>
                  <w:tr>
                    <w:trPr>
                      <w:trHeight w:val="321" w:hRule="atLeast"/>
                    </w:trPr>
                    <w:tc>
                      <w:tcPr>
                        <w:tcW w:w="1316" w:type="dxa"/>
                      </w:tcPr>
                      <w:p>
                        <w:pPr>
                          <w:pStyle w:val="TableParagraph"/>
                          <w:spacing w:line="186" w:lineRule="exact" w:before="115"/>
                          <w:ind w:left="152" w:right="141"/>
                          <w:rPr>
                            <w:b/>
                            <w:sz w:val="18"/>
                          </w:rPr>
                        </w:pPr>
                        <w:r>
                          <w:rPr>
                            <w:b/>
                            <w:sz w:val="18"/>
                          </w:rPr>
                          <w:t>Non, jamais</w:t>
                        </w:r>
                      </w:p>
                    </w:tc>
                    <w:tc>
                      <w:tcPr>
                        <w:tcW w:w="1234" w:type="dxa"/>
                      </w:tcPr>
                      <w:p>
                        <w:pPr>
                          <w:pStyle w:val="TableParagraph"/>
                          <w:spacing w:line="186" w:lineRule="exact" w:before="115"/>
                          <w:ind w:left="188" w:right="174"/>
                          <w:rPr>
                            <w:b/>
                            <w:sz w:val="18"/>
                          </w:rPr>
                        </w:pPr>
                        <w:r>
                          <w:rPr>
                            <w:b/>
                            <w:sz w:val="18"/>
                          </w:rPr>
                          <w:t>57</w:t>
                        </w:r>
                      </w:p>
                    </w:tc>
                    <w:tc>
                      <w:tcPr>
                        <w:tcW w:w="1023" w:type="dxa"/>
                      </w:tcPr>
                      <w:p>
                        <w:pPr>
                          <w:pStyle w:val="TableParagraph"/>
                          <w:spacing w:line="186" w:lineRule="exact" w:before="115"/>
                          <w:ind w:left="200" w:right="181"/>
                          <w:rPr>
                            <w:b/>
                            <w:sz w:val="18"/>
                          </w:rPr>
                        </w:pPr>
                        <w:r>
                          <w:rPr>
                            <w:b/>
                            <w:sz w:val="18"/>
                          </w:rPr>
                          <w:t>13,8</w:t>
                        </w:r>
                      </w:p>
                    </w:tc>
                    <w:tc>
                      <w:tcPr>
                        <w:tcW w:w="1301" w:type="dxa"/>
                      </w:tcPr>
                      <w:p>
                        <w:pPr>
                          <w:pStyle w:val="TableParagraph"/>
                          <w:spacing w:line="186" w:lineRule="exact" w:before="115"/>
                          <w:ind w:left="432" w:right="414"/>
                          <w:rPr>
                            <w:b/>
                            <w:sz w:val="18"/>
                          </w:rPr>
                        </w:pPr>
                        <w:r>
                          <w:rPr>
                            <w:b/>
                            <w:sz w:val="18"/>
                          </w:rPr>
                          <w:t>100,0</w:t>
                        </w:r>
                      </w:p>
                    </w:tc>
                  </w:tr>
                  <w:tr>
                    <w:trPr>
                      <w:trHeight w:val="321" w:hRule="atLeast"/>
                    </w:trPr>
                    <w:tc>
                      <w:tcPr>
                        <w:tcW w:w="1316" w:type="dxa"/>
                      </w:tcPr>
                      <w:p>
                        <w:pPr>
                          <w:pStyle w:val="TableParagraph"/>
                          <w:spacing w:line="186" w:lineRule="exact" w:before="115"/>
                          <w:ind w:left="152" w:right="135"/>
                          <w:rPr>
                            <w:b/>
                            <w:sz w:val="18"/>
                          </w:rPr>
                        </w:pPr>
                        <w:r>
                          <w:rPr>
                            <w:b/>
                            <w:sz w:val="18"/>
                          </w:rPr>
                          <w:t>Total</w:t>
                        </w:r>
                      </w:p>
                    </w:tc>
                    <w:tc>
                      <w:tcPr>
                        <w:tcW w:w="1234" w:type="dxa"/>
                      </w:tcPr>
                      <w:p>
                        <w:pPr>
                          <w:pStyle w:val="TableParagraph"/>
                          <w:spacing w:line="186" w:lineRule="exact" w:before="115"/>
                          <w:ind w:left="184" w:right="175"/>
                          <w:rPr>
                            <w:b/>
                            <w:sz w:val="18"/>
                          </w:rPr>
                        </w:pPr>
                        <w:r>
                          <w:rPr>
                            <w:b/>
                            <w:sz w:val="18"/>
                          </w:rPr>
                          <w:t>376</w:t>
                        </w:r>
                      </w:p>
                    </w:tc>
                    <w:tc>
                      <w:tcPr>
                        <w:tcW w:w="1023" w:type="dxa"/>
                      </w:tcPr>
                      <w:p>
                        <w:pPr>
                          <w:pStyle w:val="TableParagraph"/>
                          <w:spacing w:line="186" w:lineRule="exact" w:before="115"/>
                          <w:ind w:left="200" w:right="181"/>
                          <w:rPr>
                            <w:b/>
                            <w:sz w:val="18"/>
                          </w:rPr>
                        </w:pPr>
                        <w:r>
                          <w:rPr>
                            <w:b/>
                            <w:sz w:val="18"/>
                          </w:rPr>
                          <w:t>91,3</w:t>
                        </w:r>
                      </w:p>
                    </w:tc>
                    <w:tc>
                      <w:tcPr>
                        <w:tcW w:w="1301" w:type="dxa"/>
                      </w:tcPr>
                      <w:p>
                        <w:pPr>
                          <w:pStyle w:val="TableParagraph"/>
                          <w:jc w:val="left"/>
                          <w:rPr>
                            <w:sz w:val="22"/>
                          </w:rPr>
                        </w:pPr>
                      </w:p>
                    </w:tc>
                  </w:tr>
                  <w:tr>
                    <w:trPr>
                      <w:trHeight w:val="316" w:hRule="atLeast"/>
                    </w:trPr>
                    <w:tc>
                      <w:tcPr>
                        <w:tcW w:w="1316" w:type="dxa"/>
                      </w:tcPr>
                      <w:p>
                        <w:pPr>
                          <w:pStyle w:val="TableParagraph"/>
                          <w:spacing w:line="186" w:lineRule="exact" w:before="110"/>
                          <w:ind w:left="152" w:right="134"/>
                          <w:rPr>
                            <w:b/>
                            <w:sz w:val="18"/>
                          </w:rPr>
                        </w:pPr>
                        <w:r>
                          <w:rPr>
                            <w:b/>
                            <w:sz w:val="18"/>
                          </w:rPr>
                          <w:t>Missing</w:t>
                        </w:r>
                      </w:p>
                    </w:tc>
                    <w:tc>
                      <w:tcPr>
                        <w:tcW w:w="1234" w:type="dxa"/>
                      </w:tcPr>
                      <w:p>
                        <w:pPr>
                          <w:pStyle w:val="TableParagraph"/>
                          <w:spacing w:line="186" w:lineRule="exact" w:before="110"/>
                          <w:ind w:left="188" w:right="174"/>
                          <w:rPr>
                            <w:b/>
                            <w:sz w:val="18"/>
                          </w:rPr>
                        </w:pPr>
                        <w:r>
                          <w:rPr>
                            <w:b/>
                            <w:sz w:val="18"/>
                          </w:rPr>
                          <w:t>36</w:t>
                        </w:r>
                      </w:p>
                    </w:tc>
                    <w:tc>
                      <w:tcPr>
                        <w:tcW w:w="1023" w:type="dxa"/>
                      </w:tcPr>
                      <w:p>
                        <w:pPr>
                          <w:pStyle w:val="TableParagraph"/>
                          <w:spacing w:line="186" w:lineRule="exact" w:before="110"/>
                          <w:ind w:left="201" w:right="178"/>
                          <w:rPr>
                            <w:b/>
                            <w:sz w:val="18"/>
                          </w:rPr>
                        </w:pPr>
                        <w:r>
                          <w:rPr>
                            <w:b/>
                            <w:sz w:val="18"/>
                          </w:rPr>
                          <w:t>8,7</w:t>
                        </w:r>
                      </w:p>
                    </w:tc>
                    <w:tc>
                      <w:tcPr>
                        <w:tcW w:w="1301" w:type="dxa"/>
                      </w:tcPr>
                      <w:p>
                        <w:pPr>
                          <w:pStyle w:val="TableParagraph"/>
                          <w:jc w:val="left"/>
                          <w:rPr>
                            <w:sz w:val="22"/>
                          </w:rPr>
                        </w:pPr>
                      </w:p>
                    </w:tc>
                  </w:tr>
                  <w:tr>
                    <w:trPr>
                      <w:trHeight w:val="321" w:hRule="atLeast"/>
                    </w:trPr>
                    <w:tc>
                      <w:tcPr>
                        <w:tcW w:w="1316" w:type="dxa"/>
                      </w:tcPr>
                      <w:p>
                        <w:pPr>
                          <w:pStyle w:val="TableParagraph"/>
                          <w:spacing w:line="186" w:lineRule="exact" w:before="115"/>
                          <w:ind w:left="94" w:right="142"/>
                          <w:rPr>
                            <w:b/>
                            <w:sz w:val="18"/>
                          </w:rPr>
                        </w:pPr>
                        <w:r>
                          <w:rPr>
                            <w:b/>
                            <w:sz w:val="18"/>
                          </w:rPr>
                          <w:t>Total</w:t>
                        </w:r>
                      </w:p>
                    </w:tc>
                    <w:tc>
                      <w:tcPr>
                        <w:tcW w:w="1234" w:type="dxa"/>
                      </w:tcPr>
                      <w:p>
                        <w:pPr>
                          <w:pStyle w:val="TableParagraph"/>
                          <w:spacing w:line="186" w:lineRule="exact" w:before="115"/>
                          <w:ind w:left="184" w:right="175"/>
                          <w:rPr>
                            <w:b/>
                            <w:sz w:val="18"/>
                          </w:rPr>
                        </w:pPr>
                        <w:r>
                          <w:rPr>
                            <w:b/>
                            <w:sz w:val="18"/>
                          </w:rPr>
                          <w:t>412</w:t>
                        </w:r>
                      </w:p>
                    </w:tc>
                    <w:tc>
                      <w:tcPr>
                        <w:tcW w:w="1023" w:type="dxa"/>
                      </w:tcPr>
                      <w:p>
                        <w:pPr>
                          <w:pStyle w:val="TableParagraph"/>
                          <w:spacing w:line="186" w:lineRule="exact" w:before="115"/>
                          <w:ind w:left="200" w:right="181"/>
                          <w:rPr>
                            <w:b/>
                            <w:sz w:val="18"/>
                          </w:rPr>
                        </w:pPr>
                        <w:r>
                          <w:rPr>
                            <w:b/>
                            <w:sz w:val="18"/>
                          </w:rPr>
                          <w:t>100,0</w:t>
                        </w:r>
                      </w:p>
                    </w:tc>
                    <w:tc>
                      <w:tcPr>
                        <w:tcW w:w="1301" w:type="dxa"/>
                      </w:tcPr>
                      <w:p>
                        <w:pPr>
                          <w:pStyle w:val="TableParagraph"/>
                          <w:jc w:val="left"/>
                          <w:rPr>
                            <w:sz w:val="22"/>
                          </w:rPr>
                        </w:pPr>
                      </w:p>
                    </w:tc>
                  </w:tr>
                </w:tbl>
                <w:p>
                  <w:pPr>
                    <w:pStyle w:val="BodyText"/>
                  </w:pPr>
                </w:p>
              </w:txbxContent>
            </v:textbox>
          </v:shape>
        </w:pict>
      </w:r>
      <w:r>
        <w:rPr>
          <w:sz w:val="20"/>
        </w:rPr>
      </w:r>
      <w:r>
        <w:rPr>
          <w:sz w:val="20"/>
        </w:rPr>
        <w:tab/>
      </w:r>
      <w:r>
        <w:rPr>
          <w:position w:val="2"/>
          <w:sz w:val="20"/>
        </w:rPr>
        <w:pict>
          <v:group style="width:210.75pt;height:131.550pt;mso-position-horizontal-relative:char;mso-position-vertical-relative:line" coordorigin="0,0" coordsize="4215,2631">
            <v:shape style="position:absolute;left:896;top:374;width:2426;height:1423" type="#_x0000_t75" stroked="false">
              <v:imagedata r:id="rId98" o:title=""/>
            </v:shape>
            <v:shape style="position:absolute;left:7;top:7;width:4200;height:2616" type="#_x0000_t202" filled="false" stroked="true" strokeweight=".75pt" strokecolor="#d9d9d9">
              <v:textbox inset="0,0,0,0">
                <w:txbxContent>
                  <w:p>
                    <w:pPr>
                      <w:spacing w:line="240" w:lineRule="auto" w:before="0"/>
                      <w:rPr>
                        <w:sz w:val="20"/>
                      </w:rPr>
                    </w:pPr>
                  </w:p>
                  <w:p>
                    <w:pPr>
                      <w:spacing w:line="240" w:lineRule="auto" w:before="3"/>
                      <w:rPr>
                        <w:sz w:val="18"/>
                      </w:rPr>
                    </w:pPr>
                  </w:p>
                  <w:p>
                    <w:pPr>
                      <w:tabs>
                        <w:tab w:pos="699" w:val="left" w:leader="none"/>
                      </w:tabs>
                      <w:spacing w:before="0"/>
                      <w:ind w:left="144" w:right="0" w:firstLine="0"/>
                      <w:jc w:val="center"/>
                      <w:rPr>
                        <w:rFonts w:ascii="Calibri"/>
                        <w:sz w:val="18"/>
                      </w:rPr>
                    </w:pPr>
                    <w:r>
                      <w:rPr>
                        <w:rFonts w:ascii="Calibri"/>
                        <w:color w:val="404040"/>
                        <w:position w:val="2"/>
                        <w:sz w:val="18"/>
                      </w:rPr>
                      <w:t>57</w:t>
                      <w:tab/>
                    </w:r>
                    <w:r>
                      <w:rPr>
                        <w:rFonts w:ascii="Calibri"/>
                        <w:color w:val="404040"/>
                        <w:sz w:val="18"/>
                      </w:rPr>
                      <w:t>87</w:t>
                    </w:r>
                  </w:p>
                  <w:p>
                    <w:pPr>
                      <w:spacing w:line="240" w:lineRule="auto" w:before="0"/>
                      <w:rPr>
                        <w:rFonts w:ascii="Calibri"/>
                        <w:sz w:val="20"/>
                      </w:rPr>
                    </w:pPr>
                  </w:p>
                  <w:p>
                    <w:pPr>
                      <w:spacing w:line="240" w:lineRule="auto" w:before="9"/>
                      <w:rPr>
                        <w:rFonts w:ascii="Calibri"/>
                        <w:sz w:val="19"/>
                      </w:rPr>
                    </w:pPr>
                  </w:p>
                  <w:p>
                    <w:pPr>
                      <w:spacing w:before="1"/>
                      <w:ind w:left="144" w:right="796" w:firstLine="0"/>
                      <w:jc w:val="center"/>
                      <w:rPr>
                        <w:rFonts w:ascii="Calibri"/>
                        <w:sz w:val="18"/>
                      </w:rPr>
                    </w:pPr>
                    <w:r>
                      <w:rPr>
                        <w:rFonts w:ascii="Calibri"/>
                        <w:color w:val="404040"/>
                        <w:sz w:val="18"/>
                      </w:rPr>
                      <w:t>232</w:t>
                    </w:r>
                  </w:p>
                  <w:p>
                    <w:pPr>
                      <w:spacing w:line="240" w:lineRule="auto" w:before="0"/>
                      <w:rPr>
                        <w:rFonts w:ascii="Calibri"/>
                        <w:sz w:val="18"/>
                      </w:rPr>
                    </w:pPr>
                  </w:p>
                  <w:p>
                    <w:pPr>
                      <w:spacing w:line="240" w:lineRule="auto" w:before="0"/>
                      <w:rPr>
                        <w:rFonts w:ascii="Calibri"/>
                        <w:sz w:val="18"/>
                      </w:rPr>
                    </w:pPr>
                  </w:p>
                  <w:p>
                    <w:pPr>
                      <w:spacing w:line="240" w:lineRule="auto" w:before="0"/>
                      <w:rPr>
                        <w:rFonts w:ascii="Calibri"/>
                        <w:sz w:val="18"/>
                      </w:rPr>
                    </w:pPr>
                  </w:p>
                  <w:p>
                    <w:pPr>
                      <w:tabs>
                        <w:tab w:pos="1482" w:val="left" w:leader="none"/>
                        <w:tab w:pos="2664" w:val="left" w:leader="none"/>
                      </w:tabs>
                      <w:spacing w:before="159"/>
                      <w:ind w:left="220" w:right="0" w:firstLine="0"/>
                      <w:jc w:val="center"/>
                      <w:rPr>
                        <w:rFonts w:ascii="Calibri"/>
                        <w:sz w:val="18"/>
                      </w:rPr>
                    </w:pPr>
                    <w:r>
                      <w:rPr>
                        <w:rFonts w:ascii="Calibri"/>
                        <w:color w:val="585858"/>
                        <w:sz w:val="18"/>
                      </w:rPr>
                      <w:t>Oui,</w:t>
                    </w:r>
                    <w:r>
                      <w:rPr>
                        <w:rFonts w:ascii="Calibri"/>
                        <w:color w:val="585858"/>
                        <w:spacing w:val="-2"/>
                        <w:sz w:val="18"/>
                      </w:rPr>
                      <w:t> </w:t>
                    </w:r>
                    <w:r>
                      <w:rPr>
                        <w:rFonts w:ascii="Calibri"/>
                        <w:color w:val="585858"/>
                        <w:sz w:val="18"/>
                      </w:rPr>
                      <w:t>souvent</w:t>
                      <w:tab/>
                      <w:t>Oui,</w:t>
                    </w:r>
                    <w:r>
                      <w:rPr>
                        <w:rFonts w:ascii="Calibri"/>
                        <w:color w:val="585858"/>
                        <w:spacing w:val="-1"/>
                        <w:sz w:val="18"/>
                      </w:rPr>
                      <w:t> </w:t>
                    </w:r>
                    <w:r>
                      <w:rPr>
                        <w:rFonts w:ascii="Calibri"/>
                        <w:color w:val="585858"/>
                        <w:sz w:val="18"/>
                      </w:rPr>
                      <w:t>parfois</w:t>
                      <w:tab/>
                      <w:t>Non,</w:t>
                    </w:r>
                    <w:r>
                      <w:rPr>
                        <w:rFonts w:ascii="Calibri"/>
                        <w:color w:val="585858"/>
                        <w:spacing w:val="-1"/>
                        <w:sz w:val="18"/>
                      </w:rPr>
                      <w:t> </w:t>
                    </w:r>
                    <w:r>
                      <w:rPr>
                        <w:rFonts w:ascii="Calibri"/>
                        <w:color w:val="585858"/>
                        <w:sz w:val="18"/>
                      </w:rPr>
                      <w:t>jamais</w:t>
                    </w:r>
                  </w:p>
                </w:txbxContent>
              </v:textbox>
              <v:stroke dashstyle="solid"/>
              <w10:wrap type="none"/>
            </v:shape>
          </v:group>
        </w:pict>
      </w:r>
      <w:r>
        <w:rPr>
          <w:position w:val="2"/>
          <w:sz w:val="20"/>
        </w:rPr>
      </w:r>
    </w:p>
    <w:p>
      <w:pPr>
        <w:pStyle w:val="BodyText"/>
        <w:spacing w:before="6"/>
        <w:rPr>
          <w:sz w:val="8"/>
        </w:rPr>
      </w:pPr>
    </w:p>
    <w:p>
      <w:pPr>
        <w:pStyle w:val="BodyText"/>
        <w:spacing w:before="90"/>
        <w:ind w:left="2630"/>
      </w:pPr>
      <w:r>
        <w:rPr/>
        <w:pict>
          <v:rect style="position:absolute;margin-left:366.230011pt;margin-top:-23.540188pt;width:4.9433pt;height:4.9433pt;mso-position-horizontal-relative:page;mso-position-vertical-relative:paragraph;z-index:-258875392" filled="true" fillcolor="#5b9bd4" stroked="false">
            <v:fill type="solid"/>
            <w10:wrap type="none"/>
          </v:rect>
        </w:pict>
      </w:r>
      <w:r>
        <w:rPr/>
        <w:pict>
          <v:rect style="position:absolute;margin-left:429.339996pt;margin-top:-23.540188pt;width:4.9433pt;height:4.9433pt;mso-position-horizontal-relative:page;mso-position-vertical-relative:paragraph;z-index:-258874368" filled="true" fillcolor="#ec7c30" stroked="false">
            <v:fill type="solid"/>
            <w10:wrap type="none"/>
          </v:rect>
        </w:pict>
      </w:r>
      <w:r>
        <w:rPr/>
        <w:pict>
          <v:rect style="position:absolute;margin-left:488.420013pt;margin-top:-23.540188pt;width:4.9433pt;height:4.9433pt;mso-position-horizontal-relative:page;mso-position-vertical-relative:paragraph;z-index:-258873344" filled="true" fillcolor="#a4a4a4" stroked="false">
            <v:fill type="solid"/>
            <w10:wrap type="none"/>
          </v:rect>
        </w:pict>
      </w:r>
      <w:r>
        <w:rPr>
          <w:b/>
        </w:rPr>
        <w:t>Source : </w:t>
      </w:r>
      <w:r>
        <w:rPr/>
        <w:t>élaboré par nous-même sur la base des outputs SPSS</w:t>
      </w:r>
    </w:p>
    <w:p>
      <w:pPr>
        <w:pStyle w:val="BodyText"/>
        <w:spacing w:before="3"/>
        <w:rPr>
          <w:sz w:val="25"/>
        </w:rPr>
      </w:pPr>
    </w:p>
    <w:p>
      <w:pPr>
        <w:pStyle w:val="BodyText"/>
        <w:spacing w:line="362" w:lineRule="auto"/>
        <w:ind w:left="699" w:right="317" w:firstLine="360"/>
        <w:jc w:val="both"/>
      </w:pPr>
      <w:r>
        <w:rPr/>
        <w:t>En répondant à </w:t>
      </w:r>
      <w:r>
        <w:rPr>
          <w:spacing w:val="-5"/>
        </w:rPr>
        <w:t>la </w:t>
      </w:r>
      <w:r>
        <w:rPr/>
        <w:t>question, 23,1 % des utilisateurs disent </w:t>
      </w:r>
      <w:r>
        <w:rPr>
          <w:spacing w:val="-3"/>
        </w:rPr>
        <w:t>avoir </w:t>
      </w:r>
      <w:r>
        <w:rPr/>
        <w:t>rencontré des bugs ou erreurs souventbet</w:t>
      </w:r>
      <w:r>
        <w:rPr>
          <w:spacing w:val="-2"/>
        </w:rPr>
        <w:t> </w:t>
      </w:r>
      <w:r>
        <w:rPr/>
        <w:t>61,7 %</w:t>
      </w:r>
      <w:r>
        <w:rPr>
          <w:spacing w:val="-4"/>
        </w:rPr>
        <w:t> </w:t>
      </w:r>
      <w:r>
        <w:rPr/>
        <w:t>en</w:t>
      </w:r>
      <w:r>
        <w:rPr>
          <w:spacing w:val="-10"/>
        </w:rPr>
        <w:t> </w:t>
      </w:r>
      <w:r>
        <w:rPr/>
        <w:t>ont</w:t>
      </w:r>
      <w:r>
        <w:rPr>
          <w:spacing w:val="-6"/>
        </w:rPr>
        <w:t> </w:t>
      </w:r>
      <w:r>
        <w:rPr/>
        <w:t>rencontré</w:t>
      </w:r>
      <w:r>
        <w:rPr>
          <w:spacing w:val="-7"/>
        </w:rPr>
        <w:t> </w:t>
      </w:r>
      <w:r>
        <w:rPr/>
        <w:t>parfois.</w:t>
      </w:r>
      <w:r>
        <w:rPr>
          <w:spacing w:val="-4"/>
        </w:rPr>
        <w:t> </w:t>
      </w:r>
      <w:r>
        <w:rPr/>
        <w:t>Cela</w:t>
      </w:r>
      <w:r>
        <w:rPr>
          <w:spacing w:val="-3"/>
        </w:rPr>
        <w:t> </w:t>
      </w:r>
      <w:r>
        <w:rPr/>
        <w:t>signifie</w:t>
      </w:r>
      <w:r>
        <w:rPr>
          <w:spacing w:val="-2"/>
        </w:rPr>
        <w:t> </w:t>
      </w:r>
      <w:r>
        <w:rPr/>
        <w:t>que</w:t>
      </w:r>
      <w:r>
        <w:rPr>
          <w:spacing w:val="-7"/>
        </w:rPr>
        <w:t> </w:t>
      </w:r>
      <w:r>
        <w:rPr/>
        <w:t>presque</w:t>
      </w:r>
      <w:r>
        <w:rPr>
          <w:spacing w:val="-7"/>
        </w:rPr>
        <w:t> </w:t>
      </w:r>
      <w:r>
        <w:rPr/>
        <w:t>85 %</w:t>
      </w:r>
      <w:r>
        <w:rPr>
          <w:spacing w:val="-4"/>
        </w:rPr>
        <w:t> </w:t>
      </w:r>
      <w:r>
        <w:rPr/>
        <w:t>des</w:t>
      </w:r>
      <w:r>
        <w:rPr>
          <w:spacing w:val="-7"/>
        </w:rPr>
        <w:t> </w:t>
      </w:r>
      <w:r>
        <w:rPr/>
        <w:t>personnes</w:t>
      </w:r>
      <w:r>
        <w:rPr>
          <w:spacing w:val="-8"/>
        </w:rPr>
        <w:t> </w:t>
      </w:r>
      <w:r>
        <w:rPr/>
        <w:t>ont</w:t>
      </w:r>
      <w:r>
        <w:rPr>
          <w:spacing w:val="-2"/>
        </w:rPr>
        <w:t> </w:t>
      </w:r>
      <w:r>
        <w:rPr/>
        <w:t>déjà eu des problèmes techniques avec l’application. Seuls 15,2 % des répondants n’ont jamais rencontré de</w:t>
      </w:r>
      <w:r>
        <w:rPr>
          <w:spacing w:val="1"/>
        </w:rPr>
        <w:t> </w:t>
      </w:r>
      <w:r>
        <w:rPr/>
        <w:t>bugs.</w:t>
      </w:r>
    </w:p>
    <w:p>
      <w:pPr>
        <w:pStyle w:val="Heading5"/>
        <w:spacing w:before="162"/>
        <w:ind w:left="699" w:firstLine="0"/>
      </w:pPr>
      <w:r>
        <w:rPr/>
        <w:t>Q16_Si oui, quels types de problèmes avez-vous rencontrés ?</w:t>
      </w:r>
    </w:p>
    <w:p>
      <w:pPr>
        <w:pStyle w:val="BodyText"/>
        <w:spacing w:before="1"/>
        <w:rPr>
          <w:b/>
          <w:sz w:val="17"/>
        </w:rPr>
      </w:pPr>
    </w:p>
    <w:p>
      <w:pPr>
        <w:spacing w:after="0"/>
        <w:rPr>
          <w:sz w:val="17"/>
        </w:rPr>
        <w:sectPr>
          <w:type w:val="continuous"/>
          <w:pgSz w:w="12240" w:h="15840"/>
          <w:pgMar w:top="3140" w:bottom="280" w:left="1000" w:right="820"/>
        </w:sectPr>
      </w:pPr>
    </w:p>
    <w:p>
      <w:pPr>
        <w:spacing w:line="242" w:lineRule="auto" w:before="90"/>
        <w:ind w:left="699" w:right="15" w:firstLine="0"/>
        <w:jc w:val="left"/>
        <w:rPr>
          <w:sz w:val="24"/>
        </w:rPr>
      </w:pPr>
      <w:bookmarkStart w:name="_bookmark45" w:id="239"/>
      <w:bookmarkEnd w:id="239"/>
      <w:r>
        <w:rPr/>
      </w:r>
      <w:r>
        <w:rPr>
          <w:b/>
          <w:color w:val="44536A"/>
          <w:sz w:val="24"/>
        </w:rPr>
        <w:t>Tableau 17 : </w:t>
      </w:r>
      <w:r>
        <w:rPr>
          <w:color w:val="44536A"/>
          <w:sz w:val="24"/>
        </w:rPr>
        <w:t>Types de problèmes techniques rencontrés</w:t>
      </w:r>
    </w:p>
    <w:p>
      <w:pPr>
        <w:spacing w:line="237" w:lineRule="auto" w:before="198"/>
        <w:ind w:left="699" w:right="0" w:firstLine="0"/>
        <w:jc w:val="left"/>
        <w:rPr>
          <w:sz w:val="24"/>
        </w:rPr>
      </w:pPr>
      <w:r>
        <w:rPr/>
        <w:br w:type="column"/>
      </w:r>
      <w:bookmarkStart w:name="_bookmark46" w:id="240"/>
      <w:bookmarkEnd w:id="240"/>
      <w:r>
        <w:rPr/>
      </w:r>
      <w:r>
        <w:rPr>
          <w:b/>
          <w:color w:val="44536A"/>
          <w:sz w:val="24"/>
        </w:rPr>
        <w:t>Figure 16: </w:t>
      </w:r>
      <w:r>
        <w:rPr>
          <w:color w:val="44536A"/>
          <w:sz w:val="24"/>
        </w:rPr>
        <w:t>Types de problèmes techniques rencontrés</w:t>
      </w:r>
    </w:p>
    <w:p>
      <w:pPr>
        <w:spacing w:after="0" w:line="237" w:lineRule="auto"/>
        <w:jc w:val="left"/>
        <w:rPr>
          <w:sz w:val="24"/>
        </w:rPr>
        <w:sectPr>
          <w:type w:val="continuous"/>
          <w:pgSz w:w="12240" w:h="15840"/>
          <w:pgMar w:top="3140" w:bottom="280" w:left="1000" w:right="820"/>
          <w:cols w:num="2" w:equalWidth="0">
            <w:col w:w="5094" w:space="44"/>
            <w:col w:w="5282"/>
          </w:cols>
        </w:sectPr>
      </w:pPr>
    </w:p>
    <w:p>
      <w:pPr>
        <w:pStyle w:val="BodyText"/>
        <w:spacing w:before="5"/>
        <w:rPr>
          <w:sz w:val="6"/>
        </w:rPr>
      </w:pPr>
    </w:p>
    <w:p>
      <w:pPr>
        <w:tabs>
          <w:tab w:pos="5909" w:val="left" w:leader="none"/>
        </w:tabs>
        <w:spacing w:line="240" w:lineRule="auto"/>
        <w:ind w:left="699" w:right="0" w:firstLine="0"/>
        <w:rPr>
          <w:sz w:val="20"/>
        </w:rPr>
      </w:pPr>
      <w:r>
        <w:rPr>
          <w:sz w:val="20"/>
        </w:rPr>
        <w:pict>
          <v:shape style="width:245.4pt;height:133.950pt;mso-position-horizontal-relative:char;mso-position-vertical-relative:line" type="#_x0000_t202" filled="false" stroked="false">
            <w10:anchorlock/>
            <v:textbox inset="0,0,0,0">
              <w:txbxContent>
                <w:tbl>
                  <w:tblPr>
                    <w:tblW w:w="0" w:type="auto"/>
                    <w:jc w:val="left"/>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18"/>
                    <w:gridCol w:w="1047"/>
                  </w:tblGrid>
                  <w:tr>
                    <w:trPr>
                      <w:trHeight w:val="441" w:hRule="atLeast"/>
                    </w:trPr>
                    <w:tc>
                      <w:tcPr>
                        <w:tcW w:w="3818" w:type="dxa"/>
                        <w:tcBorders>
                          <w:bottom w:val="nil"/>
                        </w:tcBorders>
                      </w:tcPr>
                      <w:p>
                        <w:pPr>
                          <w:pStyle w:val="TableParagraph"/>
                          <w:spacing w:before="153"/>
                          <w:ind w:left="71"/>
                          <w:jc w:val="left"/>
                          <w:rPr>
                            <w:b/>
                            <w:sz w:val="18"/>
                          </w:rPr>
                        </w:pPr>
                        <w:r>
                          <w:rPr>
                            <w:b/>
                            <w:sz w:val="18"/>
                          </w:rPr>
                          <w:t>Transactions échouées</w:t>
                        </w:r>
                      </w:p>
                    </w:tc>
                    <w:tc>
                      <w:tcPr>
                        <w:tcW w:w="1047" w:type="dxa"/>
                        <w:tcBorders>
                          <w:bottom w:val="nil"/>
                        </w:tcBorders>
                      </w:tcPr>
                      <w:p>
                        <w:pPr>
                          <w:pStyle w:val="TableParagraph"/>
                          <w:spacing w:before="153"/>
                          <w:ind w:left="369" w:right="337"/>
                          <w:rPr>
                            <w:b/>
                            <w:sz w:val="18"/>
                          </w:rPr>
                        </w:pPr>
                        <w:r>
                          <w:rPr>
                            <w:b/>
                            <w:sz w:val="18"/>
                          </w:rPr>
                          <w:t>219</w:t>
                        </w:r>
                      </w:p>
                    </w:tc>
                  </w:tr>
                  <w:tr>
                    <w:trPr>
                      <w:trHeight w:val="362" w:hRule="atLeast"/>
                    </w:trPr>
                    <w:tc>
                      <w:tcPr>
                        <w:tcW w:w="3818" w:type="dxa"/>
                        <w:tcBorders>
                          <w:top w:val="nil"/>
                          <w:bottom w:val="nil"/>
                        </w:tcBorders>
                      </w:tcPr>
                      <w:p>
                        <w:pPr>
                          <w:pStyle w:val="TableParagraph"/>
                          <w:spacing w:before="76"/>
                          <w:ind w:left="71"/>
                          <w:jc w:val="left"/>
                          <w:rPr>
                            <w:b/>
                            <w:sz w:val="18"/>
                          </w:rPr>
                        </w:pPr>
                        <w:r>
                          <w:rPr>
                            <w:b/>
                            <w:sz w:val="18"/>
                          </w:rPr>
                          <w:t>Erreurs d'affichage du solde</w:t>
                        </w:r>
                      </w:p>
                    </w:tc>
                    <w:tc>
                      <w:tcPr>
                        <w:tcW w:w="1047" w:type="dxa"/>
                        <w:tcBorders>
                          <w:top w:val="nil"/>
                          <w:bottom w:val="nil"/>
                        </w:tcBorders>
                      </w:tcPr>
                      <w:p>
                        <w:pPr>
                          <w:pStyle w:val="TableParagraph"/>
                          <w:spacing w:before="76"/>
                          <w:ind w:left="369" w:right="337"/>
                          <w:rPr>
                            <w:b/>
                            <w:sz w:val="18"/>
                          </w:rPr>
                        </w:pPr>
                        <w:r>
                          <w:rPr>
                            <w:b/>
                            <w:sz w:val="18"/>
                          </w:rPr>
                          <w:t>201</w:t>
                        </w:r>
                      </w:p>
                    </w:tc>
                  </w:tr>
                  <w:tr>
                    <w:trPr>
                      <w:trHeight w:val="362" w:hRule="atLeast"/>
                    </w:trPr>
                    <w:tc>
                      <w:tcPr>
                        <w:tcW w:w="3818" w:type="dxa"/>
                        <w:tcBorders>
                          <w:top w:val="nil"/>
                          <w:bottom w:val="nil"/>
                        </w:tcBorders>
                      </w:tcPr>
                      <w:p>
                        <w:pPr>
                          <w:pStyle w:val="TableParagraph"/>
                          <w:spacing w:before="73"/>
                          <w:ind w:left="71"/>
                          <w:jc w:val="left"/>
                          <w:rPr>
                            <w:b/>
                            <w:sz w:val="18"/>
                          </w:rPr>
                        </w:pPr>
                        <w:r>
                          <w:rPr>
                            <w:b/>
                            <w:sz w:val="18"/>
                          </w:rPr>
                          <w:t>Lenteur excessive de l'application</w:t>
                        </w:r>
                      </w:p>
                    </w:tc>
                    <w:tc>
                      <w:tcPr>
                        <w:tcW w:w="1047" w:type="dxa"/>
                        <w:tcBorders>
                          <w:top w:val="nil"/>
                          <w:bottom w:val="nil"/>
                        </w:tcBorders>
                      </w:tcPr>
                      <w:p>
                        <w:pPr>
                          <w:pStyle w:val="TableParagraph"/>
                          <w:spacing w:before="73"/>
                          <w:ind w:left="369" w:right="337"/>
                          <w:rPr>
                            <w:b/>
                            <w:sz w:val="18"/>
                          </w:rPr>
                        </w:pPr>
                        <w:r>
                          <w:rPr>
                            <w:b/>
                            <w:sz w:val="18"/>
                          </w:rPr>
                          <w:t>161</w:t>
                        </w:r>
                      </w:p>
                    </w:tc>
                  </w:tr>
                  <w:tr>
                    <w:trPr>
                      <w:trHeight w:val="288" w:hRule="atLeast"/>
                    </w:trPr>
                    <w:tc>
                      <w:tcPr>
                        <w:tcW w:w="3818" w:type="dxa"/>
                        <w:tcBorders>
                          <w:top w:val="nil"/>
                          <w:bottom w:val="nil"/>
                        </w:tcBorders>
                      </w:tcPr>
                      <w:p>
                        <w:pPr>
                          <w:pStyle w:val="TableParagraph"/>
                          <w:spacing w:line="192" w:lineRule="exact" w:before="76"/>
                          <w:ind w:left="71"/>
                          <w:jc w:val="left"/>
                          <w:rPr>
                            <w:b/>
                            <w:sz w:val="18"/>
                          </w:rPr>
                        </w:pPr>
                        <w:r>
                          <w:rPr>
                            <w:b/>
                            <w:sz w:val="18"/>
                          </w:rPr>
                          <w:t>Fermeture inopinée de l’application</w:t>
                        </w:r>
                      </w:p>
                    </w:tc>
                    <w:tc>
                      <w:tcPr>
                        <w:tcW w:w="1047" w:type="dxa"/>
                        <w:tcBorders>
                          <w:top w:val="nil"/>
                          <w:bottom w:val="nil"/>
                        </w:tcBorders>
                      </w:tcPr>
                      <w:p>
                        <w:pPr>
                          <w:pStyle w:val="TableParagraph"/>
                          <w:spacing w:line="192" w:lineRule="exact" w:before="76"/>
                          <w:ind w:left="369" w:right="337"/>
                          <w:rPr>
                            <w:b/>
                            <w:sz w:val="18"/>
                          </w:rPr>
                        </w:pPr>
                        <w:r>
                          <w:rPr>
                            <w:b/>
                            <w:sz w:val="18"/>
                          </w:rPr>
                          <w:t>115</w:t>
                        </w:r>
                      </w:p>
                    </w:tc>
                  </w:tr>
                  <w:tr>
                    <w:trPr>
                      <w:trHeight w:val="494" w:hRule="atLeast"/>
                    </w:trPr>
                    <w:tc>
                      <w:tcPr>
                        <w:tcW w:w="3818" w:type="dxa"/>
                        <w:tcBorders>
                          <w:top w:val="nil"/>
                          <w:bottom w:val="nil"/>
                        </w:tcBorders>
                      </w:tcPr>
                      <w:p>
                        <w:pPr>
                          <w:pStyle w:val="TableParagraph"/>
                          <w:ind w:left="71" w:right="367"/>
                          <w:jc w:val="left"/>
                          <w:rPr>
                            <w:b/>
                            <w:sz w:val="18"/>
                          </w:rPr>
                        </w:pPr>
                        <w:r>
                          <w:rPr>
                            <w:b/>
                            <w:sz w:val="18"/>
                          </w:rPr>
                          <w:t>La sélection de la source du virement ou du paiement</w:t>
                        </w:r>
                      </w:p>
                    </w:tc>
                    <w:tc>
                      <w:tcPr>
                        <w:tcW w:w="1047" w:type="dxa"/>
                        <w:tcBorders>
                          <w:top w:val="nil"/>
                          <w:bottom w:val="nil"/>
                        </w:tcBorders>
                      </w:tcPr>
                      <w:p>
                        <w:pPr>
                          <w:pStyle w:val="TableParagraph"/>
                          <w:spacing w:before="104"/>
                          <w:ind w:left="365" w:right="337"/>
                          <w:rPr>
                            <w:b/>
                            <w:sz w:val="18"/>
                          </w:rPr>
                        </w:pPr>
                        <w:r>
                          <w:rPr>
                            <w:b/>
                            <w:sz w:val="18"/>
                          </w:rPr>
                          <w:t>15</w:t>
                        </w:r>
                      </w:p>
                    </w:tc>
                  </w:tr>
                  <w:tr>
                    <w:trPr>
                      <w:trHeight w:val="281" w:hRule="atLeast"/>
                    </w:trPr>
                    <w:tc>
                      <w:tcPr>
                        <w:tcW w:w="3818" w:type="dxa"/>
                        <w:tcBorders>
                          <w:top w:val="nil"/>
                        </w:tcBorders>
                      </w:tcPr>
                      <w:p>
                        <w:pPr>
                          <w:pStyle w:val="TableParagraph"/>
                          <w:spacing w:line="186" w:lineRule="exact" w:before="76"/>
                          <w:ind w:left="71"/>
                          <w:jc w:val="left"/>
                          <w:rPr>
                            <w:b/>
                            <w:sz w:val="18"/>
                          </w:rPr>
                        </w:pPr>
                        <w:r>
                          <w:rPr>
                            <w:b/>
                            <w:sz w:val="18"/>
                          </w:rPr>
                          <w:t>Mise à jour de l'application sans avertissement</w:t>
                        </w:r>
                      </w:p>
                    </w:tc>
                    <w:tc>
                      <w:tcPr>
                        <w:tcW w:w="1047" w:type="dxa"/>
                        <w:tcBorders>
                          <w:top w:val="nil"/>
                        </w:tcBorders>
                      </w:tcPr>
                      <w:p>
                        <w:pPr>
                          <w:pStyle w:val="TableParagraph"/>
                          <w:spacing w:line="186" w:lineRule="exact" w:before="76"/>
                          <w:ind w:left="365" w:right="337"/>
                          <w:rPr>
                            <w:b/>
                            <w:sz w:val="18"/>
                          </w:rPr>
                        </w:pPr>
                        <w:r>
                          <w:rPr>
                            <w:b/>
                            <w:sz w:val="18"/>
                          </w:rPr>
                          <w:t>32</w:t>
                        </w:r>
                      </w:p>
                    </w:tc>
                  </w:tr>
                  <w:tr>
                    <w:trPr>
                      <w:trHeight w:val="358" w:hRule="atLeast"/>
                    </w:trPr>
                    <w:tc>
                      <w:tcPr>
                        <w:tcW w:w="3818" w:type="dxa"/>
                      </w:tcPr>
                      <w:p>
                        <w:pPr>
                          <w:pStyle w:val="TableParagraph"/>
                          <w:spacing w:line="186" w:lineRule="exact" w:before="153"/>
                          <w:ind w:left="71"/>
                          <w:jc w:val="left"/>
                          <w:rPr>
                            <w:b/>
                            <w:sz w:val="18"/>
                          </w:rPr>
                        </w:pPr>
                        <w:r>
                          <w:rPr>
                            <w:b/>
                            <w:sz w:val="18"/>
                          </w:rPr>
                          <w:t>Total</w:t>
                        </w:r>
                      </w:p>
                    </w:tc>
                    <w:tc>
                      <w:tcPr>
                        <w:tcW w:w="1047" w:type="dxa"/>
                      </w:tcPr>
                      <w:p>
                        <w:pPr>
                          <w:pStyle w:val="TableParagraph"/>
                          <w:spacing w:line="186" w:lineRule="exact" w:before="153"/>
                          <w:ind w:left="369" w:right="337"/>
                          <w:rPr>
                            <w:b/>
                            <w:sz w:val="18"/>
                          </w:rPr>
                        </w:pPr>
                        <w:r>
                          <w:rPr>
                            <w:b/>
                            <w:sz w:val="18"/>
                          </w:rPr>
                          <w:t>743</w:t>
                        </w:r>
                      </w:p>
                    </w:tc>
                  </w:tr>
                </w:tbl>
                <w:p>
                  <w:pPr>
                    <w:pStyle w:val="BodyText"/>
                  </w:pPr>
                </w:p>
              </w:txbxContent>
            </v:textbox>
          </v:shape>
        </w:pict>
      </w:r>
      <w:r>
        <w:rPr>
          <w:sz w:val="20"/>
        </w:rPr>
      </w:r>
      <w:r>
        <w:rPr>
          <w:sz w:val="20"/>
        </w:rPr>
        <w:tab/>
      </w:r>
      <w:r>
        <w:rPr>
          <w:sz w:val="20"/>
        </w:rPr>
        <w:pict>
          <v:group style="width:205.1pt;height:133.35pt;mso-position-horizontal-relative:char;mso-position-vertical-relative:line" coordorigin="0,0" coordsize="4102,2667">
            <v:shape style="position:absolute;left:869;top:480;width:684;height:873" coordorigin="870,480" coordsize="684,873" path="m870,480l870,1163,1526,1353,1538,1306,1546,1259,1551,1211,1553,1163,1549,1089,1537,1017,1518,947,1492,881,1460,819,1421,760,1377,706,1328,656,1273,612,1215,573,1152,541,1086,515,1016,496,944,484,870,480xe" filled="true" fillcolor="#5b9bd4" stroked="false">
              <v:path arrowok="t"/>
              <v:fill type="solid"/>
            </v:shape>
            <v:shape style="position:absolute;left:597;top:1163;width:929;height:683" coordorigin="597,1163" coordsize="929,683" path="m870,1163l597,1790,618,1799,638,1806,753,1837,825,1846,897,1846,968,1840,1037,1826,1104,1805,1169,1778,1230,1744,1288,1704,1341,1659,1390,1607,1433,1551,1470,1490,1502,1423,1526,1353,870,1163xe" filled="true" fillcolor="#ec7c30" stroked="false">
              <v:path arrowok="t"/>
              <v:fill type="solid"/>
            </v:shape>
            <v:shape style="position:absolute;left:597;top:1163;width:929;height:683" coordorigin="597,1163" coordsize="929,683" path="m1526,1353l1502,1423,1470,1490,1433,1551,1390,1607,1341,1659,1288,1704,1230,1744,1169,1778,1104,1805,1037,1826,968,1840,897,1846,825,1846,753,1837,680,1820,618,1799,597,1790,870,1163,1526,1353xe" filled="false" stroked="true" strokeweight="1.44pt" strokecolor="#ffffff">
              <v:path arrowok="t"/>
              <v:stroke dashstyle="solid"/>
            </v:shape>
            <v:shape style="position:absolute;left:186;top:1027;width:684;height:763" coordorigin="187,1027" coordsize="684,763" path="m200,1027l189,1100,187,1173,191,1244,203,1314,222,1382,248,1447,281,1510,319,1568,364,1623,415,1673,470,1718,531,1757,597,1790,870,1163,200,1027xe" filled="true" fillcolor="#a4a4a4" stroked="false">
              <v:path arrowok="t"/>
              <v:fill type="solid"/>
            </v:shape>
            <v:shape style="position:absolute;left:186;top:1027;width:684;height:763" coordorigin="187,1027" coordsize="684,763" path="m597,1790l531,1757,470,1718,415,1673,364,1623,319,1568,281,1510,248,1447,222,1382,203,1314,191,1244,187,1173,189,1100,200,1027,870,1163,597,1790xe" filled="false" stroked="true" strokeweight="1.44pt" strokecolor="#ffffff">
              <v:path arrowok="t"/>
              <v:stroke dashstyle="solid"/>
            </v:shape>
            <v:shape style="position:absolute;left:200;top:533;width:670;height:630" coordorigin="200,533" coordsize="670,630" path="m605,533l538,566,475,605,418,651,365,702,319,759,279,820,246,886,219,955,200,1027,870,1163,605,533xe" filled="true" fillcolor="#ffc000" stroked="false">
              <v:path arrowok="t"/>
              <v:fill type="solid"/>
            </v:shape>
            <v:shape style="position:absolute;left:200;top:533;width:670;height:630" coordorigin="200,533" coordsize="670,630" path="m200,1027l219,955,246,886,279,820,319,759,365,702,418,651,475,605,538,566,605,533,870,1163,200,1027xe" filled="false" stroked="true" strokeweight="1.44pt" strokecolor="#ffffff">
              <v:path arrowok="t"/>
              <v:stroke dashstyle="solid"/>
            </v:shape>
            <v:shape style="position:absolute;left:605;top:505;width:265;height:659" coordorigin="605,505" coordsize="265,659" path="m687,505l666,511,646,518,625,525,605,533,870,1163,687,505xe" filled="true" fillcolor="#4471c4" stroked="false">
              <v:path arrowok="t"/>
              <v:fill type="solid"/>
            </v:shape>
            <v:shape style="position:absolute;left:605;top:505;width:265;height:659" coordorigin="605,505" coordsize="265,659" path="m605,533l625,525,646,518,666,511,687,505,870,1163,605,533xe" filled="false" stroked="true" strokeweight="1.44pt" strokecolor="#ffffff">
              <v:path arrowok="t"/>
              <v:stroke dashstyle="solid"/>
            </v:shape>
            <v:shape style="position:absolute;left:687;top:480;width:183;height:684" coordorigin="687,480" coordsize="183,684" path="m870,480l824,482,778,486,732,494,687,505,870,1163,870,480xe" filled="true" fillcolor="#6fac46" stroked="false">
              <v:path arrowok="t"/>
              <v:fill type="solid"/>
            </v:shape>
            <v:shape style="position:absolute;left:687;top:480;width:183;height:684" coordorigin="687,480" coordsize="183,684" path="m687,505l732,494,778,486,824,482,870,480,870,1163,687,505xe" filled="false" stroked="true" strokeweight="1.44pt" strokecolor="#ffffff">
              <v:path arrowok="t"/>
              <v:stroke dashstyle="solid"/>
            </v:shape>
            <v:rect style="position:absolute;left:1705;top:214;width:99;height:99" filled="true" fillcolor="#5b9bd4" stroked="false">
              <v:fill type="solid"/>
            </v:rect>
            <v:rect style="position:absolute;left:1705;top:617;width:99;height:99" filled="true" fillcolor="#ec7c30" stroked="false">
              <v:fill type="solid"/>
            </v:rect>
            <v:rect style="position:absolute;left:1705;top:1020;width:99;height:99" filled="true" fillcolor="#a4a4a4" stroked="false">
              <v:fill type="solid"/>
            </v:rect>
            <v:rect style="position:absolute;left:1705;top:1423;width:99;height:99" filled="true" fillcolor="#ffc000" stroked="false">
              <v:fill type="solid"/>
            </v:rect>
            <v:rect style="position:absolute;left:1705;top:1826;width:99;height:99" filled="true" fillcolor="#4471c4" stroked="false">
              <v:fill type="solid"/>
            </v:rect>
            <v:rect style="position:absolute;left:1705;top:2229;width:99;height:99" filled="true" fillcolor="#6fac46" stroked="false">
              <v:fill type="solid"/>
            </v:rect>
            <v:rect style="position:absolute;left:7;top:7;width:4087;height:2652" filled="false" stroked="true" strokeweight=".75pt" strokecolor="#d9d9d9">
              <v:stroke dashstyle="solid"/>
            </v:rect>
            <v:shape style="position:absolute;left:1850;top:990;width:2035;height:1612" type="#_x0000_t202" filled="false" stroked="false">
              <v:textbox inset="0,0,0,0">
                <w:txbxContent>
                  <w:p>
                    <w:pPr>
                      <w:spacing w:line="185" w:lineRule="exact" w:before="0"/>
                      <w:ind w:left="0" w:right="0" w:firstLine="0"/>
                      <w:jc w:val="left"/>
                      <w:rPr>
                        <w:rFonts w:ascii="Calibri"/>
                        <w:sz w:val="18"/>
                      </w:rPr>
                    </w:pPr>
                    <w:r>
                      <w:rPr>
                        <w:rFonts w:ascii="Calibri"/>
                        <w:color w:val="585858"/>
                        <w:sz w:val="18"/>
                      </w:rPr>
                      <w:t>Lenteur excessive de</w:t>
                    </w:r>
                  </w:p>
                  <w:p>
                    <w:pPr>
                      <w:spacing w:line="218" w:lineRule="auto" w:before="15"/>
                      <w:ind w:left="0" w:right="349" w:firstLine="0"/>
                      <w:jc w:val="left"/>
                      <w:rPr>
                        <w:rFonts w:ascii="Calibri" w:hAnsi="Calibri"/>
                        <w:sz w:val="18"/>
                      </w:rPr>
                    </w:pPr>
                    <w:r>
                      <w:rPr>
                        <w:rFonts w:ascii="Calibri" w:hAnsi="Calibri"/>
                        <w:color w:val="585858"/>
                        <w:sz w:val="18"/>
                      </w:rPr>
                      <w:t>l'application Fermeture inopinée de l’application</w:t>
                    </w:r>
                  </w:p>
                  <w:p>
                    <w:pPr>
                      <w:spacing w:line="191" w:lineRule="exact" w:before="0"/>
                      <w:ind w:left="0" w:right="0" w:firstLine="0"/>
                      <w:jc w:val="left"/>
                      <w:rPr>
                        <w:rFonts w:ascii="Calibri" w:hAnsi="Calibri"/>
                        <w:sz w:val="18"/>
                      </w:rPr>
                    </w:pPr>
                    <w:r>
                      <w:rPr>
                        <w:rFonts w:ascii="Calibri" w:hAnsi="Calibri"/>
                        <w:color w:val="585858"/>
                        <w:sz w:val="18"/>
                      </w:rPr>
                      <w:t>La sélection de la source du</w:t>
                    </w:r>
                  </w:p>
                  <w:p>
                    <w:pPr>
                      <w:spacing w:line="220" w:lineRule="auto" w:before="14"/>
                      <w:ind w:left="0" w:right="38" w:firstLine="0"/>
                      <w:jc w:val="left"/>
                      <w:rPr>
                        <w:rFonts w:ascii="Calibri" w:hAnsi="Calibri"/>
                        <w:sz w:val="18"/>
                      </w:rPr>
                    </w:pPr>
                    <w:r>
                      <w:rPr>
                        <w:rFonts w:ascii="Calibri" w:hAnsi="Calibri"/>
                        <w:color w:val="585858"/>
                        <w:sz w:val="18"/>
                      </w:rPr>
                      <w:t>virement ou du paiement Mise à jour de l'application sans avertissement</w:t>
                    </w:r>
                  </w:p>
                </w:txbxContent>
              </v:textbox>
              <w10:wrap type="none"/>
            </v:shape>
            <v:shape style="position:absolute;left:323;top:826;width:1044;height:829" type="#_x0000_t202" filled="false" stroked="false">
              <v:textbox inset="0,0,0,0">
                <w:txbxContent>
                  <w:p>
                    <w:pPr>
                      <w:tabs>
                        <w:tab w:pos="750" w:val="left" w:leader="none"/>
                      </w:tabs>
                      <w:spacing w:line="185" w:lineRule="exact" w:before="0"/>
                      <w:ind w:left="60" w:right="0" w:firstLine="0"/>
                      <w:jc w:val="left"/>
                      <w:rPr>
                        <w:rFonts w:ascii="Calibri"/>
                        <w:sz w:val="18"/>
                      </w:rPr>
                    </w:pPr>
                    <w:r>
                      <w:rPr>
                        <w:rFonts w:ascii="Calibri"/>
                        <w:color w:val="404040"/>
                        <w:sz w:val="18"/>
                      </w:rPr>
                      <w:t>115</w:t>
                      <w:tab/>
                    </w:r>
                    <w:r>
                      <w:rPr>
                        <w:rFonts w:ascii="Calibri"/>
                        <w:color w:val="404040"/>
                        <w:spacing w:val="-2"/>
                        <w:sz w:val="18"/>
                      </w:rPr>
                      <w:t>219</w:t>
                    </w:r>
                  </w:p>
                  <w:p>
                    <w:pPr>
                      <w:spacing w:line="240" w:lineRule="auto" w:before="10"/>
                      <w:rPr>
                        <w:rFonts w:ascii="Calibri"/>
                        <w:sz w:val="18"/>
                      </w:rPr>
                    </w:pPr>
                  </w:p>
                  <w:p>
                    <w:pPr>
                      <w:spacing w:line="208" w:lineRule="exact" w:before="0"/>
                      <w:ind w:left="0" w:right="0" w:firstLine="0"/>
                      <w:jc w:val="left"/>
                      <w:rPr>
                        <w:rFonts w:ascii="Calibri"/>
                        <w:sz w:val="18"/>
                      </w:rPr>
                    </w:pPr>
                    <w:r>
                      <w:rPr>
                        <w:rFonts w:ascii="Calibri"/>
                        <w:color w:val="404040"/>
                        <w:sz w:val="18"/>
                      </w:rPr>
                      <w:t>161</w:t>
                    </w:r>
                  </w:p>
                  <w:p>
                    <w:pPr>
                      <w:spacing w:line="205" w:lineRule="exact" w:before="0"/>
                      <w:ind w:left="600" w:right="0" w:firstLine="0"/>
                      <w:jc w:val="left"/>
                      <w:rPr>
                        <w:rFonts w:ascii="Calibri"/>
                        <w:sz w:val="18"/>
                      </w:rPr>
                    </w:pPr>
                    <w:r>
                      <w:rPr>
                        <w:rFonts w:ascii="Calibri"/>
                        <w:color w:val="404040"/>
                        <w:sz w:val="18"/>
                      </w:rPr>
                      <w:t>201</w:t>
                    </w:r>
                  </w:p>
                </w:txbxContent>
              </v:textbox>
              <w10:wrap type="none"/>
            </v:shape>
            <v:shape style="position:absolute;left:1850;top:183;width:2054;height:586" type="#_x0000_t202" filled="false" stroked="false">
              <v:textbox inset="0,0,0,0">
                <w:txbxContent>
                  <w:p>
                    <w:pPr>
                      <w:spacing w:line="185" w:lineRule="exact" w:before="0"/>
                      <w:ind w:left="0" w:right="0" w:firstLine="0"/>
                      <w:jc w:val="left"/>
                      <w:rPr>
                        <w:rFonts w:ascii="Calibri" w:hAnsi="Calibri"/>
                        <w:sz w:val="18"/>
                      </w:rPr>
                    </w:pPr>
                    <w:r>
                      <w:rPr>
                        <w:rFonts w:ascii="Calibri" w:hAnsi="Calibri"/>
                        <w:color w:val="585858"/>
                        <w:sz w:val="18"/>
                      </w:rPr>
                      <w:t>Transactions échouées</w:t>
                    </w:r>
                  </w:p>
                  <w:p>
                    <w:pPr>
                      <w:spacing w:line="240" w:lineRule="auto" w:before="0"/>
                      <w:rPr>
                        <w:rFonts w:ascii="Calibri"/>
                        <w:sz w:val="15"/>
                      </w:rPr>
                    </w:pPr>
                  </w:p>
                  <w:p>
                    <w:pPr>
                      <w:spacing w:line="217" w:lineRule="exact" w:before="0"/>
                      <w:ind w:left="0" w:right="0" w:firstLine="0"/>
                      <w:jc w:val="left"/>
                      <w:rPr>
                        <w:rFonts w:ascii="Calibri"/>
                        <w:sz w:val="18"/>
                      </w:rPr>
                    </w:pPr>
                    <w:r>
                      <w:rPr>
                        <w:rFonts w:ascii="Calibri"/>
                        <w:color w:val="585858"/>
                        <w:sz w:val="18"/>
                      </w:rPr>
                      <w:t>Erreurs d'affichage du solde</w:t>
                    </w:r>
                  </w:p>
                </w:txbxContent>
              </v:textbox>
              <w10:wrap type="none"/>
            </v:shape>
            <v:shape style="position:absolute;left:430;top:241;width:443;height:228" type="#_x0000_t202" filled="false" stroked="false">
              <v:textbox inset="0,0,0,0">
                <w:txbxContent>
                  <w:p>
                    <w:pPr>
                      <w:spacing w:line="189" w:lineRule="auto" w:before="0"/>
                      <w:ind w:left="0" w:right="0" w:firstLine="0"/>
                      <w:jc w:val="left"/>
                      <w:rPr>
                        <w:rFonts w:ascii="Calibri"/>
                        <w:sz w:val="18"/>
                      </w:rPr>
                    </w:pPr>
                    <w:r>
                      <w:rPr>
                        <w:rFonts w:ascii="Calibri"/>
                        <w:color w:val="404040"/>
                        <w:position w:val="-4"/>
                        <w:sz w:val="18"/>
                      </w:rPr>
                      <w:t>15 </w:t>
                    </w:r>
                    <w:r>
                      <w:rPr>
                        <w:rFonts w:ascii="Calibri"/>
                        <w:color w:val="404040"/>
                        <w:sz w:val="18"/>
                      </w:rPr>
                      <w:t>32</w:t>
                    </w:r>
                  </w:p>
                </w:txbxContent>
              </v:textbox>
              <w10:wrap type="none"/>
            </v:shape>
          </v:group>
        </w:pict>
      </w:r>
      <w:r>
        <w:rPr>
          <w:sz w:val="20"/>
        </w:rPr>
      </w:r>
    </w:p>
    <w:p>
      <w:pPr>
        <w:pStyle w:val="BodyText"/>
        <w:spacing w:before="2"/>
        <w:rPr>
          <w:sz w:val="25"/>
        </w:rPr>
      </w:pPr>
    </w:p>
    <w:p>
      <w:pPr>
        <w:pStyle w:val="BodyText"/>
        <w:spacing w:before="90"/>
        <w:ind w:left="825" w:right="445"/>
        <w:jc w:val="center"/>
      </w:pPr>
      <w:r>
        <w:rPr/>
        <w:drawing>
          <wp:anchor distT="0" distB="0" distL="0" distR="0" allowOverlap="1" layoutInCell="1" locked="0" behindDoc="0" simplePos="0" relativeHeight="251787264">
            <wp:simplePos x="0" y="0"/>
            <wp:positionH relativeFrom="page">
              <wp:posOffset>1079296</wp:posOffset>
            </wp:positionH>
            <wp:positionV relativeFrom="paragraph">
              <wp:posOffset>-197115</wp:posOffset>
            </wp:positionV>
            <wp:extent cx="182880" cy="128015"/>
            <wp:effectExtent l="0" t="0" r="0" b="0"/>
            <wp:wrapNone/>
            <wp:docPr id="23" name="image45.png"/>
            <wp:cNvGraphicFramePr>
              <a:graphicFrameLocks noChangeAspect="1"/>
            </wp:cNvGraphicFramePr>
            <a:graphic>
              <a:graphicData uri="http://schemas.openxmlformats.org/drawingml/2006/picture">
                <pic:pic>
                  <pic:nvPicPr>
                    <pic:cNvPr id="24" name="image45.png"/>
                    <pic:cNvPicPr/>
                  </pic:nvPicPr>
                  <pic:blipFill>
                    <a:blip r:embed="rId99" cstate="print"/>
                    <a:stretch>
                      <a:fillRect/>
                    </a:stretch>
                  </pic:blipFill>
                  <pic:spPr>
                    <a:xfrm>
                      <a:off x="0" y="0"/>
                      <a:ext cx="182880" cy="128015"/>
                    </a:xfrm>
                    <a:prstGeom prst="rect">
                      <a:avLst/>
                    </a:prstGeom>
                  </pic:spPr>
                </pic:pic>
              </a:graphicData>
            </a:graphic>
          </wp:anchor>
        </w:drawing>
      </w:r>
      <w:r>
        <w:rPr>
          <w:b/>
        </w:rPr>
        <w:t>Source : </w:t>
      </w:r>
      <w:r>
        <w:rPr/>
        <w:t>élaboré par nous-même sur la base des outputs SPSS</w:t>
      </w:r>
    </w:p>
    <w:p>
      <w:pPr>
        <w:spacing w:after="0"/>
        <w:jc w:val="center"/>
        <w:sectPr>
          <w:type w:val="continuous"/>
          <w:pgSz w:w="12240" w:h="15840"/>
          <w:pgMar w:top="3140" w:bottom="280" w:left="1000" w:right="820"/>
        </w:sectPr>
      </w:pPr>
    </w:p>
    <w:p>
      <w:pPr>
        <w:pStyle w:val="BodyText"/>
        <w:spacing w:before="6"/>
        <w:rPr>
          <w:sz w:val="19"/>
        </w:rPr>
      </w:pPr>
    </w:p>
    <w:p>
      <w:pPr>
        <w:pStyle w:val="BodyText"/>
        <w:spacing w:line="360" w:lineRule="auto" w:before="90"/>
        <w:ind w:left="699" w:right="315" w:firstLine="360"/>
        <w:jc w:val="both"/>
      </w:pPr>
      <w:r>
        <w:rPr/>
        <w:t>Les</w:t>
      </w:r>
      <w:r>
        <w:rPr>
          <w:spacing w:val="-14"/>
        </w:rPr>
        <w:t> </w:t>
      </w:r>
      <w:r>
        <w:rPr/>
        <w:t>utilisateurs</w:t>
      </w:r>
      <w:r>
        <w:rPr>
          <w:spacing w:val="-14"/>
        </w:rPr>
        <w:t> </w:t>
      </w:r>
      <w:r>
        <w:rPr/>
        <w:t>ont</w:t>
      </w:r>
      <w:r>
        <w:rPr>
          <w:spacing w:val="-8"/>
        </w:rPr>
        <w:t> </w:t>
      </w:r>
      <w:r>
        <w:rPr/>
        <w:t>signalé</w:t>
      </w:r>
      <w:r>
        <w:rPr>
          <w:spacing w:val="-13"/>
        </w:rPr>
        <w:t> </w:t>
      </w:r>
      <w:r>
        <w:rPr/>
        <w:t>différents</w:t>
      </w:r>
      <w:r>
        <w:rPr>
          <w:spacing w:val="-14"/>
        </w:rPr>
        <w:t> </w:t>
      </w:r>
      <w:r>
        <w:rPr/>
        <w:t>types</w:t>
      </w:r>
      <w:r>
        <w:rPr>
          <w:spacing w:val="-13"/>
        </w:rPr>
        <w:t> </w:t>
      </w:r>
      <w:r>
        <w:rPr/>
        <w:t>de</w:t>
      </w:r>
      <w:r>
        <w:rPr>
          <w:spacing w:val="-13"/>
        </w:rPr>
        <w:t> </w:t>
      </w:r>
      <w:r>
        <w:rPr/>
        <w:t>bugs</w:t>
      </w:r>
      <w:r>
        <w:rPr>
          <w:spacing w:val="-10"/>
        </w:rPr>
        <w:t> </w:t>
      </w:r>
      <w:r>
        <w:rPr/>
        <w:t>en</w:t>
      </w:r>
      <w:r>
        <w:rPr>
          <w:spacing w:val="-15"/>
        </w:rPr>
        <w:t> </w:t>
      </w:r>
      <w:r>
        <w:rPr/>
        <w:t>utilisant</w:t>
      </w:r>
      <w:r>
        <w:rPr>
          <w:spacing w:val="-8"/>
        </w:rPr>
        <w:t> </w:t>
      </w:r>
      <w:r>
        <w:rPr/>
        <w:t>BaridiMob.</w:t>
      </w:r>
      <w:r>
        <w:rPr>
          <w:spacing w:val="-10"/>
        </w:rPr>
        <w:t> </w:t>
      </w:r>
      <w:r>
        <w:rPr/>
        <w:t>Le</w:t>
      </w:r>
      <w:r>
        <w:rPr>
          <w:spacing w:val="-13"/>
        </w:rPr>
        <w:t> </w:t>
      </w:r>
      <w:r>
        <w:rPr/>
        <w:t>problème</w:t>
      </w:r>
      <w:r>
        <w:rPr>
          <w:spacing w:val="-8"/>
        </w:rPr>
        <w:t> </w:t>
      </w:r>
      <w:r>
        <w:rPr>
          <w:spacing w:val="-5"/>
        </w:rPr>
        <w:t>le</w:t>
      </w:r>
      <w:r>
        <w:rPr>
          <w:spacing w:val="-13"/>
        </w:rPr>
        <w:t> </w:t>
      </w:r>
      <w:r>
        <w:rPr/>
        <w:t>plus fréquent</w:t>
      </w:r>
      <w:r>
        <w:rPr>
          <w:spacing w:val="-12"/>
        </w:rPr>
        <w:t> </w:t>
      </w:r>
      <w:r>
        <w:rPr/>
        <w:t>est</w:t>
      </w:r>
      <w:r>
        <w:rPr>
          <w:spacing w:val="-11"/>
        </w:rPr>
        <w:t> </w:t>
      </w:r>
      <w:r>
        <w:rPr/>
        <w:t>celui</w:t>
      </w:r>
      <w:r>
        <w:rPr>
          <w:spacing w:val="-20"/>
        </w:rPr>
        <w:t> </w:t>
      </w:r>
      <w:r>
        <w:rPr/>
        <w:t>des</w:t>
      </w:r>
      <w:r>
        <w:rPr>
          <w:spacing w:val="-18"/>
        </w:rPr>
        <w:t> </w:t>
      </w:r>
      <w:r>
        <w:rPr/>
        <w:t>transactions</w:t>
      </w:r>
      <w:r>
        <w:rPr>
          <w:spacing w:val="-19"/>
        </w:rPr>
        <w:t> </w:t>
      </w:r>
      <w:r>
        <w:rPr/>
        <w:t>échouées,</w:t>
      </w:r>
      <w:r>
        <w:rPr>
          <w:spacing w:val="-4"/>
        </w:rPr>
        <w:t> </w:t>
      </w:r>
      <w:r>
        <w:rPr/>
        <w:t>mentionné</w:t>
      </w:r>
      <w:r>
        <w:rPr>
          <w:spacing w:val="-17"/>
        </w:rPr>
        <w:t> </w:t>
      </w:r>
      <w:r>
        <w:rPr/>
        <w:t>par</w:t>
      </w:r>
      <w:r>
        <w:rPr>
          <w:spacing w:val="-15"/>
        </w:rPr>
        <w:t> </w:t>
      </w:r>
      <w:r>
        <w:rPr/>
        <w:t>219</w:t>
      </w:r>
      <w:r>
        <w:rPr>
          <w:spacing w:val="-15"/>
        </w:rPr>
        <w:t> </w:t>
      </w:r>
      <w:r>
        <w:rPr/>
        <w:t>personnes.</w:t>
      </w:r>
      <w:r>
        <w:rPr>
          <w:spacing w:val="-14"/>
        </w:rPr>
        <w:t> </w:t>
      </w:r>
      <w:r>
        <w:rPr/>
        <w:t>Ensuite,</w:t>
      </w:r>
      <w:r>
        <w:rPr>
          <w:spacing w:val="-14"/>
        </w:rPr>
        <w:t> </w:t>
      </w:r>
      <w:r>
        <w:rPr/>
        <w:t>201</w:t>
      </w:r>
      <w:r>
        <w:rPr>
          <w:spacing w:val="-15"/>
        </w:rPr>
        <w:t> </w:t>
      </w:r>
      <w:r>
        <w:rPr/>
        <w:t>utilisateurs ont remarqué des erreurs d'affichage du solde, ce qui peut être inquiétant. 161 personnes trouvent que l’application est trop lente, </w:t>
      </w:r>
      <w:r>
        <w:rPr>
          <w:spacing w:val="-3"/>
        </w:rPr>
        <w:t>et </w:t>
      </w:r>
      <w:r>
        <w:rPr/>
        <w:t>115 ont </w:t>
      </w:r>
      <w:r>
        <w:rPr>
          <w:spacing w:val="-3"/>
        </w:rPr>
        <w:t>déjà </w:t>
      </w:r>
      <w:r>
        <w:rPr/>
        <w:t>eu une fermeture soudaine de l’application. Quelques autres ont aussi cité des soucis comme </w:t>
      </w:r>
      <w:r>
        <w:rPr>
          <w:spacing w:val="-3"/>
        </w:rPr>
        <w:t>la </w:t>
      </w:r>
      <w:r>
        <w:rPr>
          <w:spacing w:val="-4"/>
        </w:rPr>
        <w:t>mise </w:t>
      </w:r>
      <w:r>
        <w:rPr/>
        <w:t>à jour sans avertissement 32 réponses ou des problèmes avec </w:t>
      </w:r>
      <w:r>
        <w:rPr>
          <w:spacing w:val="-5"/>
        </w:rPr>
        <w:t>la </w:t>
      </w:r>
      <w:r>
        <w:rPr/>
        <w:t>sélection de </w:t>
      </w:r>
      <w:r>
        <w:rPr>
          <w:spacing w:val="-5"/>
        </w:rPr>
        <w:t>la </w:t>
      </w:r>
      <w:r>
        <w:rPr/>
        <w:t>source du virement ou paiement 15 réponses. Cela montre que beaucoup d’utilisateurs rencontrent des difficultés techniques variées, parfois</w:t>
      </w:r>
      <w:r>
        <w:rPr>
          <w:spacing w:val="-10"/>
        </w:rPr>
        <w:t> </w:t>
      </w:r>
      <w:r>
        <w:rPr/>
        <w:t>gênantes.</w:t>
      </w:r>
    </w:p>
    <w:p>
      <w:pPr>
        <w:pStyle w:val="Heading5"/>
        <w:spacing w:before="170"/>
        <w:ind w:left="699" w:firstLine="0"/>
      </w:pPr>
      <w:r>
        <w:rPr/>
        <w:t>Q17_Lorsque vous rencontrez un problème technique, comment réagissez-vous ?</w:t>
      </w:r>
    </w:p>
    <w:p>
      <w:pPr>
        <w:pStyle w:val="BodyText"/>
        <w:spacing w:before="3"/>
        <w:rPr>
          <w:b/>
          <w:sz w:val="25"/>
        </w:rPr>
      </w:pPr>
    </w:p>
    <w:p>
      <w:pPr>
        <w:pStyle w:val="BodyText"/>
        <w:ind w:left="825" w:right="445"/>
        <w:jc w:val="center"/>
      </w:pPr>
      <w:bookmarkStart w:name="_bookmark47" w:id="241"/>
      <w:bookmarkEnd w:id="241"/>
      <w:r>
        <w:rPr/>
      </w:r>
      <w:r>
        <w:rPr>
          <w:b/>
          <w:color w:val="44536A"/>
        </w:rPr>
        <w:t>Tableau 18 </w:t>
      </w:r>
      <w:r>
        <w:rPr>
          <w:color w:val="44536A"/>
        </w:rPr>
        <w:t>: Réponse des usagers face aux erreurs sur BaridiMob</w:t>
      </w:r>
    </w:p>
    <w:p>
      <w:pPr>
        <w:pStyle w:val="BodyText"/>
        <w:rPr>
          <w:sz w:val="20"/>
        </w:rPr>
      </w:pPr>
    </w:p>
    <w:p>
      <w:pPr>
        <w:pStyle w:val="BodyText"/>
        <w:spacing w:before="4"/>
        <w:rPr>
          <w:sz w:val="11"/>
        </w:rPr>
      </w:pPr>
    </w:p>
    <w:tbl>
      <w:tblPr>
        <w:tblW w:w="0" w:type="auto"/>
        <w:jc w:val="left"/>
        <w:tblInd w:w="74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753"/>
        <w:gridCol w:w="2830"/>
        <w:gridCol w:w="1191"/>
        <w:gridCol w:w="1047"/>
        <w:gridCol w:w="1422"/>
        <w:gridCol w:w="2219"/>
      </w:tblGrid>
      <w:tr>
        <w:trPr>
          <w:trHeight w:val="430" w:hRule="atLeast"/>
        </w:trPr>
        <w:tc>
          <w:tcPr>
            <w:tcW w:w="3583" w:type="dxa"/>
            <w:gridSpan w:val="2"/>
          </w:tcPr>
          <w:p>
            <w:pPr>
              <w:pStyle w:val="TableParagraph"/>
              <w:jc w:val="left"/>
              <w:rPr>
                <w:sz w:val="22"/>
              </w:rPr>
            </w:pPr>
          </w:p>
        </w:tc>
        <w:tc>
          <w:tcPr>
            <w:tcW w:w="1191" w:type="dxa"/>
            <w:tcBorders>
              <w:right w:val="single" w:sz="8" w:space="0" w:color="000000"/>
            </w:tcBorders>
          </w:tcPr>
          <w:p>
            <w:pPr>
              <w:pStyle w:val="TableParagraph"/>
              <w:spacing w:before="3"/>
              <w:ind w:left="74" w:right="42"/>
              <w:rPr>
                <w:b/>
                <w:sz w:val="22"/>
              </w:rPr>
            </w:pPr>
            <w:r>
              <w:rPr>
                <w:b/>
                <w:sz w:val="22"/>
              </w:rPr>
              <w:t>Frequency</w:t>
            </w:r>
          </w:p>
        </w:tc>
        <w:tc>
          <w:tcPr>
            <w:tcW w:w="1047" w:type="dxa"/>
            <w:tcBorders>
              <w:left w:val="single" w:sz="8" w:space="0" w:color="000000"/>
              <w:right w:val="single" w:sz="8" w:space="0" w:color="000000"/>
            </w:tcBorders>
          </w:tcPr>
          <w:p>
            <w:pPr>
              <w:pStyle w:val="TableParagraph"/>
              <w:spacing w:before="3"/>
              <w:ind w:left="149" w:right="117"/>
              <w:rPr>
                <w:b/>
                <w:sz w:val="22"/>
              </w:rPr>
            </w:pPr>
            <w:r>
              <w:rPr>
                <w:b/>
                <w:sz w:val="22"/>
              </w:rPr>
              <w:t>Percent</w:t>
            </w:r>
          </w:p>
        </w:tc>
        <w:tc>
          <w:tcPr>
            <w:tcW w:w="1422" w:type="dxa"/>
            <w:tcBorders>
              <w:left w:val="single" w:sz="8" w:space="0" w:color="000000"/>
              <w:right w:val="single" w:sz="8" w:space="0" w:color="000000"/>
            </w:tcBorders>
          </w:tcPr>
          <w:p>
            <w:pPr>
              <w:pStyle w:val="TableParagraph"/>
              <w:spacing w:before="3"/>
              <w:ind w:left="48" w:right="23"/>
              <w:rPr>
                <w:b/>
                <w:sz w:val="22"/>
              </w:rPr>
            </w:pPr>
            <w:r>
              <w:rPr>
                <w:b/>
                <w:sz w:val="22"/>
              </w:rPr>
              <w:t>Valid Percent</w:t>
            </w:r>
          </w:p>
        </w:tc>
        <w:tc>
          <w:tcPr>
            <w:tcW w:w="2219" w:type="dxa"/>
            <w:tcBorders>
              <w:left w:val="single" w:sz="8" w:space="0" w:color="000000"/>
            </w:tcBorders>
          </w:tcPr>
          <w:p>
            <w:pPr>
              <w:pStyle w:val="TableParagraph"/>
              <w:spacing w:before="3"/>
              <w:ind w:left="148" w:right="121"/>
              <w:rPr>
                <w:b/>
                <w:sz w:val="22"/>
              </w:rPr>
            </w:pPr>
            <w:r>
              <w:rPr>
                <w:b/>
                <w:sz w:val="22"/>
              </w:rPr>
              <w:t>Cumulative Percent</w:t>
            </w:r>
          </w:p>
        </w:tc>
      </w:tr>
      <w:tr>
        <w:trPr>
          <w:trHeight w:val="920" w:hRule="atLeast"/>
        </w:trPr>
        <w:tc>
          <w:tcPr>
            <w:tcW w:w="753" w:type="dxa"/>
            <w:tcBorders>
              <w:bottom w:val="nil"/>
              <w:right w:val="nil"/>
            </w:tcBorders>
          </w:tcPr>
          <w:p>
            <w:pPr>
              <w:pStyle w:val="TableParagraph"/>
              <w:spacing w:line="251" w:lineRule="exact"/>
              <w:ind w:left="20"/>
              <w:jc w:val="left"/>
              <w:rPr>
                <w:b/>
                <w:sz w:val="22"/>
              </w:rPr>
            </w:pPr>
            <w:r>
              <w:rPr>
                <w:b/>
                <w:sz w:val="22"/>
              </w:rPr>
              <w:t>Valid</w:t>
            </w:r>
          </w:p>
        </w:tc>
        <w:tc>
          <w:tcPr>
            <w:tcW w:w="2830" w:type="dxa"/>
            <w:tcBorders>
              <w:left w:val="nil"/>
              <w:bottom w:val="nil"/>
            </w:tcBorders>
          </w:tcPr>
          <w:p>
            <w:pPr>
              <w:pStyle w:val="TableParagraph"/>
              <w:spacing w:line="259" w:lineRule="auto"/>
              <w:ind w:left="236" w:right="43"/>
              <w:jc w:val="left"/>
              <w:rPr>
                <w:b/>
                <w:sz w:val="22"/>
              </w:rPr>
            </w:pPr>
            <w:r>
              <w:rPr>
                <w:b/>
                <w:sz w:val="22"/>
              </w:rPr>
              <w:t>J’essaie plusieurs fois jusqu’à ce que ça fonctionne</w:t>
            </w:r>
          </w:p>
        </w:tc>
        <w:tc>
          <w:tcPr>
            <w:tcW w:w="1191" w:type="dxa"/>
            <w:tcBorders>
              <w:bottom w:val="nil"/>
              <w:right w:val="single" w:sz="8" w:space="0" w:color="000000"/>
            </w:tcBorders>
          </w:tcPr>
          <w:p>
            <w:pPr>
              <w:pStyle w:val="TableParagraph"/>
              <w:spacing w:before="4"/>
              <w:jc w:val="left"/>
              <w:rPr>
                <w:sz w:val="24"/>
              </w:rPr>
            </w:pPr>
          </w:p>
          <w:p>
            <w:pPr>
              <w:pStyle w:val="TableParagraph"/>
              <w:spacing w:before="1"/>
              <w:ind w:left="74" w:right="36"/>
              <w:rPr>
                <w:b/>
                <w:sz w:val="22"/>
              </w:rPr>
            </w:pPr>
            <w:r>
              <w:rPr>
                <w:b/>
                <w:sz w:val="22"/>
              </w:rPr>
              <w:t>142</w:t>
            </w:r>
          </w:p>
        </w:tc>
        <w:tc>
          <w:tcPr>
            <w:tcW w:w="1047" w:type="dxa"/>
            <w:tcBorders>
              <w:left w:val="single" w:sz="8" w:space="0" w:color="000000"/>
              <w:bottom w:val="nil"/>
              <w:right w:val="single" w:sz="8" w:space="0" w:color="000000"/>
            </w:tcBorders>
          </w:tcPr>
          <w:p>
            <w:pPr>
              <w:pStyle w:val="TableParagraph"/>
              <w:spacing w:before="4"/>
              <w:jc w:val="left"/>
              <w:rPr>
                <w:sz w:val="24"/>
              </w:rPr>
            </w:pPr>
          </w:p>
          <w:p>
            <w:pPr>
              <w:pStyle w:val="TableParagraph"/>
              <w:spacing w:before="1"/>
              <w:ind w:left="149" w:right="109"/>
              <w:rPr>
                <w:b/>
                <w:sz w:val="22"/>
              </w:rPr>
            </w:pPr>
            <w:r>
              <w:rPr>
                <w:b/>
                <w:sz w:val="22"/>
              </w:rPr>
              <w:t>34,5</w:t>
            </w:r>
          </w:p>
        </w:tc>
        <w:tc>
          <w:tcPr>
            <w:tcW w:w="1422" w:type="dxa"/>
            <w:tcBorders>
              <w:left w:val="single" w:sz="8" w:space="0" w:color="000000"/>
              <w:bottom w:val="nil"/>
              <w:right w:val="single" w:sz="8" w:space="0" w:color="000000"/>
            </w:tcBorders>
          </w:tcPr>
          <w:p>
            <w:pPr>
              <w:pStyle w:val="TableParagraph"/>
              <w:spacing w:before="4"/>
              <w:jc w:val="left"/>
              <w:rPr>
                <w:sz w:val="24"/>
              </w:rPr>
            </w:pPr>
          </w:p>
          <w:p>
            <w:pPr>
              <w:pStyle w:val="TableParagraph"/>
              <w:spacing w:before="1"/>
              <w:ind w:left="48" w:right="9"/>
              <w:rPr>
                <w:b/>
                <w:sz w:val="22"/>
              </w:rPr>
            </w:pPr>
            <w:r>
              <w:rPr>
                <w:b/>
                <w:sz w:val="22"/>
              </w:rPr>
              <w:t>37,8</w:t>
            </w:r>
          </w:p>
        </w:tc>
        <w:tc>
          <w:tcPr>
            <w:tcW w:w="2219" w:type="dxa"/>
            <w:tcBorders>
              <w:left w:val="single" w:sz="8" w:space="0" w:color="000000"/>
              <w:bottom w:val="nil"/>
            </w:tcBorders>
          </w:tcPr>
          <w:p>
            <w:pPr>
              <w:pStyle w:val="TableParagraph"/>
              <w:spacing w:before="4"/>
              <w:jc w:val="left"/>
              <w:rPr>
                <w:sz w:val="24"/>
              </w:rPr>
            </w:pPr>
          </w:p>
          <w:p>
            <w:pPr>
              <w:pStyle w:val="TableParagraph"/>
              <w:spacing w:before="1"/>
              <w:ind w:left="148" w:right="107"/>
              <w:rPr>
                <w:b/>
                <w:sz w:val="22"/>
              </w:rPr>
            </w:pPr>
            <w:r>
              <w:rPr>
                <w:b/>
                <w:sz w:val="22"/>
              </w:rPr>
              <w:t>37,8</w:t>
            </w:r>
          </w:p>
        </w:tc>
      </w:tr>
      <w:tr>
        <w:trPr>
          <w:trHeight w:val="1025" w:hRule="atLeast"/>
        </w:trPr>
        <w:tc>
          <w:tcPr>
            <w:tcW w:w="753" w:type="dxa"/>
            <w:tcBorders>
              <w:top w:val="nil"/>
              <w:bottom w:val="nil"/>
              <w:right w:val="nil"/>
            </w:tcBorders>
          </w:tcPr>
          <w:p>
            <w:pPr>
              <w:pStyle w:val="TableParagraph"/>
              <w:jc w:val="left"/>
              <w:rPr>
                <w:sz w:val="22"/>
              </w:rPr>
            </w:pPr>
          </w:p>
        </w:tc>
        <w:tc>
          <w:tcPr>
            <w:tcW w:w="2830" w:type="dxa"/>
            <w:tcBorders>
              <w:top w:val="nil"/>
              <w:left w:val="nil"/>
              <w:bottom w:val="nil"/>
            </w:tcBorders>
          </w:tcPr>
          <w:p>
            <w:pPr>
              <w:pStyle w:val="TableParagraph"/>
              <w:spacing w:line="256" w:lineRule="auto" w:before="114"/>
              <w:ind w:left="236" w:right="43"/>
              <w:jc w:val="left"/>
              <w:rPr>
                <w:b/>
                <w:sz w:val="22"/>
              </w:rPr>
            </w:pPr>
            <w:r>
              <w:rPr>
                <w:b/>
                <w:sz w:val="22"/>
              </w:rPr>
              <w:t>J’attends quelques heures/jours avant de réessayer</w:t>
            </w:r>
          </w:p>
        </w:tc>
        <w:tc>
          <w:tcPr>
            <w:tcW w:w="1191" w:type="dxa"/>
            <w:tcBorders>
              <w:top w:val="nil"/>
              <w:bottom w:val="nil"/>
              <w:right w:val="single" w:sz="8" w:space="0" w:color="000000"/>
            </w:tcBorders>
          </w:tcPr>
          <w:p>
            <w:pPr>
              <w:pStyle w:val="TableParagraph"/>
              <w:spacing w:before="3"/>
              <w:jc w:val="left"/>
              <w:rPr>
                <w:sz w:val="33"/>
              </w:rPr>
            </w:pPr>
          </w:p>
          <w:p>
            <w:pPr>
              <w:pStyle w:val="TableParagraph"/>
              <w:ind w:left="74" w:right="36"/>
              <w:rPr>
                <w:b/>
                <w:sz w:val="22"/>
              </w:rPr>
            </w:pPr>
            <w:r>
              <w:rPr>
                <w:b/>
                <w:sz w:val="22"/>
              </w:rPr>
              <w:t>190</w:t>
            </w:r>
          </w:p>
        </w:tc>
        <w:tc>
          <w:tcPr>
            <w:tcW w:w="1047" w:type="dxa"/>
            <w:tcBorders>
              <w:top w:val="nil"/>
              <w:left w:val="single" w:sz="8" w:space="0" w:color="000000"/>
              <w:bottom w:val="nil"/>
              <w:right w:val="single" w:sz="8" w:space="0" w:color="000000"/>
            </w:tcBorders>
          </w:tcPr>
          <w:p>
            <w:pPr>
              <w:pStyle w:val="TableParagraph"/>
              <w:spacing w:before="3"/>
              <w:jc w:val="left"/>
              <w:rPr>
                <w:sz w:val="33"/>
              </w:rPr>
            </w:pPr>
          </w:p>
          <w:p>
            <w:pPr>
              <w:pStyle w:val="TableParagraph"/>
              <w:ind w:left="149" w:right="109"/>
              <w:rPr>
                <w:b/>
                <w:sz w:val="22"/>
              </w:rPr>
            </w:pPr>
            <w:r>
              <w:rPr>
                <w:b/>
                <w:sz w:val="22"/>
              </w:rPr>
              <w:t>46,1</w:t>
            </w:r>
          </w:p>
        </w:tc>
        <w:tc>
          <w:tcPr>
            <w:tcW w:w="1422" w:type="dxa"/>
            <w:tcBorders>
              <w:top w:val="nil"/>
              <w:left w:val="single" w:sz="8" w:space="0" w:color="000000"/>
              <w:bottom w:val="nil"/>
              <w:right w:val="single" w:sz="8" w:space="0" w:color="000000"/>
            </w:tcBorders>
          </w:tcPr>
          <w:p>
            <w:pPr>
              <w:pStyle w:val="TableParagraph"/>
              <w:spacing w:before="3"/>
              <w:jc w:val="left"/>
              <w:rPr>
                <w:sz w:val="33"/>
              </w:rPr>
            </w:pPr>
          </w:p>
          <w:p>
            <w:pPr>
              <w:pStyle w:val="TableParagraph"/>
              <w:ind w:left="48" w:right="9"/>
              <w:rPr>
                <w:b/>
                <w:sz w:val="22"/>
              </w:rPr>
            </w:pPr>
            <w:r>
              <w:rPr>
                <w:b/>
                <w:sz w:val="22"/>
              </w:rPr>
              <w:t>50,5</w:t>
            </w:r>
          </w:p>
        </w:tc>
        <w:tc>
          <w:tcPr>
            <w:tcW w:w="2219" w:type="dxa"/>
            <w:tcBorders>
              <w:top w:val="nil"/>
              <w:left w:val="single" w:sz="8" w:space="0" w:color="000000"/>
              <w:bottom w:val="nil"/>
            </w:tcBorders>
          </w:tcPr>
          <w:p>
            <w:pPr>
              <w:pStyle w:val="TableParagraph"/>
              <w:spacing w:before="3"/>
              <w:jc w:val="left"/>
              <w:rPr>
                <w:sz w:val="33"/>
              </w:rPr>
            </w:pPr>
          </w:p>
          <w:p>
            <w:pPr>
              <w:pStyle w:val="TableParagraph"/>
              <w:ind w:left="148" w:right="107"/>
              <w:rPr>
                <w:b/>
                <w:sz w:val="22"/>
              </w:rPr>
            </w:pPr>
            <w:r>
              <w:rPr>
                <w:b/>
                <w:sz w:val="22"/>
              </w:rPr>
              <w:t>88,3</w:t>
            </w:r>
          </w:p>
        </w:tc>
      </w:tr>
      <w:tr>
        <w:trPr>
          <w:trHeight w:val="1291" w:hRule="atLeast"/>
        </w:trPr>
        <w:tc>
          <w:tcPr>
            <w:tcW w:w="753" w:type="dxa"/>
            <w:tcBorders>
              <w:top w:val="nil"/>
              <w:bottom w:val="nil"/>
              <w:right w:val="nil"/>
            </w:tcBorders>
          </w:tcPr>
          <w:p>
            <w:pPr>
              <w:pStyle w:val="TableParagraph"/>
              <w:jc w:val="left"/>
              <w:rPr>
                <w:sz w:val="22"/>
              </w:rPr>
            </w:pPr>
          </w:p>
        </w:tc>
        <w:tc>
          <w:tcPr>
            <w:tcW w:w="2830" w:type="dxa"/>
            <w:tcBorders>
              <w:top w:val="nil"/>
              <w:left w:val="nil"/>
              <w:bottom w:val="nil"/>
            </w:tcBorders>
          </w:tcPr>
          <w:p>
            <w:pPr>
              <w:pStyle w:val="TableParagraph"/>
              <w:spacing w:line="259" w:lineRule="auto" w:before="106"/>
              <w:ind w:left="236" w:right="43"/>
              <w:jc w:val="left"/>
              <w:rPr>
                <w:b/>
                <w:sz w:val="22"/>
              </w:rPr>
            </w:pPr>
            <w:r>
              <w:rPr>
                <w:b/>
                <w:sz w:val="22"/>
              </w:rPr>
              <w:t>J’abandonne et j'utilise un moyen de paiement en ligne (BaridiNet, Web- Merchand)</w:t>
            </w:r>
          </w:p>
        </w:tc>
        <w:tc>
          <w:tcPr>
            <w:tcW w:w="1191" w:type="dxa"/>
            <w:tcBorders>
              <w:top w:val="nil"/>
              <w:bottom w:val="nil"/>
              <w:right w:val="single" w:sz="8" w:space="0" w:color="000000"/>
            </w:tcBorders>
          </w:tcPr>
          <w:p>
            <w:pPr>
              <w:pStyle w:val="TableParagraph"/>
              <w:jc w:val="left"/>
              <w:rPr>
                <w:sz w:val="24"/>
              </w:rPr>
            </w:pPr>
          </w:p>
          <w:p>
            <w:pPr>
              <w:pStyle w:val="TableParagraph"/>
              <w:spacing w:before="8"/>
              <w:jc w:val="left"/>
              <w:rPr>
                <w:sz w:val="20"/>
              </w:rPr>
            </w:pPr>
          </w:p>
          <w:p>
            <w:pPr>
              <w:pStyle w:val="TableParagraph"/>
              <w:ind w:left="74" w:right="40"/>
              <w:rPr>
                <w:b/>
                <w:sz w:val="22"/>
              </w:rPr>
            </w:pPr>
            <w:r>
              <w:rPr>
                <w:b/>
                <w:sz w:val="22"/>
              </w:rPr>
              <w:t>27</w:t>
            </w:r>
          </w:p>
        </w:tc>
        <w:tc>
          <w:tcPr>
            <w:tcW w:w="1047" w:type="dxa"/>
            <w:tcBorders>
              <w:top w:val="nil"/>
              <w:left w:val="single" w:sz="8" w:space="0" w:color="000000"/>
              <w:bottom w:val="nil"/>
              <w:right w:val="single" w:sz="8" w:space="0" w:color="000000"/>
            </w:tcBorders>
          </w:tcPr>
          <w:p>
            <w:pPr>
              <w:pStyle w:val="TableParagraph"/>
              <w:jc w:val="left"/>
              <w:rPr>
                <w:sz w:val="24"/>
              </w:rPr>
            </w:pPr>
          </w:p>
          <w:p>
            <w:pPr>
              <w:pStyle w:val="TableParagraph"/>
              <w:spacing w:before="8"/>
              <w:jc w:val="left"/>
              <w:rPr>
                <w:sz w:val="20"/>
              </w:rPr>
            </w:pPr>
          </w:p>
          <w:p>
            <w:pPr>
              <w:pStyle w:val="TableParagraph"/>
              <w:ind w:left="149" w:right="114"/>
              <w:rPr>
                <w:b/>
                <w:sz w:val="22"/>
              </w:rPr>
            </w:pPr>
            <w:r>
              <w:rPr>
                <w:b/>
                <w:sz w:val="22"/>
              </w:rPr>
              <w:t>6,6</w:t>
            </w:r>
          </w:p>
        </w:tc>
        <w:tc>
          <w:tcPr>
            <w:tcW w:w="1422" w:type="dxa"/>
            <w:tcBorders>
              <w:top w:val="nil"/>
              <w:left w:val="single" w:sz="8" w:space="0" w:color="000000"/>
              <w:bottom w:val="nil"/>
              <w:right w:val="single" w:sz="8" w:space="0" w:color="000000"/>
            </w:tcBorders>
          </w:tcPr>
          <w:p>
            <w:pPr>
              <w:pStyle w:val="TableParagraph"/>
              <w:jc w:val="left"/>
              <w:rPr>
                <w:sz w:val="24"/>
              </w:rPr>
            </w:pPr>
          </w:p>
          <w:p>
            <w:pPr>
              <w:pStyle w:val="TableParagraph"/>
              <w:spacing w:before="8"/>
              <w:jc w:val="left"/>
              <w:rPr>
                <w:sz w:val="20"/>
              </w:rPr>
            </w:pPr>
          </w:p>
          <w:p>
            <w:pPr>
              <w:pStyle w:val="TableParagraph"/>
              <w:ind w:left="48" w:right="14"/>
              <w:rPr>
                <w:b/>
                <w:sz w:val="22"/>
              </w:rPr>
            </w:pPr>
            <w:r>
              <w:rPr>
                <w:b/>
                <w:sz w:val="22"/>
              </w:rPr>
              <w:t>7,2</w:t>
            </w:r>
          </w:p>
        </w:tc>
        <w:tc>
          <w:tcPr>
            <w:tcW w:w="2219" w:type="dxa"/>
            <w:tcBorders>
              <w:top w:val="nil"/>
              <w:left w:val="single" w:sz="8" w:space="0" w:color="000000"/>
              <w:bottom w:val="nil"/>
            </w:tcBorders>
          </w:tcPr>
          <w:p>
            <w:pPr>
              <w:pStyle w:val="TableParagraph"/>
              <w:jc w:val="left"/>
              <w:rPr>
                <w:sz w:val="24"/>
              </w:rPr>
            </w:pPr>
          </w:p>
          <w:p>
            <w:pPr>
              <w:pStyle w:val="TableParagraph"/>
              <w:spacing w:before="8"/>
              <w:jc w:val="left"/>
              <w:rPr>
                <w:sz w:val="20"/>
              </w:rPr>
            </w:pPr>
          </w:p>
          <w:p>
            <w:pPr>
              <w:pStyle w:val="TableParagraph"/>
              <w:ind w:left="148" w:right="107"/>
              <w:rPr>
                <w:b/>
                <w:sz w:val="22"/>
              </w:rPr>
            </w:pPr>
            <w:r>
              <w:rPr>
                <w:b/>
                <w:sz w:val="22"/>
              </w:rPr>
              <w:t>95,5</w:t>
            </w:r>
          </w:p>
        </w:tc>
      </w:tr>
      <w:tr>
        <w:trPr>
          <w:trHeight w:val="746" w:hRule="atLeast"/>
        </w:trPr>
        <w:tc>
          <w:tcPr>
            <w:tcW w:w="753" w:type="dxa"/>
            <w:tcBorders>
              <w:top w:val="nil"/>
              <w:bottom w:val="nil"/>
              <w:right w:val="nil"/>
            </w:tcBorders>
          </w:tcPr>
          <w:p>
            <w:pPr>
              <w:pStyle w:val="TableParagraph"/>
              <w:jc w:val="left"/>
              <w:rPr>
                <w:sz w:val="22"/>
              </w:rPr>
            </w:pPr>
          </w:p>
        </w:tc>
        <w:tc>
          <w:tcPr>
            <w:tcW w:w="2830" w:type="dxa"/>
            <w:tcBorders>
              <w:top w:val="nil"/>
              <w:left w:val="nil"/>
              <w:bottom w:val="nil"/>
            </w:tcBorders>
          </w:tcPr>
          <w:p>
            <w:pPr>
              <w:pStyle w:val="TableParagraph"/>
              <w:spacing w:line="259" w:lineRule="auto" w:before="106"/>
              <w:ind w:left="236"/>
              <w:jc w:val="left"/>
              <w:rPr>
                <w:b/>
                <w:sz w:val="22"/>
              </w:rPr>
            </w:pPr>
            <w:r>
              <w:rPr>
                <w:b/>
                <w:sz w:val="22"/>
              </w:rPr>
              <w:t>J’appelle l'assistance client (1530)</w:t>
            </w:r>
          </w:p>
        </w:tc>
        <w:tc>
          <w:tcPr>
            <w:tcW w:w="1191" w:type="dxa"/>
            <w:tcBorders>
              <w:top w:val="nil"/>
              <w:bottom w:val="nil"/>
              <w:right w:val="single" w:sz="8" w:space="0" w:color="000000"/>
            </w:tcBorders>
          </w:tcPr>
          <w:p>
            <w:pPr>
              <w:pStyle w:val="TableParagraph"/>
              <w:spacing w:before="11"/>
              <w:jc w:val="left"/>
              <w:rPr>
                <w:sz w:val="20"/>
              </w:rPr>
            </w:pPr>
          </w:p>
          <w:p>
            <w:pPr>
              <w:pStyle w:val="TableParagraph"/>
              <w:ind w:left="74" w:right="40"/>
              <w:rPr>
                <w:b/>
                <w:sz w:val="22"/>
              </w:rPr>
            </w:pPr>
            <w:r>
              <w:rPr>
                <w:b/>
                <w:sz w:val="22"/>
              </w:rPr>
              <w:t>17</w:t>
            </w:r>
          </w:p>
        </w:tc>
        <w:tc>
          <w:tcPr>
            <w:tcW w:w="1047" w:type="dxa"/>
            <w:tcBorders>
              <w:top w:val="nil"/>
              <w:left w:val="single" w:sz="8" w:space="0" w:color="000000"/>
              <w:bottom w:val="nil"/>
              <w:right w:val="single" w:sz="8" w:space="0" w:color="000000"/>
            </w:tcBorders>
          </w:tcPr>
          <w:p>
            <w:pPr>
              <w:pStyle w:val="TableParagraph"/>
              <w:spacing w:before="11"/>
              <w:jc w:val="left"/>
              <w:rPr>
                <w:sz w:val="20"/>
              </w:rPr>
            </w:pPr>
          </w:p>
          <w:p>
            <w:pPr>
              <w:pStyle w:val="TableParagraph"/>
              <w:ind w:left="149" w:right="114"/>
              <w:rPr>
                <w:b/>
                <w:sz w:val="22"/>
              </w:rPr>
            </w:pPr>
            <w:r>
              <w:rPr>
                <w:b/>
                <w:sz w:val="22"/>
              </w:rPr>
              <w:t>4,1</w:t>
            </w:r>
          </w:p>
        </w:tc>
        <w:tc>
          <w:tcPr>
            <w:tcW w:w="1422" w:type="dxa"/>
            <w:tcBorders>
              <w:top w:val="nil"/>
              <w:left w:val="single" w:sz="8" w:space="0" w:color="000000"/>
              <w:bottom w:val="nil"/>
              <w:right w:val="single" w:sz="8" w:space="0" w:color="000000"/>
            </w:tcBorders>
          </w:tcPr>
          <w:p>
            <w:pPr>
              <w:pStyle w:val="TableParagraph"/>
              <w:spacing w:before="11"/>
              <w:jc w:val="left"/>
              <w:rPr>
                <w:sz w:val="20"/>
              </w:rPr>
            </w:pPr>
          </w:p>
          <w:p>
            <w:pPr>
              <w:pStyle w:val="TableParagraph"/>
              <w:ind w:left="48" w:right="14"/>
              <w:rPr>
                <w:b/>
                <w:sz w:val="22"/>
              </w:rPr>
            </w:pPr>
            <w:r>
              <w:rPr>
                <w:b/>
                <w:sz w:val="22"/>
              </w:rPr>
              <w:t>4,5</w:t>
            </w:r>
          </w:p>
        </w:tc>
        <w:tc>
          <w:tcPr>
            <w:tcW w:w="2219" w:type="dxa"/>
            <w:tcBorders>
              <w:top w:val="nil"/>
              <w:left w:val="single" w:sz="8" w:space="0" w:color="000000"/>
              <w:bottom w:val="nil"/>
            </w:tcBorders>
          </w:tcPr>
          <w:p>
            <w:pPr>
              <w:pStyle w:val="TableParagraph"/>
              <w:spacing w:before="11"/>
              <w:jc w:val="left"/>
              <w:rPr>
                <w:sz w:val="20"/>
              </w:rPr>
            </w:pPr>
          </w:p>
          <w:p>
            <w:pPr>
              <w:pStyle w:val="TableParagraph"/>
              <w:ind w:left="148" w:right="111"/>
              <w:rPr>
                <w:b/>
                <w:sz w:val="22"/>
              </w:rPr>
            </w:pPr>
            <w:r>
              <w:rPr>
                <w:b/>
                <w:sz w:val="22"/>
              </w:rPr>
              <w:t>100,0</w:t>
            </w:r>
          </w:p>
        </w:tc>
      </w:tr>
      <w:tr>
        <w:trPr>
          <w:trHeight w:val="453" w:hRule="atLeast"/>
        </w:trPr>
        <w:tc>
          <w:tcPr>
            <w:tcW w:w="753" w:type="dxa"/>
            <w:tcBorders>
              <w:top w:val="nil"/>
              <w:bottom w:val="nil"/>
              <w:right w:val="nil"/>
            </w:tcBorders>
          </w:tcPr>
          <w:p>
            <w:pPr>
              <w:pStyle w:val="TableParagraph"/>
              <w:jc w:val="left"/>
              <w:rPr>
                <w:sz w:val="22"/>
              </w:rPr>
            </w:pPr>
          </w:p>
        </w:tc>
        <w:tc>
          <w:tcPr>
            <w:tcW w:w="2830" w:type="dxa"/>
            <w:tcBorders>
              <w:top w:val="nil"/>
              <w:left w:val="nil"/>
              <w:bottom w:val="nil"/>
            </w:tcBorders>
          </w:tcPr>
          <w:p>
            <w:pPr>
              <w:pStyle w:val="TableParagraph"/>
              <w:spacing w:before="104"/>
              <w:ind w:left="236"/>
              <w:jc w:val="left"/>
              <w:rPr>
                <w:b/>
                <w:sz w:val="22"/>
              </w:rPr>
            </w:pPr>
            <w:r>
              <w:rPr>
                <w:b/>
                <w:sz w:val="22"/>
              </w:rPr>
              <w:t>Total</w:t>
            </w:r>
          </w:p>
        </w:tc>
        <w:tc>
          <w:tcPr>
            <w:tcW w:w="1191" w:type="dxa"/>
            <w:tcBorders>
              <w:top w:val="nil"/>
              <w:bottom w:val="nil"/>
              <w:right w:val="single" w:sz="8" w:space="0" w:color="000000"/>
            </w:tcBorders>
          </w:tcPr>
          <w:p>
            <w:pPr>
              <w:pStyle w:val="TableParagraph"/>
              <w:spacing w:before="104"/>
              <w:ind w:left="74" w:right="36"/>
              <w:rPr>
                <w:b/>
                <w:sz w:val="22"/>
              </w:rPr>
            </w:pPr>
            <w:r>
              <w:rPr>
                <w:b/>
                <w:sz w:val="22"/>
              </w:rPr>
              <w:t>376</w:t>
            </w:r>
          </w:p>
        </w:tc>
        <w:tc>
          <w:tcPr>
            <w:tcW w:w="1047" w:type="dxa"/>
            <w:tcBorders>
              <w:top w:val="nil"/>
              <w:left w:val="single" w:sz="8" w:space="0" w:color="000000"/>
              <w:bottom w:val="nil"/>
              <w:right w:val="single" w:sz="8" w:space="0" w:color="000000"/>
            </w:tcBorders>
          </w:tcPr>
          <w:p>
            <w:pPr>
              <w:pStyle w:val="TableParagraph"/>
              <w:spacing w:before="104"/>
              <w:ind w:left="149" w:right="109"/>
              <w:rPr>
                <w:b/>
                <w:sz w:val="22"/>
              </w:rPr>
            </w:pPr>
            <w:r>
              <w:rPr>
                <w:b/>
                <w:sz w:val="22"/>
              </w:rPr>
              <w:t>91,3</w:t>
            </w:r>
          </w:p>
        </w:tc>
        <w:tc>
          <w:tcPr>
            <w:tcW w:w="1422" w:type="dxa"/>
            <w:tcBorders>
              <w:top w:val="nil"/>
              <w:left w:val="single" w:sz="8" w:space="0" w:color="000000"/>
              <w:bottom w:val="nil"/>
              <w:right w:val="single" w:sz="8" w:space="0" w:color="000000"/>
            </w:tcBorders>
          </w:tcPr>
          <w:p>
            <w:pPr>
              <w:pStyle w:val="TableParagraph"/>
              <w:spacing w:before="104"/>
              <w:ind w:left="48" w:right="14"/>
              <w:rPr>
                <w:b/>
                <w:sz w:val="22"/>
              </w:rPr>
            </w:pPr>
            <w:r>
              <w:rPr>
                <w:b/>
                <w:sz w:val="22"/>
              </w:rPr>
              <w:t>100,0</w:t>
            </w:r>
          </w:p>
        </w:tc>
        <w:tc>
          <w:tcPr>
            <w:tcW w:w="2219" w:type="dxa"/>
            <w:tcBorders>
              <w:top w:val="nil"/>
              <w:left w:val="single" w:sz="8" w:space="0" w:color="000000"/>
              <w:bottom w:val="nil"/>
            </w:tcBorders>
          </w:tcPr>
          <w:p>
            <w:pPr>
              <w:pStyle w:val="TableParagraph"/>
              <w:jc w:val="left"/>
              <w:rPr>
                <w:sz w:val="22"/>
              </w:rPr>
            </w:pPr>
          </w:p>
        </w:tc>
      </w:tr>
      <w:tr>
        <w:trPr>
          <w:trHeight w:val="434" w:hRule="atLeast"/>
        </w:trPr>
        <w:tc>
          <w:tcPr>
            <w:tcW w:w="753" w:type="dxa"/>
            <w:tcBorders>
              <w:top w:val="nil"/>
              <w:bottom w:val="nil"/>
              <w:right w:val="nil"/>
            </w:tcBorders>
          </w:tcPr>
          <w:p>
            <w:pPr>
              <w:pStyle w:val="TableParagraph"/>
              <w:jc w:val="left"/>
              <w:rPr>
                <w:sz w:val="22"/>
              </w:rPr>
            </w:pPr>
          </w:p>
        </w:tc>
        <w:tc>
          <w:tcPr>
            <w:tcW w:w="2830" w:type="dxa"/>
            <w:tcBorders>
              <w:top w:val="nil"/>
              <w:left w:val="nil"/>
              <w:bottom w:val="nil"/>
            </w:tcBorders>
          </w:tcPr>
          <w:p>
            <w:pPr>
              <w:pStyle w:val="TableParagraph"/>
              <w:spacing w:before="88"/>
              <w:ind w:left="236"/>
              <w:jc w:val="left"/>
              <w:rPr>
                <w:b/>
                <w:sz w:val="22"/>
              </w:rPr>
            </w:pPr>
            <w:r>
              <w:rPr>
                <w:b/>
                <w:sz w:val="22"/>
              </w:rPr>
              <w:t>Missing</w:t>
            </w:r>
          </w:p>
        </w:tc>
        <w:tc>
          <w:tcPr>
            <w:tcW w:w="1191" w:type="dxa"/>
            <w:tcBorders>
              <w:top w:val="nil"/>
              <w:bottom w:val="nil"/>
              <w:right w:val="single" w:sz="8" w:space="0" w:color="000000"/>
            </w:tcBorders>
          </w:tcPr>
          <w:p>
            <w:pPr>
              <w:pStyle w:val="TableParagraph"/>
              <w:spacing w:before="88"/>
              <w:ind w:left="74" w:right="40"/>
              <w:rPr>
                <w:b/>
                <w:sz w:val="22"/>
              </w:rPr>
            </w:pPr>
            <w:r>
              <w:rPr>
                <w:b/>
                <w:sz w:val="22"/>
              </w:rPr>
              <w:t>36</w:t>
            </w:r>
          </w:p>
        </w:tc>
        <w:tc>
          <w:tcPr>
            <w:tcW w:w="1047" w:type="dxa"/>
            <w:tcBorders>
              <w:top w:val="nil"/>
              <w:left w:val="single" w:sz="8" w:space="0" w:color="000000"/>
              <w:bottom w:val="nil"/>
              <w:right w:val="single" w:sz="8" w:space="0" w:color="000000"/>
            </w:tcBorders>
          </w:tcPr>
          <w:p>
            <w:pPr>
              <w:pStyle w:val="TableParagraph"/>
              <w:spacing w:before="88"/>
              <w:ind w:left="149" w:right="114"/>
              <w:rPr>
                <w:b/>
                <w:sz w:val="22"/>
              </w:rPr>
            </w:pPr>
            <w:r>
              <w:rPr>
                <w:b/>
                <w:sz w:val="22"/>
              </w:rPr>
              <w:t>8,7</w:t>
            </w:r>
          </w:p>
        </w:tc>
        <w:tc>
          <w:tcPr>
            <w:tcW w:w="1422" w:type="dxa"/>
            <w:tcBorders>
              <w:top w:val="nil"/>
              <w:left w:val="single" w:sz="8" w:space="0" w:color="000000"/>
              <w:bottom w:val="nil"/>
              <w:right w:val="single" w:sz="8" w:space="0" w:color="000000"/>
            </w:tcBorders>
          </w:tcPr>
          <w:p>
            <w:pPr>
              <w:pStyle w:val="TableParagraph"/>
              <w:jc w:val="left"/>
              <w:rPr>
                <w:sz w:val="22"/>
              </w:rPr>
            </w:pPr>
          </w:p>
        </w:tc>
        <w:tc>
          <w:tcPr>
            <w:tcW w:w="2219" w:type="dxa"/>
            <w:tcBorders>
              <w:top w:val="nil"/>
              <w:left w:val="single" w:sz="8" w:space="0" w:color="000000"/>
              <w:bottom w:val="nil"/>
            </w:tcBorders>
          </w:tcPr>
          <w:p>
            <w:pPr>
              <w:pStyle w:val="TableParagraph"/>
              <w:jc w:val="left"/>
              <w:rPr>
                <w:sz w:val="22"/>
              </w:rPr>
            </w:pPr>
          </w:p>
        </w:tc>
      </w:tr>
      <w:tr>
        <w:trPr>
          <w:trHeight w:val="522" w:hRule="atLeast"/>
        </w:trPr>
        <w:tc>
          <w:tcPr>
            <w:tcW w:w="753" w:type="dxa"/>
            <w:tcBorders>
              <w:top w:val="nil"/>
              <w:right w:val="nil"/>
            </w:tcBorders>
          </w:tcPr>
          <w:p>
            <w:pPr>
              <w:pStyle w:val="TableParagraph"/>
              <w:spacing w:before="85"/>
              <w:ind w:left="20"/>
              <w:jc w:val="left"/>
              <w:rPr>
                <w:b/>
                <w:sz w:val="22"/>
              </w:rPr>
            </w:pPr>
            <w:r>
              <w:rPr>
                <w:b/>
                <w:sz w:val="22"/>
              </w:rPr>
              <w:t>Total</w:t>
            </w:r>
          </w:p>
        </w:tc>
        <w:tc>
          <w:tcPr>
            <w:tcW w:w="2830" w:type="dxa"/>
            <w:tcBorders>
              <w:top w:val="nil"/>
              <w:left w:val="nil"/>
            </w:tcBorders>
          </w:tcPr>
          <w:p>
            <w:pPr>
              <w:pStyle w:val="TableParagraph"/>
              <w:jc w:val="left"/>
              <w:rPr>
                <w:sz w:val="22"/>
              </w:rPr>
            </w:pPr>
          </w:p>
        </w:tc>
        <w:tc>
          <w:tcPr>
            <w:tcW w:w="1191" w:type="dxa"/>
            <w:tcBorders>
              <w:top w:val="nil"/>
              <w:right w:val="single" w:sz="8" w:space="0" w:color="000000"/>
            </w:tcBorders>
          </w:tcPr>
          <w:p>
            <w:pPr>
              <w:pStyle w:val="TableParagraph"/>
              <w:spacing w:before="90"/>
              <w:ind w:left="74" w:right="36"/>
              <w:rPr>
                <w:b/>
                <w:sz w:val="22"/>
              </w:rPr>
            </w:pPr>
            <w:r>
              <w:rPr>
                <w:b/>
                <w:sz w:val="22"/>
              </w:rPr>
              <w:t>412</w:t>
            </w:r>
          </w:p>
        </w:tc>
        <w:tc>
          <w:tcPr>
            <w:tcW w:w="1047" w:type="dxa"/>
            <w:tcBorders>
              <w:top w:val="nil"/>
              <w:left w:val="single" w:sz="8" w:space="0" w:color="000000"/>
              <w:right w:val="single" w:sz="8" w:space="0" w:color="000000"/>
            </w:tcBorders>
          </w:tcPr>
          <w:p>
            <w:pPr>
              <w:pStyle w:val="TableParagraph"/>
              <w:spacing w:before="90"/>
              <w:ind w:left="149" w:right="114"/>
              <w:rPr>
                <w:b/>
                <w:sz w:val="22"/>
              </w:rPr>
            </w:pPr>
            <w:r>
              <w:rPr>
                <w:b/>
                <w:sz w:val="22"/>
              </w:rPr>
              <w:t>100,0</w:t>
            </w:r>
          </w:p>
        </w:tc>
        <w:tc>
          <w:tcPr>
            <w:tcW w:w="1422" w:type="dxa"/>
            <w:tcBorders>
              <w:top w:val="nil"/>
              <w:left w:val="single" w:sz="8" w:space="0" w:color="000000"/>
              <w:right w:val="single" w:sz="8" w:space="0" w:color="000000"/>
            </w:tcBorders>
          </w:tcPr>
          <w:p>
            <w:pPr>
              <w:pStyle w:val="TableParagraph"/>
              <w:jc w:val="left"/>
              <w:rPr>
                <w:sz w:val="22"/>
              </w:rPr>
            </w:pPr>
          </w:p>
        </w:tc>
        <w:tc>
          <w:tcPr>
            <w:tcW w:w="2219" w:type="dxa"/>
            <w:tcBorders>
              <w:top w:val="nil"/>
              <w:left w:val="single" w:sz="8" w:space="0" w:color="000000"/>
            </w:tcBorders>
          </w:tcPr>
          <w:p>
            <w:pPr>
              <w:pStyle w:val="TableParagraph"/>
              <w:jc w:val="left"/>
              <w:rPr>
                <w:sz w:val="22"/>
              </w:rPr>
            </w:pPr>
          </w:p>
        </w:tc>
      </w:tr>
    </w:tbl>
    <w:p>
      <w:pPr>
        <w:pStyle w:val="BodyText"/>
        <w:spacing w:before="232"/>
        <w:ind w:left="2414"/>
        <w:jc w:val="both"/>
      </w:pPr>
      <w:r>
        <w:rPr>
          <w:b/>
        </w:rPr>
        <w:t>Source : </w:t>
      </w:r>
      <w:r>
        <w:rPr/>
        <w:t>élaboré par nous-même sur la base des outputs SPSS</w:t>
      </w:r>
    </w:p>
    <w:p>
      <w:pPr>
        <w:pStyle w:val="BodyText"/>
        <w:spacing w:line="360" w:lineRule="auto" w:before="180"/>
        <w:ind w:left="699" w:right="318" w:firstLine="355"/>
        <w:jc w:val="both"/>
      </w:pPr>
      <w:r>
        <w:rPr/>
        <w:t>Face à un problème technique avec l’application, </w:t>
      </w:r>
      <w:r>
        <w:rPr>
          <w:spacing w:val="-3"/>
        </w:rPr>
        <w:t>la </w:t>
      </w:r>
      <w:r>
        <w:rPr/>
        <w:t>plupart des utilisateurs préfèrent</w:t>
      </w:r>
      <w:r>
        <w:rPr>
          <w:spacing w:val="-26"/>
        </w:rPr>
        <w:t> </w:t>
      </w:r>
      <w:r>
        <w:rPr/>
        <w:t>réessayer plus tard. En effet, 50,5 % attendent quelques heures ou quelques jours avant de refaire une tentative.</w:t>
      </w:r>
      <w:r>
        <w:rPr>
          <w:spacing w:val="-7"/>
        </w:rPr>
        <w:t> </w:t>
      </w:r>
      <w:r>
        <w:rPr/>
        <w:t>37,8 %</w:t>
      </w:r>
      <w:r>
        <w:rPr>
          <w:spacing w:val="-7"/>
        </w:rPr>
        <w:t> </w:t>
      </w:r>
      <w:r>
        <w:rPr/>
        <w:t>essaient</w:t>
      </w:r>
      <w:r>
        <w:rPr>
          <w:spacing w:val="-4"/>
        </w:rPr>
        <w:t> </w:t>
      </w:r>
      <w:r>
        <w:rPr/>
        <w:t>plusieurs</w:t>
      </w:r>
      <w:r>
        <w:rPr>
          <w:spacing w:val="-6"/>
        </w:rPr>
        <w:t> </w:t>
      </w:r>
      <w:r>
        <w:rPr>
          <w:spacing w:val="-3"/>
        </w:rPr>
        <w:t>fois</w:t>
      </w:r>
      <w:r>
        <w:rPr>
          <w:spacing w:val="-10"/>
        </w:rPr>
        <w:t> </w:t>
      </w:r>
      <w:r>
        <w:rPr/>
        <w:t>d’affilée</w:t>
      </w:r>
      <w:r>
        <w:rPr>
          <w:spacing w:val="-5"/>
        </w:rPr>
        <w:t> </w:t>
      </w:r>
      <w:r>
        <w:rPr/>
        <w:t>jusqu’à</w:t>
      </w:r>
      <w:r>
        <w:rPr>
          <w:spacing w:val="-10"/>
        </w:rPr>
        <w:t> </w:t>
      </w:r>
      <w:r>
        <w:rPr/>
        <w:t>ce</w:t>
      </w:r>
      <w:r>
        <w:rPr>
          <w:spacing w:val="-9"/>
        </w:rPr>
        <w:t> </w:t>
      </w:r>
      <w:r>
        <w:rPr/>
        <w:t>que</w:t>
      </w:r>
      <w:r>
        <w:rPr>
          <w:spacing w:val="-9"/>
        </w:rPr>
        <w:t> </w:t>
      </w:r>
      <w:r>
        <w:rPr/>
        <w:t>ça</w:t>
      </w:r>
      <w:r>
        <w:rPr>
          <w:spacing w:val="-5"/>
        </w:rPr>
        <w:t> </w:t>
      </w:r>
      <w:r>
        <w:rPr/>
        <w:t>marche.</w:t>
      </w:r>
      <w:r>
        <w:rPr>
          <w:spacing w:val="-7"/>
        </w:rPr>
        <w:t> </w:t>
      </w:r>
      <w:r>
        <w:rPr/>
        <w:t>D’autres</w:t>
      </w:r>
      <w:r>
        <w:rPr>
          <w:spacing w:val="-10"/>
        </w:rPr>
        <w:t> </w:t>
      </w:r>
      <w:r>
        <w:rPr/>
        <w:t>solutions</w:t>
      </w:r>
      <w:r>
        <w:rPr>
          <w:spacing w:val="-10"/>
        </w:rPr>
        <w:t> </w:t>
      </w:r>
      <w:r>
        <w:rPr/>
        <w:t>sont moins courantes : 7,2 % des utilisateurs abandonnent et utilisent un autre service en </w:t>
      </w:r>
      <w:r>
        <w:rPr>
          <w:spacing w:val="-3"/>
        </w:rPr>
        <w:t>ligne </w:t>
      </w:r>
      <w:r>
        <w:rPr/>
        <w:t>comme BaridiNet ou Web-Merchant, </w:t>
      </w:r>
      <w:r>
        <w:rPr>
          <w:spacing w:val="-3"/>
        </w:rPr>
        <w:t>et </w:t>
      </w:r>
      <w:r>
        <w:rPr/>
        <w:t>seulement 4,5 % contactent </w:t>
      </w:r>
      <w:r>
        <w:rPr>
          <w:spacing w:val="-5"/>
        </w:rPr>
        <w:t>le </w:t>
      </w:r>
      <w:r>
        <w:rPr/>
        <w:t>service client</w:t>
      </w:r>
      <w:r>
        <w:rPr>
          <w:spacing w:val="25"/>
        </w:rPr>
        <w:t> </w:t>
      </w:r>
      <w:r>
        <w:rPr/>
        <w:t>(1530).</w:t>
      </w:r>
    </w:p>
    <w:p>
      <w:pPr>
        <w:spacing w:after="0" w:line="360" w:lineRule="auto"/>
        <w:jc w:val="both"/>
        <w:sectPr>
          <w:pgSz w:w="12240" w:h="15840"/>
          <w:pgMar w:header="723" w:footer="850" w:top="1080" w:bottom="1040" w:left="1000" w:right="820"/>
        </w:sectPr>
      </w:pPr>
    </w:p>
    <w:p>
      <w:pPr>
        <w:pStyle w:val="BodyText"/>
        <w:spacing w:before="4"/>
        <w:rPr>
          <w:sz w:val="20"/>
        </w:rPr>
      </w:pPr>
    </w:p>
    <w:p>
      <w:pPr>
        <w:spacing w:line="491" w:lineRule="auto" w:before="90"/>
        <w:ind w:left="2491" w:right="1953" w:hanging="1792"/>
        <w:jc w:val="left"/>
        <w:rPr>
          <w:sz w:val="24"/>
        </w:rPr>
      </w:pPr>
      <w:r>
        <w:rPr/>
        <w:pict>
          <v:shape style="position:absolute;margin-left:84.984001pt;margin-top:57.013149pt;width:466.05pt;height:131.3pt;mso-position-horizontal-relative:page;mso-position-vertical-relative:paragraph;z-index:251796480" type="#_x0000_t202" filled="false" stroked="false">
            <v:textbox inset="0,0,0,0">
              <w:txbxContent>
                <w:tbl>
                  <w:tblPr>
                    <w:tblW w:w="0" w:type="auto"/>
                    <w:jc w:val="left"/>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770"/>
                    <w:gridCol w:w="1604"/>
                    <w:gridCol w:w="1561"/>
                    <w:gridCol w:w="2344"/>
                  </w:tblGrid>
                  <w:tr>
                    <w:trPr>
                      <w:trHeight w:val="402" w:hRule="atLeast"/>
                    </w:trPr>
                    <w:tc>
                      <w:tcPr>
                        <w:tcW w:w="3770" w:type="dxa"/>
                      </w:tcPr>
                      <w:p>
                        <w:pPr>
                          <w:pStyle w:val="TableParagraph"/>
                          <w:jc w:val="left"/>
                          <w:rPr>
                            <w:sz w:val="22"/>
                          </w:rPr>
                        </w:pPr>
                      </w:p>
                    </w:tc>
                    <w:tc>
                      <w:tcPr>
                        <w:tcW w:w="1604" w:type="dxa"/>
                      </w:tcPr>
                      <w:p>
                        <w:pPr>
                          <w:pStyle w:val="TableParagraph"/>
                          <w:spacing w:before="157"/>
                          <w:ind w:left="375" w:right="339"/>
                          <w:rPr>
                            <w:b/>
                            <w:sz w:val="18"/>
                          </w:rPr>
                        </w:pPr>
                        <w:r>
                          <w:rPr>
                            <w:b/>
                            <w:sz w:val="18"/>
                          </w:rPr>
                          <w:t>Frequency</w:t>
                        </w:r>
                      </w:p>
                    </w:tc>
                    <w:tc>
                      <w:tcPr>
                        <w:tcW w:w="1561" w:type="dxa"/>
                      </w:tcPr>
                      <w:p>
                        <w:pPr>
                          <w:pStyle w:val="TableParagraph"/>
                          <w:spacing w:before="157"/>
                          <w:ind w:left="465" w:right="436"/>
                          <w:rPr>
                            <w:b/>
                            <w:sz w:val="18"/>
                          </w:rPr>
                        </w:pPr>
                        <w:r>
                          <w:rPr>
                            <w:b/>
                            <w:sz w:val="18"/>
                          </w:rPr>
                          <w:t>Percent</w:t>
                        </w:r>
                      </w:p>
                    </w:tc>
                    <w:tc>
                      <w:tcPr>
                        <w:tcW w:w="2344" w:type="dxa"/>
                      </w:tcPr>
                      <w:p>
                        <w:pPr>
                          <w:pStyle w:val="TableParagraph"/>
                          <w:spacing w:before="114"/>
                          <w:ind w:left="171"/>
                          <w:jc w:val="left"/>
                          <w:rPr>
                            <w:b/>
                            <w:sz w:val="18"/>
                          </w:rPr>
                        </w:pPr>
                        <w:r>
                          <w:rPr>
                            <w:b/>
                            <w:sz w:val="18"/>
                          </w:rPr>
                          <w:t>Cumulative Percent</w:t>
                        </w:r>
                      </w:p>
                    </w:tc>
                  </w:tr>
                  <w:tr>
                    <w:trPr>
                      <w:trHeight w:val="273" w:hRule="atLeast"/>
                    </w:trPr>
                    <w:tc>
                      <w:tcPr>
                        <w:tcW w:w="3770" w:type="dxa"/>
                        <w:tcBorders>
                          <w:bottom w:val="nil"/>
                        </w:tcBorders>
                      </w:tcPr>
                      <w:p>
                        <w:pPr>
                          <w:pStyle w:val="TableParagraph"/>
                          <w:spacing w:before="42"/>
                          <w:ind w:left="109"/>
                          <w:jc w:val="left"/>
                          <w:rPr>
                            <w:b/>
                            <w:sz w:val="18"/>
                          </w:rPr>
                        </w:pPr>
                        <w:r>
                          <w:rPr>
                            <w:b/>
                            <w:sz w:val="18"/>
                          </w:rPr>
                          <w:t>Cela ne me dérange pas</w:t>
                        </w:r>
                      </w:p>
                    </w:tc>
                    <w:tc>
                      <w:tcPr>
                        <w:tcW w:w="1604" w:type="dxa"/>
                        <w:tcBorders>
                          <w:bottom w:val="nil"/>
                        </w:tcBorders>
                      </w:tcPr>
                      <w:p>
                        <w:pPr>
                          <w:pStyle w:val="TableParagraph"/>
                          <w:spacing w:before="42"/>
                          <w:ind w:left="375" w:right="338"/>
                          <w:rPr>
                            <w:b/>
                            <w:sz w:val="18"/>
                          </w:rPr>
                        </w:pPr>
                        <w:r>
                          <w:rPr>
                            <w:b/>
                            <w:sz w:val="18"/>
                          </w:rPr>
                          <w:t>16</w:t>
                        </w:r>
                      </w:p>
                    </w:tc>
                    <w:tc>
                      <w:tcPr>
                        <w:tcW w:w="1561" w:type="dxa"/>
                        <w:tcBorders>
                          <w:bottom w:val="nil"/>
                        </w:tcBorders>
                      </w:tcPr>
                      <w:p>
                        <w:pPr>
                          <w:pStyle w:val="TableParagraph"/>
                          <w:spacing w:before="42"/>
                          <w:ind w:left="465" w:right="434"/>
                          <w:rPr>
                            <w:b/>
                            <w:sz w:val="18"/>
                          </w:rPr>
                        </w:pPr>
                        <w:r>
                          <w:rPr>
                            <w:b/>
                            <w:sz w:val="18"/>
                          </w:rPr>
                          <w:t>3,9</w:t>
                        </w:r>
                      </w:p>
                    </w:tc>
                    <w:tc>
                      <w:tcPr>
                        <w:tcW w:w="2344" w:type="dxa"/>
                        <w:tcBorders>
                          <w:bottom w:val="nil"/>
                        </w:tcBorders>
                      </w:tcPr>
                      <w:p>
                        <w:pPr>
                          <w:pStyle w:val="TableParagraph"/>
                          <w:spacing w:before="42"/>
                          <w:ind w:left="945" w:right="919"/>
                          <w:rPr>
                            <w:b/>
                            <w:sz w:val="18"/>
                          </w:rPr>
                        </w:pPr>
                        <w:r>
                          <w:rPr>
                            <w:b/>
                            <w:sz w:val="18"/>
                          </w:rPr>
                          <w:t>5,0</w:t>
                        </w:r>
                      </w:p>
                    </w:tc>
                  </w:tr>
                  <w:tr>
                    <w:trPr>
                      <w:trHeight w:val="436" w:hRule="atLeast"/>
                    </w:trPr>
                    <w:tc>
                      <w:tcPr>
                        <w:tcW w:w="3770" w:type="dxa"/>
                        <w:tcBorders>
                          <w:top w:val="nil"/>
                          <w:bottom w:val="nil"/>
                        </w:tcBorders>
                      </w:tcPr>
                      <w:p>
                        <w:pPr>
                          <w:pStyle w:val="TableParagraph"/>
                          <w:spacing w:line="206" w:lineRule="exact" w:before="21"/>
                          <w:ind w:left="109" w:right="921"/>
                          <w:jc w:val="left"/>
                          <w:rPr>
                            <w:b/>
                            <w:sz w:val="18"/>
                          </w:rPr>
                        </w:pPr>
                        <w:r>
                          <w:rPr>
                            <w:b/>
                            <w:sz w:val="18"/>
                          </w:rPr>
                          <w:t>C’est gênant mais j’utilise toujours l’application</w:t>
                        </w:r>
                      </w:p>
                    </w:tc>
                    <w:tc>
                      <w:tcPr>
                        <w:tcW w:w="1604" w:type="dxa"/>
                        <w:tcBorders>
                          <w:top w:val="nil"/>
                          <w:bottom w:val="nil"/>
                        </w:tcBorders>
                      </w:tcPr>
                      <w:p>
                        <w:pPr>
                          <w:pStyle w:val="TableParagraph"/>
                          <w:spacing w:before="119"/>
                          <w:ind w:left="371" w:right="339"/>
                          <w:rPr>
                            <w:b/>
                            <w:sz w:val="18"/>
                          </w:rPr>
                        </w:pPr>
                        <w:r>
                          <w:rPr>
                            <w:b/>
                            <w:sz w:val="18"/>
                          </w:rPr>
                          <w:t>206</w:t>
                        </w:r>
                      </w:p>
                    </w:tc>
                    <w:tc>
                      <w:tcPr>
                        <w:tcW w:w="1561" w:type="dxa"/>
                        <w:tcBorders>
                          <w:top w:val="nil"/>
                          <w:bottom w:val="nil"/>
                        </w:tcBorders>
                      </w:tcPr>
                      <w:p>
                        <w:pPr>
                          <w:pStyle w:val="TableParagraph"/>
                          <w:spacing w:before="119"/>
                          <w:ind w:left="465" w:right="429"/>
                          <w:rPr>
                            <w:b/>
                            <w:sz w:val="18"/>
                          </w:rPr>
                        </w:pPr>
                        <w:r>
                          <w:rPr>
                            <w:b/>
                            <w:sz w:val="18"/>
                          </w:rPr>
                          <w:t>50,0</w:t>
                        </w:r>
                      </w:p>
                    </w:tc>
                    <w:tc>
                      <w:tcPr>
                        <w:tcW w:w="2344" w:type="dxa"/>
                        <w:tcBorders>
                          <w:top w:val="nil"/>
                          <w:bottom w:val="nil"/>
                        </w:tcBorders>
                      </w:tcPr>
                      <w:p>
                        <w:pPr>
                          <w:pStyle w:val="TableParagraph"/>
                          <w:spacing w:before="119"/>
                          <w:ind w:left="949" w:right="919"/>
                          <w:rPr>
                            <w:b/>
                            <w:sz w:val="18"/>
                          </w:rPr>
                        </w:pPr>
                        <w:r>
                          <w:rPr>
                            <w:b/>
                            <w:sz w:val="18"/>
                          </w:rPr>
                          <w:t>69,6</w:t>
                        </w:r>
                      </w:p>
                    </w:tc>
                  </w:tr>
                  <w:tr>
                    <w:trPr>
                      <w:trHeight w:val="240" w:hRule="atLeast"/>
                    </w:trPr>
                    <w:tc>
                      <w:tcPr>
                        <w:tcW w:w="3770" w:type="dxa"/>
                        <w:tcBorders>
                          <w:top w:val="nil"/>
                          <w:bottom w:val="nil"/>
                        </w:tcBorders>
                      </w:tcPr>
                      <w:p>
                        <w:pPr>
                          <w:pStyle w:val="TableParagraph"/>
                          <w:spacing w:line="206" w:lineRule="exact"/>
                          <w:ind w:left="109"/>
                          <w:jc w:val="left"/>
                          <w:rPr>
                            <w:b/>
                            <w:sz w:val="18"/>
                          </w:rPr>
                        </w:pPr>
                        <w:r>
                          <w:rPr>
                            <w:b/>
                            <w:sz w:val="18"/>
                          </w:rPr>
                          <w:t>J’utilise moins l’application à cause des bugs</w:t>
                        </w:r>
                      </w:p>
                    </w:tc>
                    <w:tc>
                      <w:tcPr>
                        <w:tcW w:w="1604" w:type="dxa"/>
                        <w:tcBorders>
                          <w:top w:val="nil"/>
                          <w:bottom w:val="nil"/>
                        </w:tcBorders>
                      </w:tcPr>
                      <w:p>
                        <w:pPr>
                          <w:pStyle w:val="TableParagraph"/>
                          <w:spacing w:line="206" w:lineRule="exact"/>
                          <w:ind w:left="375" w:right="338"/>
                          <w:rPr>
                            <w:b/>
                            <w:sz w:val="18"/>
                          </w:rPr>
                        </w:pPr>
                        <w:r>
                          <w:rPr>
                            <w:b/>
                            <w:sz w:val="18"/>
                          </w:rPr>
                          <w:t>87</w:t>
                        </w:r>
                      </w:p>
                    </w:tc>
                    <w:tc>
                      <w:tcPr>
                        <w:tcW w:w="1561" w:type="dxa"/>
                        <w:tcBorders>
                          <w:top w:val="nil"/>
                          <w:bottom w:val="nil"/>
                        </w:tcBorders>
                      </w:tcPr>
                      <w:p>
                        <w:pPr>
                          <w:pStyle w:val="TableParagraph"/>
                          <w:spacing w:line="206" w:lineRule="exact"/>
                          <w:ind w:left="465" w:right="429"/>
                          <w:rPr>
                            <w:b/>
                            <w:sz w:val="18"/>
                          </w:rPr>
                        </w:pPr>
                        <w:r>
                          <w:rPr>
                            <w:b/>
                            <w:sz w:val="18"/>
                          </w:rPr>
                          <w:t>21,1</w:t>
                        </w:r>
                      </w:p>
                    </w:tc>
                    <w:tc>
                      <w:tcPr>
                        <w:tcW w:w="2344" w:type="dxa"/>
                        <w:tcBorders>
                          <w:top w:val="nil"/>
                          <w:bottom w:val="nil"/>
                        </w:tcBorders>
                      </w:tcPr>
                      <w:p>
                        <w:pPr>
                          <w:pStyle w:val="TableParagraph"/>
                          <w:spacing w:line="206" w:lineRule="exact"/>
                          <w:ind w:left="949" w:right="919"/>
                          <w:rPr>
                            <w:b/>
                            <w:sz w:val="18"/>
                          </w:rPr>
                        </w:pPr>
                        <w:r>
                          <w:rPr>
                            <w:b/>
                            <w:sz w:val="18"/>
                          </w:rPr>
                          <w:t>96,9</w:t>
                        </w:r>
                      </w:p>
                    </w:tc>
                  </w:tr>
                  <w:tr>
                    <w:trPr>
                      <w:trHeight w:val="285" w:hRule="atLeast"/>
                    </w:trPr>
                    <w:tc>
                      <w:tcPr>
                        <w:tcW w:w="3770" w:type="dxa"/>
                        <w:tcBorders>
                          <w:top w:val="nil"/>
                          <w:bottom w:val="nil"/>
                        </w:tcBorders>
                      </w:tcPr>
                      <w:p>
                        <w:pPr>
                          <w:pStyle w:val="TableParagraph"/>
                          <w:spacing w:before="28"/>
                          <w:ind w:left="109"/>
                          <w:jc w:val="left"/>
                          <w:rPr>
                            <w:b/>
                            <w:sz w:val="18"/>
                          </w:rPr>
                        </w:pPr>
                        <w:r>
                          <w:rPr>
                            <w:b/>
                            <w:sz w:val="18"/>
                          </w:rPr>
                          <w:t>J’arrête d’utiliser l’application</w:t>
                        </w:r>
                      </w:p>
                    </w:tc>
                    <w:tc>
                      <w:tcPr>
                        <w:tcW w:w="1604" w:type="dxa"/>
                        <w:tcBorders>
                          <w:top w:val="nil"/>
                          <w:bottom w:val="nil"/>
                        </w:tcBorders>
                      </w:tcPr>
                      <w:p>
                        <w:pPr>
                          <w:pStyle w:val="TableParagraph"/>
                          <w:spacing w:before="28"/>
                          <w:ind w:left="375" w:right="338"/>
                          <w:rPr>
                            <w:b/>
                            <w:sz w:val="18"/>
                          </w:rPr>
                        </w:pPr>
                        <w:r>
                          <w:rPr>
                            <w:b/>
                            <w:sz w:val="18"/>
                          </w:rPr>
                          <w:t>10</w:t>
                        </w:r>
                      </w:p>
                    </w:tc>
                    <w:tc>
                      <w:tcPr>
                        <w:tcW w:w="1561" w:type="dxa"/>
                        <w:tcBorders>
                          <w:top w:val="nil"/>
                          <w:bottom w:val="nil"/>
                        </w:tcBorders>
                      </w:tcPr>
                      <w:p>
                        <w:pPr>
                          <w:pStyle w:val="TableParagraph"/>
                          <w:spacing w:before="28"/>
                          <w:ind w:left="465" w:right="434"/>
                          <w:rPr>
                            <w:b/>
                            <w:sz w:val="18"/>
                          </w:rPr>
                        </w:pPr>
                        <w:r>
                          <w:rPr>
                            <w:b/>
                            <w:sz w:val="18"/>
                          </w:rPr>
                          <w:t>2,4</w:t>
                        </w:r>
                      </w:p>
                    </w:tc>
                    <w:tc>
                      <w:tcPr>
                        <w:tcW w:w="2344" w:type="dxa"/>
                        <w:tcBorders>
                          <w:top w:val="nil"/>
                          <w:bottom w:val="nil"/>
                        </w:tcBorders>
                      </w:tcPr>
                      <w:p>
                        <w:pPr>
                          <w:pStyle w:val="TableParagraph"/>
                          <w:spacing w:before="28"/>
                          <w:ind w:left="949" w:right="919"/>
                          <w:rPr>
                            <w:b/>
                            <w:sz w:val="18"/>
                          </w:rPr>
                        </w:pPr>
                        <w:r>
                          <w:rPr>
                            <w:b/>
                            <w:sz w:val="18"/>
                          </w:rPr>
                          <w:t>100,0</w:t>
                        </w:r>
                      </w:p>
                    </w:tc>
                  </w:tr>
                  <w:tr>
                    <w:trPr>
                      <w:trHeight w:val="295" w:hRule="atLeast"/>
                    </w:trPr>
                    <w:tc>
                      <w:tcPr>
                        <w:tcW w:w="3770" w:type="dxa"/>
                        <w:tcBorders>
                          <w:top w:val="nil"/>
                          <w:bottom w:val="nil"/>
                        </w:tcBorders>
                      </w:tcPr>
                      <w:p>
                        <w:pPr>
                          <w:pStyle w:val="TableParagraph"/>
                          <w:spacing w:before="45"/>
                          <w:ind w:left="109"/>
                          <w:jc w:val="left"/>
                          <w:rPr>
                            <w:b/>
                            <w:sz w:val="18"/>
                          </w:rPr>
                        </w:pPr>
                        <w:r>
                          <w:rPr>
                            <w:b/>
                            <w:sz w:val="18"/>
                          </w:rPr>
                          <w:t>Total</w:t>
                        </w:r>
                      </w:p>
                    </w:tc>
                    <w:tc>
                      <w:tcPr>
                        <w:tcW w:w="1604" w:type="dxa"/>
                        <w:tcBorders>
                          <w:top w:val="nil"/>
                          <w:bottom w:val="nil"/>
                        </w:tcBorders>
                      </w:tcPr>
                      <w:p>
                        <w:pPr>
                          <w:pStyle w:val="TableParagraph"/>
                          <w:spacing w:before="45"/>
                          <w:ind w:left="371" w:right="339"/>
                          <w:rPr>
                            <w:b/>
                            <w:sz w:val="18"/>
                          </w:rPr>
                        </w:pPr>
                        <w:r>
                          <w:rPr>
                            <w:b/>
                            <w:sz w:val="18"/>
                          </w:rPr>
                          <w:t>319</w:t>
                        </w:r>
                      </w:p>
                    </w:tc>
                    <w:tc>
                      <w:tcPr>
                        <w:tcW w:w="1561" w:type="dxa"/>
                        <w:tcBorders>
                          <w:top w:val="nil"/>
                          <w:bottom w:val="nil"/>
                        </w:tcBorders>
                      </w:tcPr>
                      <w:p>
                        <w:pPr>
                          <w:pStyle w:val="TableParagraph"/>
                          <w:spacing w:before="45"/>
                          <w:ind w:left="465" w:right="429"/>
                          <w:rPr>
                            <w:b/>
                            <w:sz w:val="18"/>
                          </w:rPr>
                        </w:pPr>
                        <w:r>
                          <w:rPr>
                            <w:b/>
                            <w:sz w:val="18"/>
                          </w:rPr>
                          <w:t>77,4</w:t>
                        </w:r>
                      </w:p>
                    </w:tc>
                    <w:tc>
                      <w:tcPr>
                        <w:tcW w:w="2344" w:type="dxa"/>
                        <w:tcBorders>
                          <w:top w:val="nil"/>
                          <w:bottom w:val="nil"/>
                        </w:tcBorders>
                      </w:tcPr>
                      <w:p>
                        <w:pPr>
                          <w:pStyle w:val="TableParagraph"/>
                          <w:jc w:val="left"/>
                          <w:rPr>
                            <w:sz w:val="22"/>
                          </w:rPr>
                        </w:pPr>
                      </w:p>
                    </w:tc>
                  </w:tr>
                  <w:tr>
                    <w:trPr>
                      <w:trHeight w:val="286" w:hRule="atLeast"/>
                    </w:trPr>
                    <w:tc>
                      <w:tcPr>
                        <w:tcW w:w="3770" w:type="dxa"/>
                        <w:tcBorders>
                          <w:top w:val="nil"/>
                        </w:tcBorders>
                      </w:tcPr>
                      <w:p>
                        <w:pPr>
                          <w:pStyle w:val="TableParagraph"/>
                          <w:spacing w:before="37"/>
                          <w:ind w:left="109"/>
                          <w:jc w:val="left"/>
                          <w:rPr>
                            <w:b/>
                            <w:sz w:val="18"/>
                          </w:rPr>
                        </w:pPr>
                        <w:r>
                          <w:rPr>
                            <w:b/>
                            <w:sz w:val="18"/>
                          </w:rPr>
                          <w:t>Missing</w:t>
                        </w:r>
                      </w:p>
                    </w:tc>
                    <w:tc>
                      <w:tcPr>
                        <w:tcW w:w="1604" w:type="dxa"/>
                        <w:tcBorders>
                          <w:top w:val="nil"/>
                        </w:tcBorders>
                      </w:tcPr>
                      <w:p>
                        <w:pPr>
                          <w:pStyle w:val="TableParagraph"/>
                          <w:spacing w:before="37"/>
                          <w:ind w:left="375" w:right="338"/>
                          <w:rPr>
                            <w:b/>
                            <w:sz w:val="18"/>
                          </w:rPr>
                        </w:pPr>
                        <w:r>
                          <w:rPr>
                            <w:b/>
                            <w:sz w:val="18"/>
                          </w:rPr>
                          <w:t>93</w:t>
                        </w:r>
                      </w:p>
                    </w:tc>
                    <w:tc>
                      <w:tcPr>
                        <w:tcW w:w="1561" w:type="dxa"/>
                        <w:tcBorders>
                          <w:top w:val="nil"/>
                        </w:tcBorders>
                      </w:tcPr>
                      <w:p>
                        <w:pPr>
                          <w:pStyle w:val="TableParagraph"/>
                          <w:spacing w:before="37"/>
                          <w:ind w:left="465" w:right="429"/>
                          <w:rPr>
                            <w:b/>
                            <w:sz w:val="18"/>
                          </w:rPr>
                        </w:pPr>
                        <w:r>
                          <w:rPr>
                            <w:b/>
                            <w:sz w:val="18"/>
                          </w:rPr>
                          <w:t>22,6</w:t>
                        </w:r>
                      </w:p>
                    </w:tc>
                    <w:tc>
                      <w:tcPr>
                        <w:tcW w:w="2344" w:type="dxa"/>
                        <w:tcBorders>
                          <w:top w:val="nil"/>
                        </w:tcBorders>
                      </w:tcPr>
                      <w:p>
                        <w:pPr>
                          <w:pStyle w:val="TableParagraph"/>
                          <w:jc w:val="left"/>
                          <w:rPr>
                            <w:sz w:val="20"/>
                          </w:rPr>
                        </w:pPr>
                      </w:p>
                    </w:tc>
                  </w:tr>
                  <w:tr>
                    <w:trPr>
                      <w:trHeight w:val="286" w:hRule="atLeast"/>
                    </w:trPr>
                    <w:tc>
                      <w:tcPr>
                        <w:tcW w:w="3770" w:type="dxa"/>
                      </w:tcPr>
                      <w:p>
                        <w:pPr>
                          <w:pStyle w:val="TableParagraph"/>
                          <w:spacing w:before="37"/>
                          <w:ind w:left="109"/>
                          <w:jc w:val="left"/>
                          <w:rPr>
                            <w:b/>
                            <w:sz w:val="18"/>
                          </w:rPr>
                        </w:pPr>
                        <w:r>
                          <w:rPr>
                            <w:b/>
                            <w:sz w:val="18"/>
                          </w:rPr>
                          <w:t>Total</w:t>
                        </w:r>
                      </w:p>
                    </w:tc>
                    <w:tc>
                      <w:tcPr>
                        <w:tcW w:w="1604" w:type="dxa"/>
                      </w:tcPr>
                      <w:p>
                        <w:pPr>
                          <w:pStyle w:val="TableParagraph"/>
                          <w:spacing w:before="37"/>
                          <w:ind w:left="375" w:right="276"/>
                          <w:rPr>
                            <w:b/>
                            <w:sz w:val="18"/>
                          </w:rPr>
                        </w:pPr>
                        <w:r>
                          <w:rPr>
                            <w:b/>
                            <w:sz w:val="18"/>
                          </w:rPr>
                          <w:t>412</w:t>
                        </w:r>
                      </w:p>
                    </w:tc>
                    <w:tc>
                      <w:tcPr>
                        <w:tcW w:w="1561" w:type="dxa"/>
                      </w:tcPr>
                      <w:p>
                        <w:pPr>
                          <w:pStyle w:val="TableParagraph"/>
                          <w:spacing w:before="37"/>
                          <w:ind w:left="465" w:right="371"/>
                          <w:rPr>
                            <w:b/>
                            <w:sz w:val="18"/>
                          </w:rPr>
                        </w:pPr>
                        <w:r>
                          <w:rPr>
                            <w:b/>
                            <w:sz w:val="18"/>
                          </w:rPr>
                          <w:t>100,0</w:t>
                        </w:r>
                      </w:p>
                    </w:tc>
                    <w:tc>
                      <w:tcPr>
                        <w:tcW w:w="2344" w:type="dxa"/>
                      </w:tcPr>
                      <w:p>
                        <w:pPr>
                          <w:pStyle w:val="TableParagraph"/>
                          <w:jc w:val="left"/>
                          <w:rPr>
                            <w:sz w:val="20"/>
                          </w:rPr>
                        </w:pPr>
                      </w:p>
                    </w:tc>
                  </w:tr>
                </w:tbl>
                <w:p>
                  <w:pPr>
                    <w:pStyle w:val="BodyText"/>
                  </w:pPr>
                </w:p>
              </w:txbxContent>
            </v:textbox>
            <w10:wrap type="none"/>
          </v:shape>
        </w:pict>
      </w:r>
      <w:r>
        <w:rPr>
          <w:b/>
          <w:sz w:val="24"/>
        </w:rPr>
        <w:t>Q18_À quel point ces bugs influencent-ils votre utilisation de BaridiMob ?</w:t>
      </w:r>
      <w:bookmarkStart w:name="_bookmark48" w:id="242"/>
      <w:bookmarkEnd w:id="242"/>
      <w:r>
        <w:rPr>
          <w:b/>
          <w:sz w:val="24"/>
        </w:rPr>
      </w:r>
      <w:r>
        <w:rPr>
          <w:b/>
          <w:sz w:val="24"/>
        </w:rPr>
        <w:t> </w:t>
      </w:r>
      <w:r>
        <w:rPr>
          <w:b/>
          <w:color w:val="44536A"/>
          <w:sz w:val="24"/>
        </w:rPr>
        <w:t>Tableau 19 : </w:t>
      </w:r>
      <w:r>
        <w:rPr>
          <w:color w:val="44536A"/>
          <w:sz w:val="24"/>
        </w:rPr>
        <w:t>Impact des bugs sur l’utilisation de BaridiMob</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33"/>
        </w:rPr>
      </w:pPr>
    </w:p>
    <w:p>
      <w:pPr>
        <w:pStyle w:val="BodyText"/>
        <w:ind w:left="825" w:right="445"/>
        <w:jc w:val="center"/>
      </w:pPr>
      <w:r>
        <w:rPr>
          <w:b/>
        </w:rPr>
        <w:t>Source : </w:t>
      </w:r>
      <w:r>
        <w:rPr/>
        <w:t>élaboré par nous-même sur la base des outputs SPSS</w:t>
      </w:r>
    </w:p>
    <w:p>
      <w:pPr>
        <w:pStyle w:val="BodyText"/>
        <w:spacing w:before="3"/>
        <w:rPr>
          <w:sz w:val="25"/>
        </w:rPr>
      </w:pPr>
    </w:p>
    <w:p>
      <w:pPr>
        <w:pStyle w:val="BodyText"/>
        <w:spacing w:line="360" w:lineRule="auto"/>
        <w:ind w:left="699" w:right="311" w:firstLine="360"/>
        <w:jc w:val="both"/>
      </w:pPr>
      <w:r>
        <w:rPr/>
        <w:t>La</w:t>
      </w:r>
      <w:r>
        <w:rPr>
          <w:spacing w:val="-17"/>
        </w:rPr>
        <w:t> </w:t>
      </w:r>
      <w:r>
        <w:rPr/>
        <w:t>plupart</w:t>
      </w:r>
      <w:r>
        <w:rPr>
          <w:spacing w:val="-12"/>
        </w:rPr>
        <w:t> </w:t>
      </w:r>
      <w:r>
        <w:rPr/>
        <w:t>des</w:t>
      </w:r>
      <w:r>
        <w:rPr>
          <w:spacing w:val="-19"/>
        </w:rPr>
        <w:t> </w:t>
      </w:r>
      <w:r>
        <w:rPr/>
        <w:t>utilisateurs</w:t>
      </w:r>
      <w:r>
        <w:rPr>
          <w:spacing w:val="-19"/>
        </w:rPr>
        <w:t> </w:t>
      </w:r>
      <w:r>
        <w:rPr/>
        <w:t>64,6 %</w:t>
      </w:r>
      <w:r>
        <w:rPr>
          <w:spacing w:val="-15"/>
        </w:rPr>
        <w:t> </w:t>
      </w:r>
      <w:r>
        <w:rPr/>
        <w:t>disent</w:t>
      </w:r>
      <w:r>
        <w:rPr>
          <w:spacing w:val="-11"/>
        </w:rPr>
        <w:t> </w:t>
      </w:r>
      <w:r>
        <w:rPr/>
        <w:t>que</w:t>
      </w:r>
      <w:r>
        <w:rPr>
          <w:spacing w:val="-17"/>
        </w:rPr>
        <w:t> </w:t>
      </w:r>
      <w:r>
        <w:rPr>
          <w:spacing w:val="-4"/>
        </w:rPr>
        <w:t>les</w:t>
      </w:r>
      <w:r>
        <w:rPr>
          <w:spacing w:val="-15"/>
        </w:rPr>
        <w:t> </w:t>
      </w:r>
      <w:r>
        <w:rPr/>
        <w:t>bugs</w:t>
      </w:r>
      <w:r>
        <w:rPr>
          <w:spacing w:val="-18"/>
        </w:rPr>
        <w:t> </w:t>
      </w:r>
      <w:r>
        <w:rPr/>
        <w:t>sont</w:t>
      </w:r>
      <w:r>
        <w:rPr>
          <w:spacing w:val="-12"/>
        </w:rPr>
        <w:t> </w:t>
      </w:r>
      <w:r>
        <w:rPr/>
        <w:t>gênants,</w:t>
      </w:r>
      <w:r>
        <w:rPr>
          <w:spacing w:val="-14"/>
        </w:rPr>
        <w:t> </w:t>
      </w:r>
      <w:r>
        <w:rPr/>
        <w:t>mais</w:t>
      </w:r>
      <w:r>
        <w:rPr>
          <w:spacing w:val="-19"/>
        </w:rPr>
        <w:t> </w:t>
      </w:r>
      <w:r>
        <w:rPr/>
        <w:t>qu’ils</w:t>
      </w:r>
      <w:r>
        <w:rPr>
          <w:spacing w:val="-19"/>
        </w:rPr>
        <w:t> </w:t>
      </w:r>
      <w:r>
        <w:rPr/>
        <w:t>continuent</w:t>
      </w:r>
      <w:r>
        <w:rPr>
          <w:spacing w:val="-11"/>
        </w:rPr>
        <w:t> </w:t>
      </w:r>
      <w:r>
        <w:rPr/>
        <w:t>quand même d’utiliser l’application. Pour 27,3 %, </w:t>
      </w:r>
      <w:r>
        <w:rPr>
          <w:spacing w:val="-3"/>
        </w:rPr>
        <w:t>les </w:t>
      </w:r>
      <w:r>
        <w:rPr/>
        <w:t>problèmes techniques </w:t>
      </w:r>
      <w:r>
        <w:rPr>
          <w:spacing w:val="-3"/>
        </w:rPr>
        <w:t>les </w:t>
      </w:r>
      <w:r>
        <w:rPr/>
        <w:t>poussent à utiliser l’application </w:t>
      </w:r>
      <w:r>
        <w:rPr>
          <w:spacing w:val="-3"/>
        </w:rPr>
        <w:t>moins </w:t>
      </w:r>
      <w:r>
        <w:rPr/>
        <w:t>souvent. </w:t>
      </w:r>
      <w:r>
        <w:rPr>
          <w:spacing w:val="-3"/>
        </w:rPr>
        <w:t>Une </w:t>
      </w:r>
      <w:r>
        <w:rPr/>
        <w:t>petite partie, </w:t>
      </w:r>
      <w:r>
        <w:rPr>
          <w:spacing w:val="-4"/>
        </w:rPr>
        <w:t>soit </w:t>
      </w:r>
      <w:r>
        <w:rPr/>
        <w:t>3,1 %, déclare avoir complètement arrêté de l’utiliser à cause des bugs. Seuls 5 % des utilisateurs disent que les bugs ne les dérangent pas du tout.</w:t>
      </w:r>
    </w:p>
    <w:p>
      <w:pPr>
        <w:pStyle w:val="Heading5"/>
        <w:spacing w:before="173"/>
        <w:ind w:left="1060" w:firstLine="0"/>
      </w:pPr>
      <w:r>
        <w:rPr/>
        <w:t>G. Partie 05 : Disponibilité du service (4 questions) :</w:t>
      </w:r>
    </w:p>
    <w:p>
      <w:pPr>
        <w:pStyle w:val="BodyText"/>
        <w:spacing w:before="7"/>
        <w:rPr>
          <w:b/>
          <w:sz w:val="25"/>
        </w:rPr>
      </w:pPr>
    </w:p>
    <w:p>
      <w:pPr>
        <w:spacing w:before="0"/>
        <w:ind w:left="699" w:right="0" w:firstLine="0"/>
        <w:jc w:val="left"/>
        <w:rPr>
          <w:b/>
          <w:sz w:val="24"/>
        </w:rPr>
      </w:pPr>
      <w:r>
        <w:rPr>
          <w:b/>
          <w:sz w:val="24"/>
        </w:rPr>
        <w:t>Q19_Avez-vous déjà rencontré des indisponibilités de BaridiMob à certaines heures ?</w:t>
      </w:r>
    </w:p>
    <w:p>
      <w:pPr>
        <w:pStyle w:val="BodyText"/>
        <w:spacing w:before="6"/>
        <w:rPr>
          <w:b/>
          <w:sz w:val="17"/>
        </w:rPr>
      </w:pPr>
    </w:p>
    <w:p>
      <w:pPr>
        <w:spacing w:after="0"/>
        <w:rPr>
          <w:sz w:val="17"/>
        </w:rPr>
        <w:sectPr>
          <w:pgSz w:w="12240" w:h="15840"/>
          <w:pgMar w:header="723" w:footer="850" w:top="1080" w:bottom="1040" w:left="1000" w:right="820"/>
        </w:sectPr>
      </w:pPr>
    </w:p>
    <w:p>
      <w:pPr>
        <w:spacing w:line="237" w:lineRule="auto" w:before="92"/>
        <w:ind w:left="699" w:right="14" w:firstLine="0"/>
        <w:jc w:val="left"/>
        <w:rPr>
          <w:sz w:val="24"/>
        </w:rPr>
      </w:pPr>
      <w:r>
        <w:rPr/>
        <w:pict>
          <v:line style="position:absolute;mso-position-horizontal-relative:page;mso-position-vertical-relative:paragraph;z-index:-258870272" from="356.130005pt,51.971088pt" to="538.600005pt,51.971088pt" stroked="true" strokeweight=".75pt" strokecolor="#d9d9d9">
            <v:stroke dashstyle="solid"/>
            <w10:wrap type="none"/>
          </v:line>
        </w:pict>
      </w:r>
      <w:bookmarkStart w:name="_bookmark49" w:id="243"/>
      <w:bookmarkEnd w:id="243"/>
      <w:r>
        <w:rPr/>
      </w:r>
      <w:r>
        <w:rPr>
          <w:b/>
          <w:color w:val="44536A"/>
          <w:sz w:val="24"/>
        </w:rPr>
        <w:t>Tableau 20 : </w:t>
      </w:r>
      <w:r>
        <w:rPr>
          <w:color w:val="44536A"/>
          <w:sz w:val="24"/>
        </w:rPr>
        <w:t>Fréquence des indisponibilités constatées</w:t>
      </w:r>
    </w:p>
    <w:p>
      <w:pPr>
        <w:spacing w:line="237" w:lineRule="auto" w:before="111"/>
        <w:ind w:left="699" w:right="0" w:firstLine="0"/>
        <w:jc w:val="left"/>
        <w:rPr>
          <w:sz w:val="24"/>
        </w:rPr>
      </w:pPr>
      <w:r>
        <w:rPr/>
        <w:br w:type="column"/>
      </w:r>
      <w:bookmarkStart w:name="_bookmark50" w:id="244"/>
      <w:bookmarkEnd w:id="244"/>
      <w:r>
        <w:rPr/>
      </w:r>
      <w:r>
        <w:rPr>
          <w:b/>
          <w:color w:val="44536A"/>
          <w:sz w:val="24"/>
        </w:rPr>
        <w:t>Figure 17 : </w:t>
      </w:r>
      <w:r>
        <w:rPr>
          <w:color w:val="44536A"/>
          <w:sz w:val="24"/>
        </w:rPr>
        <w:t>Fréquence des indisponibilités constatées</w:t>
      </w:r>
    </w:p>
    <w:p>
      <w:pPr>
        <w:spacing w:after="0" w:line="237" w:lineRule="auto"/>
        <w:jc w:val="left"/>
        <w:rPr>
          <w:sz w:val="24"/>
        </w:rPr>
        <w:sectPr>
          <w:type w:val="continuous"/>
          <w:pgSz w:w="12240" w:h="15840"/>
          <w:pgMar w:top="3140" w:bottom="280" w:left="1000" w:right="820"/>
          <w:cols w:num="2" w:equalWidth="0">
            <w:col w:w="4993" w:space="44"/>
            <w:col w:w="5383"/>
          </w:cols>
        </w:sectPr>
      </w:pPr>
    </w:p>
    <w:p>
      <w:pPr>
        <w:pStyle w:val="BodyText"/>
        <w:spacing w:before="4"/>
        <w:rPr>
          <w:sz w:val="13"/>
        </w:rPr>
      </w:pPr>
    </w:p>
    <w:p>
      <w:pPr>
        <w:tabs>
          <w:tab w:pos="5544" w:val="left" w:leader="none"/>
        </w:tabs>
        <w:spacing w:line="240" w:lineRule="auto"/>
        <w:ind w:left="680" w:right="0" w:firstLine="0"/>
        <w:rPr>
          <w:sz w:val="20"/>
        </w:rPr>
      </w:pPr>
      <w:r>
        <w:rPr>
          <w:sz w:val="20"/>
        </w:rPr>
        <w:pict>
          <v:shape style="width:222.6pt;height:140pt;mso-position-horizontal-relative:char;mso-position-vertical-relative:line" type="#_x0000_t202" filled="false" stroked="false">
            <w10:anchorlock/>
            <v:textbox inset="0,0,0,0">
              <w:txbxContent>
                <w:tbl>
                  <w:tblPr>
                    <w:tblW w:w="0" w:type="auto"/>
                    <w:jc w:val="left"/>
                    <w:tblInd w:w="2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601"/>
                    <w:gridCol w:w="1008"/>
                    <w:gridCol w:w="883"/>
                    <w:gridCol w:w="783"/>
                    <w:gridCol w:w="1119"/>
                  </w:tblGrid>
                  <w:tr>
                    <w:trPr>
                      <w:trHeight w:val="631" w:hRule="atLeast"/>
                    </w:trPr>
                    <w:tc>
                      <w:tcPr>
                        <w:tcW w:w="1609" w:type="dxa"/>
                        <w:gridSpan w:val="2"/>
                      </w:tcPr>
                      <w:p>
                        <w:pPr>
                          <w:pStyle w:val="TableParagraph"/>
                          <w:jc w:val="left"/>
                          <w:rPr>
                            <w:sz w:val="22"/>
                          </w:rPr>
                        </w:pPr>
                      </w:p>
                    </w:tc>
                    <w:tc>
                      <w:tcPr>
                        <w:tcW w:w="883" w:type="dxa"/>
                        <w:tcBorders>
                          <w:right w:val="single" w:sz="8" w:space="0" w:color="000000"/>
                        </w:tcBorders>
                      </w:tcPr>
                      <w:p>
                        <w:pPr>
                          <w:pStyle w:val="TableParagraph"/>
                          <w:spacing w:before="9"/>
                          <w:jc w:val="left"/>
                          <w:rPr>
                            <w:sz w:val="13"/>
                          </w:rPr>
                        </w:pPr>
                      </w:p>
                      <w:p>
                        <w:pPr>
                          <w:pStyle w:val="TableParagraph"/>
                          <w:ind w:left="104" w:right="67"/>
                          <w:rPr>
                            <w:b/>
                            <w:sz w:val="14"/>
                          </w:rPr>
                        </w:pPr>
                        <w:r>
                          <w:rPr>
                            <w:b/>
                            <w:sz w:val="14"/>
                          </w:rPr>
                          <w:t>Frequency</w:t>
                        </w:r>
                      </w:p>
                    </w:tc>
                    <w:tc>
                      <w:tcPr>
                        <w:tcW w:w="783" w:type="dxa"/>
                        <w:tcBorders>
                          <w:left w:val="single" w:sz="8" w:space="0" w:color="000000"/>
                          <w:right w:val="single" w:sz="8" w:space="0" w:color="000000"/>
                        </w:tcBorders>
                      </w:tcPr>
                      <w:p>
                        <w:pPr>
                          <w:pStyle w:val="TableParagraph"/>
                          <w:spacing w:before="135"/>
                          <w:ind w:left="117" w:right="80"/>
                          <w:rPr>
                            <w:b/>
                            <w:sz w:val="16"/>
                          </w:rPr>
                        </w:pPr>
                        <w:r>
                          <w:rPr>
                            <w:b/>
                            <w:sz w:val="16"/>
                          </w:rPr>
                          <w:t>Percent</w:t>
                        </w:r>
                      </w:p>
                    </w:tc>
                    <w:tc>
                      <w:tcPr>
                        <w:tcW w:w="1119" w:type="dxa"/>
                        <w:tcBorders>
                          <w:left w:val="single" w:sz="8" w:space="0" w:color="000000"/>
                        </w:tcBorders>
                      </w:tcPr>
                      <w:p>
                        <w:pPr>
                          <w:pStyle w:val="TableParagraph"/>
                          <w:spacing w:line="310" w:lineRule="atLeast" w:before="9"/>
                          <w:ind w:left="302" w:hanging="135"/>
                          <w:jc w:val="left"/>
                          <w:rPr>
                            <w:b/>
                            <w:sz w:val="16"/>
                          </w:rPr>
                        </w:pPr>
                        <w:r>
                          <w:rPr>
                            <w:b/>
                            <w:w w:val="95"/>
                            <w:sz w:val="16"/>
                          </w:rPr>
                          <w:t>Cumulative </w:t>
                        </w:r>
                        <w:r>
                          <w:rPr>
                            <w:b/>
                            <w:sz w:val="16"/>
                          </w:rPr>
                          <w:t>Percent</w:t>
                        </w:r>
                      </w:p>
                    </w:tc>
                  </w:tr>
                  <w:tr>
                    <w:trPr>
                      <w:trHeight w:val="412" w:hRule="atLeast"/>
                    </w:trPr>
                    <w:tc>
                      <w:tcPr>
                        <w:tcW w:w="601" w:type="dxa"/>
                        <w:tcBorders>
                          <w:bottom w:val="nil"/>
                          <w:right w:val="nil"/>
                        </w:tcBorders>
                      </w:tcPr>
                      <w:p>
                        <w:pPr>
                          <w:pStyle w:val="TableParagraph"/>
                          <w:spacing w:before="136"/>
                          <w:ind w:left="116"/>
                          <w:jc w:val="left"/>
                          <w:rPr>
                            <w:b/>
                            <w:sz w:val="16"/>
                          </w:rPr>
                        </w:pPr>
                        <w:r>
                          <w:rPr>
                            <w:b/>
                            <w:sz w:val="16"/>
                          </w:rPr>
                          <w:t>Valid</w:t>
                        </w:r>
                      </w:p>
                    </w:tc>
                    <w:tc>
                      <w:tcPr>
                        <w:tcW w:w="1008" w:type="dxa"/>
                        <w:tcBorders>
                          <w:left w:val="nil"/>
                          <w:bottom w:val="nil"/>
                        </w:tcBorders>
                      </w:tcPr>
                      <w:p>
                        <w:pPr>
                          <w:pStyle w:val="TableParagraph"/>
                          <w:spacing w:before="9"/>
                          <w:jc w:val="left"/>
                          <w:rPr>
                            <w:sz w:val="13"/>
                          </w:rPr>
                        </w:pPr>
                      </w:p>
                      <w:p>
                        <w:pPr>
                          <w:pStyle w:val="TableParagraph"/>
                          <w:spacing w:before="1"/>
                          <w:ind w:right="107"/>
                          <w:jc w:val="right"/>
                          <w:rPr>
                            <w:b/>
                            <w:sz w:val="14"/>
                          </w:rPr>
                        </w:pPr>
                        <w:r>
                          <w:rPr>
                            <w:b/>
                            <w:sz w:val="14"/>
                          </w:rPr>
                          <w:t>Oui, souvent</w:t>
                        </w:r>
                      </w:p>
                    </w:tc>
                    <w:tc>
                      <w:tcPr>
                        <w:tcW w:w="883" w:type="dxa"/>
                        <w:tcBorders>
                          <w:bottom w:val="nil"/>
                          <w:right w:val="single" w:sz="8" w:space="0" w:color="000000"/>
                        </w:tcBorders>
                      </w:tcPr>
                      <w:p>
                        <w:pPr>
                          <w:pStyle w:val="TableParagraph"/>
                          <w:spacing w:before="136"/>
                          <w:ind w:left="104" w:right="64"/>
                          <w:rPr>
                            <w:b/>
                            <w:sz w:val="16"/>
                          </w:rPr>
                        </w:pPr>
                        <w:r>
                          <w:rPr>
                            <w:b/>
                            <w:sz w:val="16"/>
                          </w:rPr>
                          <w:t>101</w:t>
                        </w:r>
                      </w:p>
                    </w:tc>
                    <w:tc>
                      <w:tcPr>
                        <w:tcW w:w="783" w:type="dxa"/>
                        <w:tcBorders>
                          <w:left w:val="single" w:sz="8" w:space="0" w:color="000000"/>
                          <w:bottom w:val="nil"/>
                          <w:right w:val="single" w:sz="8" w:space="0" w:color="000000"/>
                        </w:tcBorders>
                      </w:tcPr>
                      <w:p>
                        <w:pPr>
                          <w:pStyle w:val="TableParagraph"/>
                          <w:spacing w:before="136"/>
                          <w:ind w:left="115" w:right="80"/>
                          <w:rPr>
                            <w:b/>
                            <w:sz w:val="16"/>
                          </w:rPr>
                        </w:pPr>
                        <w:r>
                          <w:rPr>
                            <w:b/>
                            <w:sz w:val="16"/>
                          </w:rPr>
                          <w:t>24,5</w:t>
                        </w:r>
                      </w:p>
                    </w:tc>
                    <w:tc>
                      <w:tcPr>
                        <w:tcW w:w="1119" w:type="dxa"/>
                        <w:tcBorders>
                          <w:left w:val="single" w:sz="8" w:space="0" w:color="000000"/>
                          <w:bottom w:val="nil"/>
                        </w:tcBorders>
                      </w:tcPr>
                      <w:p>
                        <w:pPr>
                          <w:pStyle w:val="TableParagraph"/>
                          <w:spacing w:before="136"/>
                          <w:ind w:left="364" w:right="317"/>
                          <w:rPr>
                            <w:b/>
                            <w:sz w:val="16"/>
                          </w:rPr>
                        </w:pPr>
                        <w:r>
                          <w:rPr>
                            <w:b/>
                            <w:sz w:val="16"/>
                          </w:rPr>
                          <w:t>26,9</w:t>
                        </w:r>
                      </w:p>
                    </w:tc>
                  </w:tr>
                  <w:tr>
                    <w:trPr>
                      <w:trHeight w:val="359" w:hRule="atLeast"/>
                    </w:trPr>
                    <w:tc>
                      <w:tcPr>
                        <w:tcW w:w="601" w:type="dxa"/>
                        <w:tcBorders>
                          <w:top w:val="nil"/>
                          <w:bottom w:val="nil"/>
                          <w:right w:val="nil"/>
                        </w:tcBorders>
                      </w:tcPr>
                      <w:p>
                        <w:pPr>
                          <w:pStyle w:val="TableParagraph"/>
                          <w:jc w:val="left"/>
                          <w:rPr>
                            <w:sz w:val="22"/>
                          </w:rPr>
                        </w:pPr>
                      </w:p>
                    </w:tc>
                    <w:tc>
                      <w:tcPr>
                        <w:tcW w:w="1008" w:type="dxa"/>
                        <w:tcBorders>
                          <w:top w:val="nil"/>
                          <w:left w:val="nil"/>
                          <w:bottom w:val="nil"/>
                        </w:tcBorders>
                      </w:tcPr>
                      <w:p>
                        <w:pPr>
                          <w:pStyle w:val="TableParagraph"/>
                          <w:spacing w:before="83"/>
                          <w:ind w:right="73"/>
                          <w:jc w:val="right"/>
                          <w:rPr>
                            <w:b/>
                            <w:sz w:val="16"/>
                          </w:rPr>
                        </w:pPr>
                        <w:r>
                          <w:rPr>
                            <w:b/>
                            <w:sz w:val="16"/>
                          </w:rPr>
                          <w:t>Oui, parfois</w:t>
                        </w:r>
                      </w:p>
                    </w:tc>
                    <w:tc>
                      <w:tcPr>
                        <w:tcW w:w="883" w:type="dxa"/>
                        <w:tcBorders>
                          <w:top w:val="nil"/>
                          <w:bottom w:val="nil"/>
                          <w:right w:val="single" w:sz="8" w:space="0" w:color="000000"/>
                        </w:tcBorders>
                      </w:tcPr>
                      <w:p>
                        <w:pPr>
                          <w:pStyle w:val="TableParagraph"/>
                          <w:spacing w:before="83"/>
                          <w:ind w:left="104" w:right="64"/>
                          <w:rPr>
                            <w:b/>
                            <w:sz w:val="16"/>
                          </w:rPr>
                        </w:pPr>
                        <w:r>
                          <w:rPr>
                            <w:b/>
                            <w:sz w:val="16"/>
                          </w:rPr>
                          <w:t>219</w:t>
                        </w:r>
                      </w:p>
                    </w:tc>
                    <w:tc>
                      <w:tcPr>
                        <w:tcW w:w="783" w:type="dxa"/>
                        <w:tcBorders>
                          <w:top w:val="nil"/>
                          <w:left w:val="single" w:sz="8" w:space="0" w:color="000000"/>
                          <w:bottom w:val="nil"/>
                          <w:right w:val="single" w:sz="8" w:space="0" w:color="000000"/>
                        </w:tcBorders>
                      </w:tcPr>
                      <w:p>
                        <w:pPr>
                          <w:pStyle w:val="TableParagraph"/>
                          <w:spacing w:before="83"/>
                          <w:ind w:left="115" w:right="80"/>
                          <w:rPr>
                            <w:b/>
                            <w:sz w:val="16"/>
                          </w:rPr>
                        </w:pPr>
                        <w:r>
                          <w:rPr>
                            <w:b/>
                            <w:sz w:val="16"/>
                          </w:rPr>
                          <w:t>53,2</w:t>
                        </w:r>
                      </w:p>
                    </w:tc>
                    <w:tc>
                      <w:tcPr>
                        <w:tcW w:w="1119" w:type="dxa"/>
                        <w:tcBorders>
                          <w:top w:val="nil"/>
                          <w:left w:val="single" w:sz="8" w:space="0" w:color="000000"/>
                          <w:bottom w:val="nil"/>
                        </w:tcBorders>
                      </w:tcPr>
                      <w:p>
                        <w:pPr>
                          <w:pStyle w:val="TableParagraph"/>
                          <w:spacing w:before="83"/>
                          <w:ind w:left="364" w:right="317"/>
                          <w:rPr>
                            <w:b/>
                            <w:sz w:val="16"/>
                          </w:rPr>
                        </w:pPr>
                        <w:r>
                          <w:rPr>
                            <w:b/>
                            <w:sz w:val="16"/>
                          </w:rPr>
                          <w:t>85,1</w:t>
                        </w:r>
                      </w:p>
                    </w:tc>
                  </w:tr>
                  <w:tr>
                    <w:trPr>
                      <w:trHeight w:val="360" w:hRule="atLeast"/>
                    </w:trPr>
                    <w:tc>
                      <w:tcPr>
                        <w:tcW w:w="601" w:type="dxa"/>
                        <w:tcBorders>
                          <w:top w:val="nil"/>
                          <w:bottom w:val="nil"/>
                          <w:right w:val="nil"/>
                        </w:tcBorders>
                      </w:tcPr>
                      <w:p>
                        <w:pPr>
                          <w:pStyle w:val="TableParagraph"/>
                          <w:jc w:val="left"/>
                          <w:rPr>
                            <w:sz w:val="22"/>
                          </w:rPr>
                        </w:pPr>
                      </w:p>
                    </w:tc>
                    <w:tc>
                      <w:tcPr>
                        <w:tcW w:w="1008" w:type="dxa"/>
                        <w:tcBorders>
                          <w:top w:val="nil"/>
                          <w:left w:val="nil"/>
                          <w:bottom w:val="nil"/>
                        </w:tcBorders>
                      </w:tcPr>
                      <w:p>
                        <w:pPr>
                          <w:pStyle w:val="TableParagraph"/>
                          <w:spacing w:before="84"/>
                          <w:ind w:right="78"/>
                          <w:jc w:val="right"/>
                          <w:rPr>
                            <w:b/>
                            <w:sz w:val="16"/>
                          </w:rPr>
                        </w:pPr>
                        <w:r>
                          <w:rPr>
                            <w:b/>
                            <w:sz w:val="16"/>
                          </w:rPr>
                          <w:t>Non, jamais</w:t>
                        </w:r>
                      </w:p>
                    </w:tc>
                    <w:tc>
                      <w:tcPr>
                        <w:tcW w:w="883" w:type="dxa"/>
                        <w:tcBorders>
                          <w:top w:val="nil"/>
                          <w:bottom w:val="nil"/>
                          <w:right w:val="single" w:sz="8" w:space="0" w:color="000000"/>
                        </w:tcBorders>
                      </w:tcPr>
                      <w:p>
                        <w:pPr>
                          <w:pStyle w:val="TableParagraph"/>
                          <w:spacing w:before="84"/>
                          <w:ind w:left="104" w:right="59"/>
                          <w:rPr>
                            <w:b/>
                            <w:sz w:val="16"/>
                          </w:rPr>
                        </w:pPr>
                        <w:r>
                          <w:rPr>
                            <w:b/>
                            <w:sz w:val="16"/>
                          </w:rPr>
                          <w:t>56</w:t>
                        </w:r>
                      </w:p>
                    </w:tc>
                    <w:tc>
                      <w:tcPr>
                        <w:tcW w:w="783" w:type="dxa"/>
                        <w:tcBorders>
                          <w:top w:val="nil"/>
                          <w:left w:val="single" w:sz="8" w:space="0" w:color="000000"/>
                          <w:bottom w:val="nil"/>
                          <w:right w:val="single" w:sz="8" w:space="0" w:color="000000"/>
                        </w:tcBorders>
                      </w:tcPr>
                      <w:p>
                        <w:pPr>
                          <w:pStyle w:val="TableParagraph"/>
                          <w:spacing w:before="84"/>
                          <w:ind w:left="115" w:right="80"/>
                          <w:rPr>
                            <w:b/>
                            <w:sz w:val="16"/>
                          </w:rPr>
                        </w:pPr>
                        <w:r>
                          <w:rPr>
                            <w:b/>
                            <w:sz w:val="16"/>
                          </w:rPr>
                          <w:t>13,6</w:t>
                        </w:r>
                      </w:p>
                    </w:tc>
                    <w:tc>
                      <w:tcPr>
                        <w:tcW w:w="1119" w:type="dxa"/>
                        <w:tcBorders>
                          <w:top w:val="nil"/>
                          <w:left w:val="single" w:sz="8" w:space="0" w:color="000000"/>
                          <w:bottom w:val="nil"/>
                        </w:tcBorders>
                      </w:tcPr>
                      <w:p>
                        <w:pPr>
                          <w:pStyle w:val="TableParagraph"/>
                          <w:spacing w:before="84"/>
                          <w:ind w:left="364" w:right="322"/>
                          <w:rPr>
                            <w:b/>
                            <w:sz w:val="16"/>
                          </w:rPr>
                        </w:pPr>
                        <w:r>
                          <w:rPr>
                            <w:b/>
                            <w:sz w:val="16"/>
                          </w:rPr>
                          <w:t>100,0</w:t>
                        </w:r>
                      </w:p>
                    </w:tc>
                  </w:tr>
                  <w:tr>
                    <w:trPr>
                      <w:trHeight w:val="340" w:hRule="atLeast"/>
                    </w:trPr>
                    <w:tc>
                      <w:tcPr>
                        <w:tcW w:w="601" w:type="dxa"/>
                        <w:tcBorders>
                          <w:top w:val="nil"/>
                          <w:bottom w:val="nil"/>
                          <w:right w:val="nil"/>
                        </w:tcBorders>
                      </w:tcPr>
                      <w:p>
                        <w:pPr>
                          <w:pStyle w:val="TableParagraph"/>
                          <w:jc w:val="left"/>
                          <w:rPr>
                            <w:sz w:val="22"/>
                          </w:rPr>
                        </w:pPr>
                      </w:p>
                    </w:tc>
                    <w:tc>
                      <w:tcPr>
                        <w:tcW w:w="1008" w:type="dxa"/>
                        <w:tcBorders>
                          <w:top w:val="nil"/>
                          <w:left w:val="nil"/>
                          <w:bottom w:val="nil"/>
                        </w:tcBorders>
                      </w:tcPr>
                      <w:p>
                        <w:pPr>
                          <w:pStyle w:val="TableParagraph"/>
                          <w:spacing w:before="84"/>
                          <w:ind w:left="321"/>
                          <w:jc w:val="left"/>
                          <w:rPr>
                            <w:b/>
                            <w:sz w:val="16"/>
                          </w:rPr>
                        </w:pPr>
                        <w:r>
                          <w:rPr>
                            <w:b/>
                            <w:sz w:val="16"/>
                          </w:rPr>
                          <w:t>Total</w:t>
                        </w:r>
                      </w:p>
                    </w:tc>
                    <w:tc>
                      <w:tcPr>
                        <w:tcW w:w="883" w:type="dxa"/>
                        <w:tcBorders>
                          <w:top w:val="nil"/>
                          <w:bottom w:val="nil"/>
                          <w:right w:val="single" w:sz="8" w:space="0" w:color="000000"/>
                        </w:tcBorders>
                      </w:tcPr>
                      <w:p>
                        <w:pPr>
                          <w:pStyle w:val="TableParagraph"/>
                          <w:spacing w:before="84"/>
                          <w:ind w:left="104" w:right="64"/>
                          <w:rPr>
                            <w:b/>
                            <w:sz w:val="16"/>
                          </w:rPr>
                        </w:pPr>
                        <w:r>
                          <w:rPr>
                            <w:b/>
                            <w:sz w:val="16"/>
                          </w:rPr>
                          <w:t>376</w:t>
                        </w:r>
                      </w:p>
                    </w:tc>
                    <w:tc>
                      <w:tcPr>
                        <w:tcW w:w="783" w:type="dxa"/>
                        <w:tcBorders>
                          <w:top w:val="nil"/>
                          <w:left w:val="single" w:sz="8" w:space="0" w:color="000000"/>
                          <w:bottom w:val="nil"/>
                          <w:right w:val="single" w:sz="8" w:space="0" w:color="000000"/>
                        </w:tcBorders>
                      </w:tcPr>
                      <w:p>
                        <w:pPr>
                          <w:pStyle w:val="TableParagraph"/>
                          <w:spacing w:before="84"/>
                          <w:ind w:left="115" w:right="80"/>
                          <w:rPr>
                            <w:b/>
                            <w:sz w:val="16"/>
                          </w:rPr>
                        </w:pPr>
                        <w:r>
                          <w:rPr>
                            <w:b/>
                            <w:sz w:val="16"/>
                          </w:rPr>
                          <w:t>91,3</w:t>
                        </w:r>
                      </w:p>
                    </w:tc>
                    <w:tc>
                      <w:tcPr>
                        <w:tcW w:w="1119" w:type="dxa"/>
                        <w:tcBorders>
                          <w:top w:val="nil"/>
                          <w:left w:val="single" w:sz="8" w:space="0" w:color="000000"/>
                          <w:bottom w:val="nil"/>
                        </w:tcBorders>
                      </w:tcPr>
                      <w:p>
                        <w:pPr>
                          <w:pStyle w:val="TableParagraph"/>
                          <w:jc w:val="left"/>
                          <w:rPr>
                            <w:sz w:val="22"/>
                          </w:rPr>
                        </w:pPr>
                      </w:p>
                    </w:tc>
                  </w:tr>
                  <w:tr>
                    <w:trPr>
                      <w:trHeight w:val="321" w:hRule="atLeast"/>
                    </w:trPr>
                    <w:tc>
                      <w:tcPr>
                        <w:tcW w:w="601" w:type="dxa"/>
                        <w:tcBorders>
                          <w:top w:val="nil"/>
                          <w:bottom w:val="nil"/>
                          <w:right w:val="nil"/>
                        </w:tcBorders>
                      </w:tcPr>
                      <w:p>
                        <w:pPr>
                          <w:pStyle w:val="TableParagraph"/>
                          <w:jc w:val="left"/>
                          <w:rPr>
                            <w:sz w:val="22"/>
                          </w:rPr>
                        </w:pPr>
                      </w:p>
                    </w:tc>
                    <w:tc>
                      <w:tcPr>
                        <w:tcW w:w="1008" w:type="dxa"/>
                        <w:tcBorders>
                          <w:top w:val="nil"/>
                          <w:left w:val="nil"/>
                          <w:bottom w:val="nil"/>
                        </w:tcBorders>
                      </w:tcPr>
                      <w:p>
                        <w:pPr>
                          <w:pStyle w:val="TableParagraph"/>
                          <w:spacing w:before="65"/>
                          <w:ind w:left="239"/>
                          <w:jc w:val="left"/>
                          <w:rPr>
                            <w:b/>
                            <w:sz w:val="16"/>
                          </w:rPr>
                        </w:pPr>
                        <w:r>
                          <w:rPr>
                            <w:b/>
                            <w:sz w:val="16"/>
                          </w:rPr>
                          <w:t>Missing</w:t>
                        </w:r>
                      </w:p>
                    </w:tc>
                    <w:tc>
                      <w:tcPr>
                        <w:tcW w:w="883" w:type="dxa"/>
                        <w:tcBorders>
                          <w:top w:val="nil"/>
                          <w:bottom w:val="nil"/>
                          <w:right w:val="single" w:sz="8" w:space="0" w:color="000000"/>
                        </w:tcBorders>
                      </w:tcPr>
                      <w:p>
                        <w:pPr>
                          <w:pStyle w:val="TableParagraph"/>
                          <w:spacing w:before="65"/>
                          <w:ind w:left="104" w:right="59"/>
                          <w:rPr>
                            <w:b/>
                            <w:sz w:val="16"/>
                          </w:rPr>
                        </w:pPr>
                        <w:r>
                          <w:rPr>
                            <w:b/>
                            <w:sz w:val="16"/>
                          </w:rPr>
                          <w:t>36</w:t>
                        </w:r>
                      </w:p>
                    </w:tc>
                    <w:tc>
                      <w:tcPr>
                        <w:tcW w:w="783" w:type="dxa"/>
                        <w:tcBorders>
                          <w:top w:val="nil"/>
                          <w:left w:val="single" w:sz="8" w:space="0" w:color="000000"/>
                          <w:bottom w:val="nil"/>
                          <w:right w:val="single" w:sz="8" w:space="0" w:color="000000"/>
                        </w:tcBorders>
                      </w:tcPr>
                      <w:p>
                        <w:pPr>
                          <w:pStyle w:val="TableParagraph"/>
                          <w:spacing w:before="65"/>
                          <w:ind w:left="110" w:right="80"/>
                          <w:rPr>
                            <w:b/>
                            <w:sz w:val="16"/>
                          </w:rPr>
                        </w:pPr>
                        <w:r>
                          <w:rPr>
                            <w:b/>
                            <w:sz w:val="16"/>
                          </w:rPr>
                          <w:t>8,7</w:t>
                        </w:r>
                      </w:p>
                    </w:tc>
                    <w:tc>
                      <w:tcPr>
                        <w:tcW w:w="1119" w:type="dxa"/>
                        <w:tcBorders>
                          <w:top w:val="nil"/>
                          <w:left w:val="single" w:sz="8" w:space="0" w:color="000000"/>
                          <w:bottom w:val="nil"/>
                        </w:tcBorders>
                      </w:tcPr>
                      <w:p>
                        <w:pPr>
                          <w:pStyle w:val="TableParagraph"/>
                          <w:jc w:val="left"/>
                          <w:rPr>
                            <w:sz w:val="22"/>
                          </w:rPr>
                        </w:pPr>
                      </w:p>
                    </w:tc>
                  </w:tr>
                  <w:tr>
                    <w:trPr>
                      <w:trHeight w:val="244" w:hRule="atLeast"/>
                    </w:trPr>
                    <w:tc>
                      <w:tcPr>
                        <w:tcW w:w="601" w:type="dxa"/>
                        <w:tcBorders>
                          <w:top w:val="nil"/>
                          <w:right w:val="nil"/>
                        </w:tcBorders>
                      </w:tcPr>
                      <w:p>
                        <w:pPr>
                          <w:pStyle w:val="TableParagraph"/>
                          <w:jc w:val="left"/>
                          <w:rPr>
                            <w:sz w:val="16"/>
                          </w:rPr>
                        </w:pPr>
                      </w:p>
                    </w:tc>
                    <w:tc>
                      <w:tcPr>
                        <w:tcW w:w="1008" w:type="dxa"/>
                        <w:tcBorders>
                          <w:top w:val="nil"/>
                          <w:left w:val="nil"/>
                        </w:tcBorders>
                      </w:tcPr>
                      <w:p>
                        <w:pPr>
                          <w:pStyle w:val="TableParagraph"/>
                          <w:spacing w:line="160" w:lineRule="exact" w:before="65"/>
                          <w:ind w:left="42"/>
                          <w:jc w:val="left"/>
                          <w:rPr>
                            <w:b/>
                            <w:sz w:val="16"/>
                          </w:rPr>
                        </w:pPr>
                        <w:r>
                          <w:rPr>
                            <w:b/>
                            <w:sz w:val="16"/>
                          </w:rPr>
                          <w:t>Total</w:t>
                        </w:r>
                      </w:p>
                    </w:tc>
                    <w:tc>
                      <w:tcPr>
                        <w:tcW w:w="883" w:type="dxa"/>
                        <w:tcBorders>
                          <w:top w:val="nil"/>
                          <w:right w:val="single" w:sz="8" w:space="0" w:color="000000"/>
                        </w:tcBorders>
                      </w:tcPr>
                      <w:p>
                        <w:pPr>
                          <w:pStyle w:val="TableParagraph"/>
                          <w:spacing w:line="160" w:lineRule="exact" w:before="65"/>
                          <w:ind w:left="104" w:right="64"/>
                          <w:rPr>
                            <w:b/>
                            <w:sz w:val="16"/>
                          </w:rPr>
                        </w:pPr>
                        <w:r>
                          <w:rPr>
                            <w:b/>
                            <w:sz w:val="16"/>
                          </w:rPr>
                          <w:t>412</w:t>
                        </w:r>
                      </w:p>
                    </w:tc>
                    <w:tc>
                      <w:tcPr>
                        <w:tcW w:w="783" w:type="dxa"/>
                        <w:tcBorders>
                          <w:top w:val="nil"/>
                          <w:left w:val="single" w:sz="8" w:space="0" w:color="000000"/>
                          <w:right w:val="single" w:sz="8" w:space="0" w:color="000000"/>
                        </w:tcBorders>
                      </w:tcPr>
                      <w:p>
                        <w:pPr>
                          <w:pStyle w:val="TableParagraph"/>
                          <w:spacing w:line="160" w:lineRule="exact" w:before="65"/>
                          <w:ind w:left="117" w:right="78"/>
                          <w:rPr>
                            <w:b/>
                            <w:sz w:val="16"/>
                          </w:rPr>
                        </w:pPr>
                        <w:r>
                          <w:rPr>
                            <w:b/>
                            <w:sz w:val="16"/>
                          </w:rPr>
                          <w:t>100,0</w:t>
                        </w:r>
                      </w:p>
                    </w:tc>
                    <w:tc>
                      <w:tcPr>
                        <w:tcW w:w="1119" w:type="dxa"/>
                        <w:tcBorders>
                          <w:top w:val="nil"/>
                          <w:left w:val="single" w:sz="8" w:space="0" w:color="000000"/>
                        </w:tcBorders>
                      </w:tcPr>
                      <w:p>
                        <w:pPr>
                          <w:pStyle w:val="TableParagraph"/>
                          <w:jc w:val="left"/>
                          <w:rPr>
                            <w:sz w:val="16"/>
                          </w:rPr>
                        </w:pPr>
                      </w:p>
                    </w:tc>
                  </w:tr>
                </w:tbl>
                <w:p>
                  <w:pPr>
                    <w:pStyle w:val="BodyText"/>
                  </w:pPr>
                </w:p>
              </w:txbxContent>
            </v:textbox>
          </v:shape>
        </w:pict>
      </w:r>
      <w:r>
        <w:rPr>
          <w:sz w:val="20"/>
        </w:rPr>
      </w:r>
      <w:r>
        <w:rPr>
          <w:sz w:val="20"/>
        </w:rPr>
        <w:tab/>
      </w:r>
      <w:r>
        <w:rPr>
          <w:position w:val="8"/>
          <w:sz w:val="20"/>
        </w:rPr>
        <w:pict>
          <v:group style="width:222.75pt;height:138.15pt;mso-position-horizontal-relative:char;mso-position-vertical-relative:line" coordorigin="0,0" coordsize="4455,2763">
            <v:line style="position:absolute" from="3584,1515" to="4228,1515" stroked="true" strokeweight=".75pt" strokecolor="#d9d9d9">
              <v:stroke dashstyle="solid"/>
            </v:line>
            <v:line style="position:absolute" from="2715,1515" to="3310,1515" stroked="true" strokeweight=".75pt" strokecolor="#d9d9d9">
              <v:stroke dashstyle="solid"/>
            </v:line>
            <v:line style="position:absolute" from="2364,1515" to="2441,1515" stroked="true" strokeweight=".75pt" strokecolor="#d9d9d9">
              <v:stroke dashstyle="solid"/>
            </v:line>
            <v:line style="position:absolute" from="1150,1515" to="2095,1515" stroked="true" strokeweight=".75pt" strokecolor="#d9d9d9">
              <v:stroke dashstyle="solid"/>
            </v:line>
            <v:line style="position:absolute" from="578,1515" to="876,1515" stroked="true" strokeweight=".75pt" strokecolor="#d9d9d9">
              <v:stroke dashstyle="solid"/>
            </v:line>
            <v:line style="position:absolute" from="1150,1193" to="2095,1193" stroked="true" strokeweight=".75pt" strokecolor="#d9d9d9">
              <v:stroke dashstyle="solid"/>
            </v:line>
            <v:line style="position:absolute" from="578,1193" to="876,1193" stroked="true" strokeweight=".75pt" strokecolor="#d9d9d9">
              <v:stroke dashstyle="solid"/>
            </v:line>
            <v:rect style="position:absolute;left:876;top:1183;width:274;height:651" filled="true" fillcolor="#5b9bd4" stroked="false">
              <v:fill type="solid"/>
            </v:rect>
            <v:line style="position:absolute" from="2364,1193" to="4227,1193" stroked="true" strokeweight=".75pt" strokecolor="#d9d9d9">
              <v:stroke dashstyle="solid"/>
            </v:line>
            <v:line style="position:absolute" from="2364,872" to="4227,872" stroked="true" strokeweight=".75pt" strokecolor="#d9d9d9">
              <v:stroke dashstyle="solid"/>
            </v:line>
            <v:line style="position:absolute" from="578,872" to="2096,872" stroked="true" strokeweight=".75pt" strokecolor="#d9d9d9">
              <v:stroke dashstyle="solid"/>
            </v:line>
            <v:line style="position:absolute" from="2364,550" to="4227,550" stroked="true" strokeweight=".75pt" strokecolor="#d9d9d9">
              <v:stroke dashstyle="solid"/>
            </v:line>
            <v:line style="position:absolute" from="578,550" to="2096,550" stroked="true" strokeweight=".75pt" strokecolor="#d9d9d9">
              <v:stroke dashstyle="solid"/>
            </v:line>
            <v:rect style="position:absolute;left:2095;top:425;width:269;height:1409" filled="true" fillcolor="#5b9bd4" stroked="false">
              <v:fill type="solid"/>
            </v:rect>
            <v:rect style="position:absolute;left:3309;top:1471;width:274;height:363" filled="true" fillcolor="#5b9bd4" stroked="false">
              <v:fill type="solid"/>
            </v:rect>
            <v:rect style="position:absolute;left:1221;top:1678;width:274;height:156" filled="true" fillcolor="#ec7c30" stroked="false">
              <v:fill type="solid"/>
            </v:rect>
            <v:rect style="position:absolute;left:2441;top:1491;width:274;height:343" filled="true" fillcolor="#ec7c30" stroked="false">
              <v:fill type="solid"/>
            </v:rect>
            <v:line style="position:absolute" from="3655,1790" to="3929,1790" stroked="true" strokeweight="4.43pt" strokecolor="#ec7c30">
              <v:stroke dashstyle="solid"/>
            </v:line>
            <v:line style="position:absolute" from="578,1834" to="4228,1834" stroked="true" strokeweight=".75pt" strokecolor="#d9d9d9">
              <v:stroke dashstyle="solid"/>
            </v:line>
            <v:shape style="position:absolute;left:7;top:7;width:4440;height:2748" type="#_x0000_t202" filled="false" stroked="true" strokeweight=".75pt" strokecolor="#d9d9d9">
              <v:textbox inset="0,0,0,0">
                <w:txbxContent>
                  <w:p>
                    <w:pPr>
                      <w:spacing w:before="97"/>
                      <w:ind w:left="0" w:right="4024" w:firstLine="0"/>
                      <w:jc w:val="right"/>
                      <w:rPr>
                        <w:rFonts w:ascii="Calibri"/>
                        <w:sz w:val="18"/>
                      </w:rPr>
                    </w:pPr>
                    <w:r>
                      <w:rPr>
                        <w:rFonts w:ascii="Calibri"/>
                        <w:color w:val="585858"/>
                        <w:spacing w:val="-3"/>
                        <w:sz w:val="18"/>
                      </w:rPr>
                      <w:t>250</w:t>
                    </w:r>
                  </w:p>
                  <w:p>
                    <w:pPr>
                      <w:spacing w:before="102"/>
                      <w:ind w:left="0" w:right="4024" w:firstLine="0"/>
                      <w:jc w:val="right"/>
                      <w:rPr>
                        <w:rFonts w:ascii="Calibri"/>
                        <w:sz w:val="18"/>
                      </w:rPr>
                    </w:pPr>
                    <w:r>
                      <w:rPr>
                        <w:rFonts w:ascii="Calibri"/>
                        <w:color w:val="585858"/>
                        <w:spacing w:val="-3"/>
                        <w:sz w:val="18"/>
                      </w:rPr>
                      <w:t>200</w:t>
                    </w:r>
                  </w:p>
                  <w:p>
                    <w:pPr>
                      <w:spacing w:before="101"/>
                      <w:ind w:left="0" w:right="4024" w:firstLine="0"/>
                      <w:jc w:val="right"/>
                      <w:rPr>
                        <w:rFonts w:ascii="Calibri"/>
                        <w:sz w:val="18"/>
                      </w:rPr>
                    </w:pPr>
                    <w:r>
                      <w:rPr>
                        <w:rFonts w:ascii="Calibri"/>
                        <w:color w:val="585858"/>
                        <w:spacing w:val="-3"/>
                        <w:sz w:val="18"/>
                      </w:rPr>
                      <w:t>150</w:t>
                    </w:r>
                  </w:p>
                  <w:p>
                    <w:pPr>
                      <w:spacing w:before="102"/>
                      <w:ind w:left="0" w:right="4024" w:firstLine="0"/>
                      <w:jc w:val="right"/>
                      <w:rPr>
                        <w:rFonts w:ascii="Calibri"/>
                        <w:sz w:val="18"/>
                      </w:rPr>
                    </w:pPr>
                    <w:r>
                      <w:rPr>
                        <w:rFonts w:ascii="Calibri"/>
                        <w:color w:val="585858"/>
                        <w:spacing w:val="-3"/>
                        <w:sz w:val="18"/>
                      </w:rPr>
                      <w:t>100</w:t>
                    </w:r>
                  </w:p>
                  <w:p>
                    <w:pPr>
                      <w:spacing w:before="101"/>
                      <w:ind w:left="0" w:right="4024" w:firstLine="0"/>
                      <w:jc w:val="right"/>
                      <w:rPr>
                        <w:rFonts w:ascii="Calibri"/>
                        <w:sz w:val="18"/>
                      </w:rPr>
                    </w:pPr>
                    <w:r>
                      <w:rPr>
                        <w:rFonts w:ascii="Calibri"/>
                        <w:color w:val="585858"/>
                        <w:spacing w:val="-2"/>
                        <w:sz w:val="18"/>
                      </w:rPr>
                      <w:t>50</w:t>
                    </w:r>
                  </w:p>
                  <w:p>
                    <w:pPr>
                      <w:spacing w:before="102"/>
                      <w:ind w:left="0" w:right="4023" w:firstLine="0"/>
                      <w:jc w:val="right"/>
                      <w:rPr>
                        <w:rFonts w:ascii="Calibri"/>
                        <w:sz w:val="18"/>
                      </w:rPr>
                    </w:pPr>
                    <w:r>
                      <w:rPr>
                        <w:rFonts w:ascii="Calibri"/>
                        <w:color w:val="585858"/>
                        <w:w w:val="101"/>
                        <w:sz w:val="18"/>
                      </w:rPr>
                      <w:t>0</w:t>
                    </w:r>
                  </w:p>
                  <w:p>
                    <w:pPr>
                      <w:tabs>
                        <w:tab w:pos="1968" w:val="left" w:leader="none"/>
                        <w:tab w:pos="2578" w:val="left" w:leader="none"/>
                        <w:tab w:pos="3176" w:val="left" w:leader="none"/>
                      </w:tabs>
                      <w:spacing w:line="434" w:lineRule="auto" w:before="15"/>
                      <w:ind w:left="1499" w:right="383" w:hanging="789"/>
                      <w:jc w:val="left"/>
                      <w:rPr>
                        <w:rFonts w:ascii="Calibri"/>
                        <w:sz w:val="18"/>
                      </w:rPr>
                    </w:pPr>
                    <w:r>
                      <w:rPr>
                        <w:rFonts w:ascii="Calibri"/>
                        <w:color w:val="585858"/>
                        <w:sz w:val="18"/>
                      </w:rPr>
                      <w:t>Oui,</w:t>
                    </w:r>
                    <w:r>
                      <w:rPr>
                        <w:rFonts w:ascii="Calibri"/>
                        <w:color w:val="585858"/>
                        <w:spacing w:val="-2"/>
                        <w:sz w:val="18"/>
                      </w:rPr>
                      <w:t> </w:t>
                    </w:r>
                    <w:r>
                      <w:rPr>
                        <w:rFonts w:ascii="Calibri"/>
                        <w:color w:val="585858"/>
                        <w:sz w:val="18"/>
                      </w:rPr>
                      <w:t>souvent</w:t>
                      <w:tab/>
                      <w:t>Oui,</w:t>
                    </w:r>
                    <w:r>
                      <w:rPr>
                        <w:rFonts w:ascii="Calibri"/>
                        <w:color w:val="585858"/>
                        <w:spacing w:val="-1"/>
                        <w:sz w:val="18"/>
                      </w:rPr>
                      <w:t> </w:t>
                    </w:r>
                    <w:r>
                      <w:rPr>
                        <w:rFonts w:ascii="Calibri"/>
                        <w:color w:val="585858"/>
                        <w:sz w:val="18"/>
                      </w:rPr>
                      <w:t>parfois</w:t>
                      <w:tab/>
                      <w:t>Non, </w:t>
                    </w:r>
                    <w:r>
                      <w:rPr>
                        <w:rFonts w:ascii="Calibri"/>
                        <w:color w:val="585858"/>
                        <w:spacing w:val="-4"/>
                        <w:sz w:val="18"/>
                      </w:rPr>
                      <w:t>jamais </w:t>
                    </w:r>
                    <w:r>
                      <w:rPr>
                        <w:rFonts w:ascii="Calibri"/>
                        <w:color w:val="585858"/>
                        <w:sz w:val="18"/>
                      </w:rPr>
                      <w:t>Frequency</w:t>
                      <w:tab/>
                      <w:t>Percent</w:t>
                    </w:r>
                  </w:p>
                </w:txbxContent>
              </v:textbox>
              <v:stroke dashstyle="solid"/>
              <w10:wrap type="none"/>
            </v:shape>
          </v:group>
        </w:pict>
      </w:r>
      <w:r>
        <w:rPr>
          <w:position w:val="8"/>
          <w:sz w:val="20"/>
        </w:rPr>
      </w:r>
    </w:p>
    <w:p>
      <w:pPr>
        <w:pStyle w:val="BodyText"/>
        <w:spacing w:before="6"/>
        <w:rPr>
          <w:sz w:val="10"/>
        </w:rPr>
      </w:pPr>
    </w:p>
    <w:p>
      <w:pPr>
        <w:pStyle w:val="BodyText"/>
        <w:spacing w:before="90"/>
        <w:ind w:left="825" w:right="445"/>
        <w:jc w:val="center"/>
      </w:pPr>
      <w:r>
        <w:rPr/>
        <w:pict>
          <v:rect style="position:absolute;margin-left:395.75pt;margin-top:-28.420174pt;width:4.9433pt;height:4.9433pt;mso-position-horizontal-relative:page;mso-position-vertical-relative:paragraph;z-index:-258869248" filled="true" fillcolor="#5b9bd4" stroked="false">
            <v:fill type="solid"/>
            <w10:wrap type="none"/>
          </v:rect>
        </w:pict>
      </w:r>
      <w:r>
        <w:rPr/>
        <w:pict>
          <v:rect style="position:absolute;margin-left:449.700012pt;margin-top:-28.420174pt;width:4.9433pt;height:4.9433pt;mso-position-horizontal-relative:page;mso-position-vertical-relative:paragraph;z-index:-258868224" filled="true" fillcolor="#ec7c30" stroked="false">
            <v:fill type="solid"/>
            <w10:wrap type="none"/>
          </v:rect>
        </w:pict>
      </w:r>
      <w:r>
        <w:rPr>
          <w:b/>
        </w:rPr>
        <w:t>Source : </w:t>
      </w:r>
      <w:r>
        <w:rPr/>
        <w:t>élaboré par nous-même sur la base des outputs SPSS</w:t>
      </w:r>
    </w:p>
    <w:p>
      <w:pPr>
        <w:pStyle w:val="BodyText"/>
        <w:spacing w:before="3"/>
        <w:rPr>
          <w:sz w:val="25"/>
        </w:rPr>
      </w:pPr>
    </w:p>
    <w:p>
      <w:pPr>
        <w:pStyle w:val="BodyText"/>
        <w:spacing w:line="362" w:lineRule="auto"/>
        <w:ind w:left="699" w:right="308" w:firstLine="360"/>
      </w:pPr>
      <w:r>
        <w:rPr/>
        <w:t>La majorité des utilisateurs ont déjà eu des moments où l’application BaridiMob n’était pas disponible. En effet, 58,2 % disent que cela leur est arrivé parfois, et 26,9 % disent que cela arrive</w:t>
      </w:r>
    </w:p>
    <w:p>
      <w:pPr>
        <w:spacing w:after="0" w:line="362" w:lineRule="auto"/>
        <w:sectPr>
          <w:type w:val="continuous"/>
          <w:pgSz w:w="12240" w:h="15840"/>
          <w:pgMar w:top="3140" w:bottom="280" w:left="1000" w:right="820"/>
        </w:sectPr>
      </w:pPr>
    </w:p>
    <w:p>
      <w:pPr>
        <w:pStyle w:val="BodyText"/>
        <w:spacing w:before="6"/>
        <w:rPr>
          <w:sz w:val="19"/>
        </w:rPr>
      </w:pPr>
    </w:p>
    <w:p>
      <w:pPr>
        <w:pStyle w:val="BodyText"/>
        <w:spacing w:line="362" w:lineRule="auto" w:before="90"/>
        <w:ind w:left="699" w:right="317"/>
        <w:jc w:val="both"/>
      </w:pPr>
      <w:r>
        <w:rPr/>
        <w:t>souvent. Au total, cela fait 85,1 % des personnes concernées par des interruptions. Seuls 14,9 % des utilisateurs disent n’avoir jamais eu ce problème. Cela montre que les  pannes ou indisponibilités sont fréquentes pour beaucoup d’utilisateurs.</w:t>
      </w:r>
    </w:p>
    <w:p>
      <w:pPr>
        <w:pStyle w:val="Heading5"/>
        <w:spacing w:before="161"/>
        <w:ind w:left="699" w:firstLine="0"/>
      </w:pPr>
      <w:r>
        <w:rPr/>
        <w:t>Q20_Si oui, à quelles heures avez-vous rencontré ces problèmes ?</w:t>
      </w:r>
    </w:p>
    <w:p>
      <w:pPr>
        <w:pStyle w:val="BodyText"/>
        <w:spacing w:before="5"/>
        <w:rPr>
          <w:b/>
          <w:sz w:val="17"/>
        </w:rPr>
      </w:pPr>
    </w:p>
    <w:p>
      <w:pPr>
        <w:spacing w:after="0"/>
        <w:rPr>
          <w:sz w:val="17"/>
        </w:rPr>
        <w:sectPr>
          <w:pgSz w:w="12240" w:h="15840"/>
          <w:pgMar w:header="723" w:footer="850" w:top="1080" w:bottom="1040" w:left="1000" w:right="820"/>
        </w:sectPr>
      </w:pPr>
    </w:p>
    <w:p>
      <w:pPr>
        <w:spacing w:line="242" w:lineRule="auto" w:before="90"/>
        <w:ind w:left="699" w:right="0" w:firstLine="0"/>
        <w:jc w:val="left"/>
        <w:rPr>
          <w:sz w:val="24"/>
        </w:rPr>
      </w:pPr>
      <w:bookmarkStart w:name="_bookmark51" w:id="245"/>
      <w:bookmarkEnd w:id="245"/>
      <w:r>
        <w:rPr/>
      </w:r>
      <w:r>
        <w:rPr>
          <w:b/>
          <w:color w:val="44536A"/>
          <w:sz w:val="24"/>
        </w:rPr>
        <w:t>Tableau 21 : </w:t>
      </w:r>
      <w:r>
        <w:rPr>
          <w:color w:val="44536A"/>
          <w:sz w:val="24"/>
        </w:rPr>
        <w:t>Répartition horaire des interruptions de service</w:t>
      </w:r>
    </w:p>
    <w:p>
      <w:pPr>
        <w:spacing w:line="237" w:lineRule="auto" w:before="107"/>
        <w:ind w:left="699" w:right="66" w:firstLine="0"/>
        <w:jc w:val="left"/>
        <w:rPr>
          <w:sz w:val="24"/>
        </w:rPr>
      </w:pPr>
      <w:r>
        <w:rPr/>
        <w:br w:type="column"/>
      </w:r>
      <w:bookmarkStart w:name="_bookmark52" w:id="246"/>
      <w:bookmarkEnd w:id="246"/>
      <w:r>
        <w:rPr/>
      </w:r>
      <w:r>
        <w:rPr>
          <w:b/>
          <w:color w:val="44536A"/>
          <w:sz w:val="24"/>
        </w:rPr>
        <w:t>Figure 18 : </w:t>
      </w:r>
      <w:r>
        <w:rPr>
          <w:color w:val="44536A"/>
          <w:sz w:val="24"/>
        </w:rPr>
        <w:t>Répartition horaire des interruptions de service</w:t>
      </w:r>
    </w:p>
    <w:p>
      <w:pPr>
        <w:spacing w:after="0" w:line="237" w:lineRule="auto"/>
        <w:jc w:val="left"/>
        <w:rPr>
          <w:sz w:val="24"/>
        </w:rPr>
        <w:sectPr>
          <w:type w:val="continuous"/>
          <w:pgSz w:w="12240" w:h="15840"/>
          <w:pgMar w:top="3140" w:bottom="280" w:left="1000" w:right="820"/>
          <w:cols w:num="2" w:equalWidth="0">
            <w:col w:w="4457" w:space="326"/>
            <w:col w:w="5637"/>
          </w:cols>
        </w:sectPr>
      </w:pPr>
    </w:p>
    <w:p>
      <w:pPr>
        <w:pStyle w:val="BodyText"/>
        <w:spacing w:before="3"/>
        <w:rPr>
          <w:sz w:val="3"/>
        </w:rPr>
      </w:pPr>
    </w:p>
    <w:p>
      <w:pPr>
        <w:tabs>
          <w:tab w:pos="5472" w:val="left" w:leader="none"/>
        </w:tabs>
        <w:spacing w:line="240" w:lineRule="auto"/>
        <w:ind w:left="699" w:right="0" w:firstLine="0"/>
        <w:rPr>
          <w:sz w:val="20"/>
        </w:rPr>
      </w:pPr>
      <w:r>
        <w:rPr>
          <w:sz w:val="20"/>
        </w:rPr>
        <w:pict>
          <v:shape style="width:226.7pt;height:103.5pt;mso-position-horizontal-relative:char;mso-position-vertical-relative:line" type="#_x0000_t202" filled="false" stroked="false">
            <w10:anchorlock/>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9"/>
                    <w:gridCol w:w="1099"/>
                  </w:tblGrid>
                  <w:tr>
                    <w:trPr>
                      <w:trHeight w:val="403" w:hRule="atLeast"/>
                    </w:trPr>
                    <w:tc>
                      <w:tcPr>
                        <w:tcW w:w="3419" w:type="dxa"/>
                      </w:tcPr>
                      <w:p>
                        <w:pPr>
                          <w:pStyle w:val="TableParagraph"/>
                          <w:spacing w:line="233" w:lineRule="exact" w:before="150"/>
                          <w:ind w:left="71"/>
                          <w:jc w:val="left"/>
                          <w:rPr>
                            <w:b/>
                            <w:sz w:val="22"/>
                          </w:rPr>
                        </w:pPr>
                        <w:r>
                          <w:rPr>
                            <w:b/>
                            <w:sz w:val="22"/>
                          </w:rPr>
                          <w:t>De manière aléatoire</w:t>
                        </w:r>
                      </w:p>
                    </w:tc>
                    <w:tc>
                      <w:tcPr>
                        <w:tcW w:w="1099" w:type="dxa"/>
                      </w:tcPr>
                      <w:p>
                        <w:pPr>
                          <w:pStyle w:val="TableParagraph"/>
                          <w:spacing w:line="233" w:lineRule="exact" w:before="150"/>
                          <w:ind w:right="371"/>
                          <w:jc w:val="right"/>
                          <w:rPr>
                            <w:b/>
                            <w:sz w:val="22"/>
                          </w:rPr>
                        </w:pPr>
                        <w:r>
                          <w:rPr>
                            <w:b/>
                            <w:sz w:val="22"/>
                          </w:rPr>
                          <w:t>156</w:t>
                        </w:r>
                      </w:p>
                    </w:tc>
                  </w:tr>
                  <w:tr>
                    <w:trPr>
                      <w:trHeight w:val="402" w:hRule="atLeast"/>
                    </w:trPr>
                    <w:tc>
                      <w:tcPr>
                        <w:tcW w:w="3419" w:type="dxa"/>
                      </w:tcPr>
                      <w:p>
                        <w:pPr>
                          <w:pStyle w:val="TableParagraph"/>
                          <w:spacing w:line="233" w:lineRule="exact" w:before="149"/>
                          <w:ind w:left="71"/>
                          <w:jc w:val="left"/>
                          <w:rPr>
                            <w:b/>
                            <w:sz w:val="22"/>
                          </w:rPr>
                        </w:pPr>
                        <w:r>
                          <w:rPr>
                            <w:b/>
                            <w:sz w:val="22"/>
                          </w:rPr>
                          <w:t>Entre minuit et 7h du matin</w:t>
                        </w:r>
                      </w:p>
                    </w:tc>
                    <w:tc>
                      <w:tcPr>
                        <w:tcW w:w="1099" w:type="dxa"/>
                      </w:tcPr>
                      <w:p>
                        <w:pPr>
                          <w:pStyle w:val="TableParagraph"/>
                          <w:spacing w:line="233" w:lineRule="exact" w:before="149"/>
                          <w:ind w:right="371"/>
                          <w:jc w:val="right"/>
                          <w:rPr>
                            <w:b/>
                            <w:sz w:val="22"/>
                          </w:rPr>
                        </w:pPr>
                        <w:r>
                          <w:rPr>
                            <w:b/>
                            <w:sz w:val="22"/>
                          </w:rPr>
                          <w:t>154</w:t>
                        </w:r>
                      </w:p>
                    </w:tc>
                  </w:tr>
                  <w:tr>
                    <w:trPr>
                      <w:trHeight w:val="398" w:hRule="atLeast"/>
                    </w:trPr>
                    <w:tc>
                      <w:tcPr>
                        <w:tcW w:w="3419" w:type="dxa"/>
                      </w:tcPr>
                      <w:p>
                        <w:pPr>
                          <w:pStyle w:val="TableParagraph"/>
                          <w:spacing w:line="233" w:lineRule="exact" w:before="145"/>
                          <w:ind w:left="71"/>
                          <w:jc w:val="left"/>
                          <w:rPr>
                            <w:b/>
                            <w:sz w:val="22"/>
                          </w:rPr>
                        </w:pPr>
                        <w:r>
                          <w:rPr>
                            <w:b/>
                            <w:sz w:val="22"/>
                          </w:rPr>
                          <w:t>Pendant les jours fériés</w:t>
                        </w:r>
                      </w:p>
                    </w:tc>
                    <w:tc>
                      <w:tcPr>
                        <w:tcW w:w="1099" w:type="dxa"/>
                      </w:tcPr>
                      <w:p>
                        <w:pPr>
                          <w:pStyle w:val="TableParagraph"/>
                          <w:spacing w:line="233" w:lineRule="exact" w:before="145"/>
                          <w:ind w:right="424"/>
                          <w:jc w:val="right"/>
                          <w:rPr>
                            <w:b/>
                            <w:sz w:val="22"/>
                          </w:rPr>
                        </w:pPr>
                        <w:r>
                          <w:rPr>
                            <w:b/>
                            <w:sz w:val="22"/>
                          </w:rPr>
                          <w:t>94</w:t>
                        </w:r>
                      </w:p>
                    </w:tc>
                  </w:tr>
                  <w:tr>
                    <w:trPr>
                      <w:trHeight w:val="402" w:hRule="atLeast"/>
                    </w:trPr>
                    <w:tc>
                      <w:tcPr>
                        <w:tcW w:w="3419" w:type="dxa"/>
                      </w:tcPr>
                      <w:p>
                        <w:pPr>
                          <w:pStyle w:val="TableParagraph"/>
                          <w:spacing w:line="233" w:lineRule="exact" w:before="149"/>
                          <w:ind w:left="71"/>
                          <w:jc w:val="left"/>
                          <w:rPr>
                            <w:b/>
                            <w:sz w:val="22"/>
                          </w:rPr>
                        </w:pPr>
                        <w:r>
                          <w:rPr>
                            <w:b/>
                            <w:sz w:val="22"/>
                          </w:rPr>
                          <w:t>Aux heures de pointe (matin, soir)</w:t>
                        </w:r>
                      </w:p>
                    </w:tc>
                    <w:tc>
                      <w:tcPr>
                        <w:tcW w:w="1099" w:type="dxa"/>
                      </w:tcPr>
                      <w:p>
                        <w:pPr>
                          <w:pStyle w:val="TableParagraph"/>
                          <w:spacing w:line="233" w:lineRule="exact" w:before="149"/>
                          <w:ind w:right="424"/>
                          <w:jc w:val="right"/>
                          <w:rPr>
                            <w:b/>
                            <w:sz w:val="22"/>
                          </w:rPr>
                        </w:pPr>
                        <w:r>
                          <w:rPr>
                            <w:b/>
                            <w:sz w:val="22"/>
                          </w:rPr>
                          <w:t>54</w:t>
                        </w:r>
                      </w:p>
                    </w:tc>
                  </w:tr>
                  <w:tr>
                    <w:trPr>
                      <w:trHeight w:val="403" w:hRule="atLeast"/>
                    </w:trPr>
                    <w:tc>
                      <w:tcPr>
                        <w:tcW w:w="3419" w:type="dxa"/>
                      </w:tcPr>
                      <w:p>
                        <w:pPr>
                          <w:pStyle w:val="TableParagraph"/>
                          <w:spacing w:line="233" w:lineRule="exact" w:before="150"/>
                          <w:ind w:left="71"/>
                          <w:jc w:val="left"/>
                          <w:rPr>
                            <w:b/>
                            <w:sz w:val="22"/>
                          </w:rPr>
                        </w:pPr>
                        <w:r>
                          <w:rPr>
                            <w:b/>
                            <w:sz w:val="22"/>
                          </w:rPr>
                          <w:t>Total</w:t>
                        </w:r>
                      </w:p>
                    </w:tc>
                    <w:tc>
                      <w:tcPr>
                        <w:tcW w:w="1099" w:type="dxa"/>
                      </w:tcPr>
                      <w:p>
                        <w:pPr>
                          <w:pStyle w:val="TableParagraph"/>
                          <w:spacing w:line="233" w:lineRule="exact" w:before="150"/>
                          <w:ind w:right="371"/>
                          <w:jc w:val="right"/>
                          <w:rPr>
                            <w:b/>
                            <w:sz w:val="22"/>
                          </w:rPr>
                        </w:pPr>
                        <w:r>
                          <w:rPr>
                            <w:b/>
                            <w:sz w:val="22"/>
                          </w:rPr>
                          <w:t>458</w:t>
                        </w:r>
                      </w:p>
                    </w:tc>
                  </w:tr>
                </w:tbl>
                <w:p>
                  <w:pPr>
                    <w:pStyle w:val="BodyText"/>
                  </w:pPr>
                </w:p>
              </w:txbxContent>
            </v:textbox>
          </v:shape>
        </w:pict>
      </w:r>
      <w:r>
        <w:rPr>
          <w:sz w:val="20"/>
        </w:rPr>
      </w:r>
      <w:r>
        <w:rPr>
          <w:sz w:val="20"/>
        </w:rPr>
        <w:tab/>
      </w:r>
      <w:r>
        <w:rPr>
          <w:position w:val="1"/>
          <w:sz w:val="20"/>
        </w:rPr>
        <w:pict>
          <v:group style="width:232.5pt;height:105.3pt;mso-position-horizontal-relative:char;mso-position-vertical-relative:line" coordorigin="0,0" coordsize="4650,2106">
            <v:line style="position:absolute" from="4277,217" to="4277,1591" stroked="true" strokeweight=".75pt" strokecolor="#d9d9d9">
              <v:stroke dashstyle="solid"/>
            </v:line>
            <v:line style="position:absolute" from="2908,1455" to="3334,1455" stroked="true" strokeweight="4.8pt" strokecolor="#ff0000">
              <v:stroke dashstyle="solid"/>
            </v:line>
            <v:line style="position:absolute" from="2908,1179" to="3329,1179" stroked="true" strokeweight="5.04pt" strokecolor="#ff0000">
              <v:stroke dashstyle="solid"/>
            </v:line>
            <v:line style="position:absolute" from="2908,903" to="3166,903" stroked="true" strokeweight="4.8pt" strokecolor="#ff0000">
              <v:stroke dashstyle="solid"/>
            </v:line>
            <v:line style="position:absolute" from="2908,629" to="3055,629" stroked="true" strokeweight="4.8pt" strokecolor="#ff0000">
              <v:stroke dashstyle="solid"/>
            </v:line>
            <v:line style="position:absolute" from="2908,356" to="4159,356" stroked="true" strokeweight="4.8pt" strokecolor="#ff0000">
              <v:stroke dashstyle="solid"/>
            </v:line>
            <v:line style="position:absolute" from="2908,1591" to="2908,217" stroked="true" strokeweight=".75pt" strokecolor="#d9d9d9">
              <v:stroke dashstyle="solid"/>
            </v:line>
            <v:rect style="position:absolute;left:7;top:7;width:4635;height:2091" filled="false" stroked="true" strokeweight=".75pt" strokecolor="#d9d9d9">
              <v:stroke dashstyle="solid"/>
            </v:rect>
            <v:shape style="position:absolute;left:4143;top:1743;width:296;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500</w:t>
                    </w:r>
                  </w:p>
                </w:txbxContent>
              </v:textbox>
              <w10:wrap type="none"/>
            </v:shape>
            <v:shape style="position:absolute;left:2865;top:1743;width:113;height:183" type="#_x0000_t202" filled="false" stroked="false">
              <v:textbox inset="0,0,0,0">
                <w:txbxContent>
                  <w:p>
                    <w:pPr>
                      <w:spacing w:line="182" w:lineRule="exact" w:before="0"/>
                      <w:ind w:left="0" w:right="0" w:firstLine="0"/>
                      <w:jc w:val="left"/>
                      <w:rPr>
                        <w:rFonts w:ascii="Calibri"/>
                        <w:sz w:val="18"/>
                      </w:rPr>
                    </w:pPr>
                    <w:r>
                      <w:rPr>
                        <w:rFonts w:ascii="Calibri"/>
                        <w:color w:val="585858"/>
                        <w:w w:val="101"/>
                        <w:sz w:val="18"/>
                      </w:rPr>
                      <w:t>0</w:t>
                    </w:r>
                  </w:p>
                </w:txbxContent>
              </v:textbox>
              <w10:wrap type="none"/>
            </v:shape>
            <v:shape style="position:absolute;left:717;top:272;width:2171;height:1283" type="#_x0000_t202" filled="false" stroked="false">
              <v:textbox inset="0,0,0,0">
                <w:txbxContent>
                  <w:p>
                    <w:pPr>
                      <w:spacing w:line="185" w:lineRule="exact" w:before="0"/>
                      <w:ind w:left="1655" w:right="0" w:firstLine="0"/>
                      <w:jc w:val="left"/>
                      <w:rPr>
                        <w:rFonts w:ascii="Calibri"/>
                        <w:sz w:val="18"/>
                      </w:rPr>
                    </w:pPr>
                    <w:r>
                      <w:rPr>
                        <w:rFonts w:ascii="Calibri"/>
                        <w:color w:val="585858"/>
                        <w:sz w:val="18"/>
                      </w:rPr>
                      <w:t>Total</w:t>
                    </w:r>
                  </w:p>
                  <w:p>
                    <w:pPr>
                      <w:spacing w:line="300" w:lineRule="auto" w:before="55"/>
                      <w:ind w:left="314" w:right="3" w:firstLine="150"/>
                      <w:jc w:val="left"/>
                      <w:rPr>
                        <w:rFonts w:ascii="Calibri" w:hAnsi="Calibri"/>
                        <w:sz w:val="18"/>
                      </w:rPr>
                    </w:pPr>
                    <w:r>
                      <w:rPr>
                        <w:rFonts w:ascii="Calibri" w:hAnsi="Calibri"/>
                        <w:color w:val="585858"/>
                        <w:sz w:val="18"/>
                      </w:rPr>
                      <w:t>Aux heures de pointe… Pendant les jours</w:t>
                    </w:r>
                    <w:r>
                      <w:rPr>
                        <w:rFonts w:ascii="Calibri" w:hAnsi="Calibri"/>
                        <w:color w:val="585858"/>
                        <w:spacing w:val="-6"/>
                        <w:sz w:val="18"/>
                      </w:rPr>
                      <w:t> </w:t>
                    </w:r>
                    <w:r>
                      <w:rPr>
                        <w:rFonts w:ascii="Calibri" w:hAnsi="Calibri"/>
                        <w:color w:val="585858"/>
                        <w:sz w:val="18"/>
                      </w:rPr>
                      <w:t>fériés</w:t>
                    </w:r>
                  </w:p>
                  <w:p>
                    <w:pPr>
                      <w:spacing w:before="0"/>
                      <w:ind w:left="0" w:right="143" w:firstLine="0"/>
                      <w:jc w:val="right"/>
                      <w:rPr>
                        <w:rFonts w:ascii="Calibri"/>
                        <w:sz w:val="18"/>
                      </w:rPr>
                    </w:pPr>
                    <w:r>
                      <w:rPr>
                        <w:rFonts w:ascii="Calibri"/>
                        <w:color w:val="585858"/>
                        <w:sz w:val="18"/>
                      </w:rPr>
                      <w:t>Entre </w:t>
                    </w:r>
                    <w:r>
                      <w:rPr>
                        <w:rFonts w:ascii="Calibri"/>
                        <w:color w:val="585858"/>
                        <w:spacing w:val="-2"/>
                        <w:sz w:val="18"/>
                      </w:rPr>
                      <w:t>minuit </w:t>
                    </w:r>
                    <w:r>
                      <w:rPr>
                        <w:rFonts w:ascii="Calibri"/>
                        <w:color w:val="585858"/>
                        <w:sz w:val="18"/>
                      </w:rPr>
                      <w:t>et 7h du</w:t>
                    </w:r>
                    <w:r>
                      <w:rPr>
                        <w:rFonts w:ascii="Calibri"/>
                        <w:color w:val="585858"/>
                        <w:spacing w:val="2"/>
                        <w:sz w:val="18"/>
                      </w:rPr>
                      <w:t> </w:t>
                    </w:r>
                    <w:r>
                      <w:rPr>
                        <w:rFonts w:ascii="Calibri"/>
                        <w:color w:val="585858"/>
                        <w:sz w:val="18"/>
                      </w:rPr>
                      <w:t>matin</w:t>
                    </w:r>
                  </w:p>
                  <w:p>
                    <w:pPr>
                      <w:spacing w:line="217" w:lineRule="exact" w:before="56"/>
                      <w:ind w:left="0" w:right="139" w:firstLine="0"/>
                      <w:jc w:val="right"/>
                      <w:rPr>
                        <w:rFonts w:ascii="Calibri" w:hAnsi="Calibri"/>
                        <w:sz w:val="18"/>
                      </w:rPr>
                    </w:pPr>
                    <w:r>
                      <w:rPr>
                        <w:rFonts w:ascii="Calibri" w:hAnsi="Calibri"/>
                        <w:color w:val="585858"/>
                        <w:sz w:val="18"/>
                      </w:rPr>
                      <w:t>De manière</w:t>
                    </w:r>
                    <w:r>
                      <w:rPr>
                        <w:rFonts w:ascii="Calibri" w:hAnsi="Calibri"/>
                        <w:color w:val="585858"/>
                        <w:spacing w:val="-3"/>
                        <w:sz w:val="18"/>
                      </w:rPr>
                      <w:t> </w:t>
                    </w:r>
                    <w:r>
                      <w:rPr>
                        <w:rFonts w:ascii="Calibri" w:hAnsi="Calibri"/>
                        <w:color w:val="585858"/>
                        <w:sz w:val="18"/>
                      </w:rPr>
                      <w:t>aléatoire</w:t>
                    </w:r>
                  </w:p>
                </w:txbxContent>
              </v:textbox>
              <w10:wrap type="none"/>
            </v:shape>
          </v:group>
        </w:pict>
      </w:r>
      <w:r>
        <w:rPr>
          <w:position w:val="1"/>
          <w:sz w:val="20"/>
        </w:rPr>
      </w:r>
    </w:p>
    <w:p>
      <w:pPr>
        <w:pStyle w:val="BodyText"/>
        <w:spacing w:before="8"/>
        <w:rPr>
          <w:sz w:val="15"/>
        </w:rPr>
      </w:pPr>
    </w:p>
    <w:p>
      <w:pPr>
        <w:pStyle w:val="BodyText"/>
        <w:spacing w:before="90"/>
        <w:ind w:left="825" w:right="445"/>
        <w:jc w:val="center"/>
      </w:pPr>
      <w:r>
        <w:rPr>
          <w:b/>
        </w:rPr>
        <w:t>Source : </w:t>
      </w:r>
      <w:r>
        <w:rPr/>
        <w:t>élaboré par nous-même sur la base des outputs SPSS</w:t>
      </w:r>
    </w:p>
    <w:p>
      <w:pPr>
        <w:pStyle w:val="BodyText"/>
        <w:spacing w:before="2"/>
        <w:rPr>
          <w:sz w:val="25"/>
        </w:rPr>
      </w:pPr>
    </w:p>
    <w:p>
      <w:pPr>
        <w:pStyle w:val="BodyText"/>
        <w:spacing w:line="362" w:lineRule="auto" w:before="1"/>
        <w:ind w:left="699" w:right="324" w:firstLine="360"/>
        <w:jc w:val="both"/>
      </w:pPr>
      <w:r>
        <w:rPr/>
        <w:t>Les utilisateurs ont remarqué que les problèmes d’indisponibilité arrivent surtout de manière aléatoire selon 156 réponses, et entre minuit et 7h du matin selon 154 personnes. D’autres disent avoir rencontré des soucis pendant les jours fériés 94 réponses ou aux heures de pointe comme le matin ou le soir 54 réponses</w:t>
      </w:r>
    </w:p>
    <w:p>
      <w:pPr>
        <w:pStyle w:val="Heading5"/>
        <w:spacing w:before="162"/>
        <w:ind w:left="699" w:firstLine="0"/>
      </w:pPr>
      <w:r>
        <w:rPr/>
        <w:t>Q21_Lorsque le service est indisponible, quelle est votre principale réaction ?</w:t>
      </w:r>
    </w:p>
    <w:p>
      <w:pPr>
        <w:pStyle w:val="BodyText"/>
        <w:spacing w:before="10"/>
        <w:rPr>
          <w:b/>
        </w:rPr>
      </w:pPr>
    </w:p>
    <w:p>
      <w:pPr>
        <w:spacing w:before="0"/>
        <w:ind w:left="954" w:right="0" w:firstLine="0"/>
        <w:jc w:val="left"/>
        <w:rPr>
          <w:sz w:val="24"/>
        </w:rPr>
      </w:pPr>
      <w:bookmarkStart w:name="_bookmark53" w:id="247"/>
      <w:bookmarkEnd w:id="247"/>
      <w:r>
        <w:rPr/>
      </w:r>
      <w:r>
        <w:rPr>
          <w:b/>
          <w:color w:val="44536A"/>
          <w:sz w:val="24"/>
        </w:rPr>
        <w:t>Tableau 22 : </w:t>
      </w:r>
      <w:r>
        <w:rPr>
          <w:color w:val="44536A"/>
          <w:sz w:val="24"/>
        </w:rPr>
        <w:t>Réactions face à l’indisponibilité du service</w:t>
      </w:r>
    </w:p>
    <w:p>
      <w:pPr>
        <w:pStyle w:val="BodyText"/>
        <w:rPr>
          <w:sz w:val="18"/>
        </w:rPr>
      </w:pPr>
    </w:p>
    <w:tbl>
      <w:tblPr>
        <w:tblW w:w="0" w:type="auto"/>
        <w:jc w:val="left"/>
        <w:tblInd w:w="72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648"/>
        <w:gridCol w:w="1507"/>
        <w:gridCol w:w="1330"/>
        <w:gridCol w:w="1906"/>
      </w:tblGrid>
      <w:tr>
        <w:trPr>
          <w:trHeight w:val="286" w:hRule="atLeast"/>
        </w:trPr>
        <w:tc>
          <w:tcPr>
            <w:tcW w:w="4648" w:type="dxa"/>
          </w:tcPr>
          <w:p>
            <w:pPr>
              <w:pStyle w:val="TableParagraph"/>
              <w:jc w:val="left"/>
              <w:rPr>
                <w:sz w:val="20"/>
              </w:rPr>
            </w:pPr>
          </w:p>
        </w:tc>
        <w:tc>
          <w:tcPr>
            <w:tcW w:w="1507" w:type="dxa"/>
            <w:tcBorders>
              <w:right w:val="single" w:sz="8" w:space="0" w:color="000000"/>
            </w:tcBorders>
          </w:tcPr>
          <w:p>
            <w:pPr>
              <w:pStyle w:val="TableParagraph"/>
              <w:spacing w:before="30"/>
              <w:ind w:left="283" w:right="239"/>
              <w:rPr>
                <w:b/>
                <w:sz w:val="20"/>
              </w:rPr>
            </w:pPr>
            <w:r>
              <w:rPr>
                <w:b/>
                <w:sz w:val="20"/>
              </w:rPr>
              <w:t>Frequency</w:t>
            </w:r>
          </w:p>
        </w:tc>
        <w:tc>
          <w:tcPr>
            <w:tcW w:w="1330" w:type="dxa"/>
            <w:tcBorders>
              <w:left w:val="single" w:sz="8" w:space="0" w:color="000000"/>
              <w:right w:val="single" w:sz="8" w:space="0" w:color="000000"/>
            </w:tcBorders>
          </w:tcPr>
          <w:p>
            <w:pPr>
              <w:pStyle w:val="TableParagraph"/>
              <w:spacing w:before="30"/>
              <w:ind w:left="331" w:right="283"/>
              <w:rPr>
                <w:b/>
                <w:sz w:val="20"/>
              </w:rPr>
            </w:pPr>
            <w:r>
              <w:rPr>
                <w:b/>
                <w:sz w:val="20"/>
              </w:rPr>
              <w:t>Percent</w:t>
            </w:r>
          </w:p>
        </w:tc>
        <w:tc>
          <w:tcPr>
            <w:tcW w:w="1906" w:type="dxa"/>
            <w:tcBorders>
              <w:left w:val="single" w:sz="8" w:space="0" w:color="000000"/>
            </w:tcBorders>
          </w:tcPr>
          <w:p>
            <w:pPr>
              <w:pStyle w:val="TableParagraph"/>
              <w:spacing w:before="30"/>
              <w:ind w:left="87" w:right="41"/>
              <w:rPr>
                <w:b/>
                <w:sz w:val="20"/>
              </w:rPr>
            </w:pPr>
            <w:r>
              <w:rPr>
                <w:b/>
                <w:sz w:val="20"/>
              </w:rPr>
              <w:t>Cumulative Percent</w:t>
            </w:r>
          </w:p>
        </w:tc>
      </w:tr>
      <w:tr>
        <w:trPr>
          <w:trHeight w:val="329" w:hRule="atLeast"/>
        </w:trPr>
        <w:tc>
          <w:tcPr>
            <w:tcW w:w="4648" w:type="dxa"/>
            <w:tcBorders>
              <w:bottom w:val="nil"/>
            </w:tcBorders>
          </w:tcPr>
          <w:p>
            <w:pPr>
              <w:pStyle w:val="TableParagraph"/>
              <w:spacing w:line="227" w:lineRule="exact"/>
              <w:ind w:left="1230"/>
              <w:jc w:val="left"/>
              <w:rPr>
                <w:b/>
                <w:sz w:val="20"/>
              </w:rPr>
            </w:pPr>
            <w:r>
              <w:rPr>
                <w:b/>
                <w:sz w:val="20"/>
              </w:rPr>
              <w:t>J’attends et réessaie plus tard</w:t>
            </w:r>
          </w:p>
        </w:tc>
        <w:tc>
          <w:tcPr>
            <w:tcW w:w="1507" w:type="dxa"/>
            <w:tcBorders>
              <w:bottom w:val="nil"/>
              <w:right w:val="single" w:sz="8" w:space="0" w:color="000000"/>
            </w:tcBorders>
          </w:tcPr>
          <w:p>
            <w:pPr>
              <w:pStyle w:val="TableParagraph"/>
              <w:spacing w:line="227" w:lineRule="exact"/>
              <w:ind w:left="283" w:right="233"/>
              <w:rPr>
                <w:b/>
                <w:sz w:val="20"/>
              </w:rPr>
            </w:pPr>
            <w:r>
              <w:rPr>
                <w:b/>
                <w:sz w:val="20"/>
              </w:rPr>
              <w:t>250</w:t>
            </w:r>
          </w:p>
        </w:tc>
        <w:tc>
          <w:tcPr>
            <w:tcW w:w="1330" w:type="dxa"/>
            <w:tcBorders>
              <w:left w:val="single" w:sz="8" w:space="0" w:color="000000"/>
              <w:bottom w:val="nil"/>
              <w:right w:val="single" w:sz="8" w:space="0" w:color="000000"/>
            </w:tcBorders>
          </w:tcPr>
          <w:p>
            <w:pPr>
              <w:pStyle w:val="TableParagraph"/>
              <w:spacing w:line="227" w:lineRule="exact"/>
              <w:ind w:left="327" w:right="283"/>
              <w:rPr>
                <w:b/>
                <w:sz w:val="20"/>
              </w:rPr>
            </w:pPr>
            <w:r>
              <w:rPr>
                <w:b/>
                <w:sz w:val="20"/>
              </w:rPr>
              <w:t>60,7</w:t>
            </w:r>
          </w:p>
        </w:tc>
        <w:tc>
          <w:tcPr>
            <w:tcW w:w="1906" w:type="dxa"/>
            <w:tcBorders>
              <w:left w:val="single" w:sz="8" w:space="0" w:color="000000"/>
              <w:bottom w:val="nil"/>
            </w:tcBorders>
          </w:tcPr>
          <w:p>
            <w:pPr>
              <w:pStyle w:val="TableParagraph"/>
              <w:spacing w:line="227" w:lineRule="exact"/>
              <w:ind w:left="87" w:right="39"/>
              <w:rPr>
                <w:b/>
                <w:sz w:val="20"/>
              </w:rPr>
            </w:pPr>
            <w:r>
              <w:rPr>
                <w:b/>
                <w:sz w:val="20"/>
              </w:rPr>
              <w:t>66,5</w:t>
            </w:r>
          </w:p>
        </w:tc>
      </w:tr>
      <w:tr>
        <w:trPr>
          <w:trHeight w:val="324" w:hRule="atLeast"/>
        </w:trPr>
        <w:tc>
          <w:tcPr>
            <w:tcW w:w="4648" w:type="dxa"/>
            <w:tcBorders>
              <w:top w:val="nil"/>
              <w:bottom w:val="nil"/>
            </w:tcBorders>
          </w:tcPr>
          <w:p>
            <w:pPr>
              <w:pStyle w:val="TableParagraph"/>
              <w:spacing w:line="210" w:lineRule="exact" w:before="95"/>
              <w:ind w:left="1230"/>
              <w:jc w:val="left"/>
              <w:rPr>
                <w:b/>
                <w:sz w:val="20"/>
              </w:rPr>
            </w:pPr>
            <w:r>
              <w:rPr>
                <w:b/>
                <w:sz w:val="20"/>
              </w:rPr>
              <w:t>J’utilise un autre moyen de paiement</w:t>
            </w:r>
          </w:p>
        </w:tc>
        <w:tc>
          <w:tcPr>
            <w:tcW w:w="1507" w:type="dxa"/>
            <w:tcBorders>
              <w:top w:val="nil"/>
              <w:bottom w:val="nil"/>
              <w:right w:val="single" w:sz="8" w:space="0" w:color="000000"/>
            </w:tcBorders>
          </w:tcPr>
          <w:p>
            <w:pPr>
              <w:pStyle w:val="TableParagraph"/>
              <w:spacing w:line="210" w:lineRule="exact" w:before="95"/>
              <w:ind w:left="283" w:right="233"/>
              <w:rPr>
                <w:b/>
                <w:sz w:val="20"/>
              </w:rPr>
            </w:pPr>
            <w:r>
              <w:rPr>
                <w:b/>
                <w:sz w:val="20"/>
              </w:rPr>
              <w:t>121</w:t>
            </w:r>
          </w:p>
        </w:tc>
        <w:tc>
          <w:tcPr>
            <w:tcW w:w="1330" w:type="dxa"/>
            <w:tcBorders>
              <w:top w:val="nil"/>
              <w:left w:val="single" w:sz="8" w:space="0" w:color="000000"/>
              <w:bottom w:val="nil"/>
              <w:right w:val="single" w:sz="8" w:space="0" w:color="000000"/>
            </w:tcBorders>
          </w:tcPr>
          <w:p>
            <w:pPr>
              <w:pStyle w:val="TableParagraph"/>
              <w:spacing w:line="210" w:lineRule="exact" w:before="95"/>
              <w:ind w:left="327" w:right="283"/>
              <w:rPr>
                <w:b/>
                <w:sz w:val="20"/>
              </w:rPr>
            </w:pPr>
            <w:r>
              <w:rPr>
                <w:b/>
                <w:sz w:val="20"/>
              </w:rPr>
              <w:t>29,4</w:t>
            </w:r>
          </w:p>
        </w:tc>
        <w:tc>
          <w:tcPr>
            <w:tcW w:w="1906" w:type="dxa"/>
            <w:tcBorders>
              <w:top w:val="nil"/>
              <w:left w:val="single" w:sz="8" w:space="0" w:color="000000"/>
              <w:bottom w:val="nil"/>
            </w:tcBorders>
          </w:tcPr>
          <w:p>
            <w:pPr>
              <w:pStyle w:val="TableParagraph"/>
              <w:spacing w:line="210" w:lineRule="exact" w:before="95"/>
              <w:ind w:left="87" w:right="39"/>
              <w:rPr>
                <w:b/>
                <w:sz w:val="20"/>
              </w:rPr>
            </w:pPr>
            <w:r>
              <w:rPr>
                <w:b/>
                <w:sz w:val="20"/>
              </w:rPr>
              <w:t>98,7</w:t>
            </w:r>
          </w:p>
        </w:tc>
      </w:tr>
      <w:tr>
        <w:trPr>
          <w:trHeight w:val="213" w:hRule="atLeast"/>
        </w:trPr>
        <w:tc>
          <w:tcPr>
            <w:tcW w:w="4648" w:type="dxa"/>
            <w:tcBorders>
              <w:top w:val="nil"/>
              <w:bottom w:val="nil"/>
            </w:tcBorders>
          </w:tcPr>
          <w:p>
            <w:pPr>
              <w:pStyle w:val="TableParagraph"/>
              <w:spacing w:line="193" w:lineRule="exact"/>
              <w:ind w:left="20"/>
              <w:jc w:val="left"/>
              <w:rPr>
                <w:b/>
                <w:sz w:val="20"/>
              </w:rPr>
            </w:pPr>
            <w:r>
              <w:rPr>
                <w:b/>
                <w:sz w:val="20"/>
              </w:rPr>
              <w:t>Valid</w:t>
            </w:r>
          </w:p>
        </w:tc>
        <w:tc>
          <w:tcPr>
            <w:tcW w:w="1507" w:type="dxa"/>
            <w:tcBorders>
              <w:top w:val="nil"/>
              <w:bottom w:val="nil"/>
              <w:right w:val="single" w:sz="8" w:space="0" w:color="000000"/>
            </w:tcBorders>
          </w:tcPr>
          <w:p>
            <w:pPr>
              <w:pStyle w:val="TableParagraph"/>
              <w:jc w:val="left"/>
              <w:rPr>
                <w:sz w:val="14"/>
              </w:rPr>
            </w:pPr>
          </w:p>
        </w:tc>
        <w:tc>
          <w:tcPr>
            <w:tcW w:w="1330" w:type="dxa"/>
            <w:tcBorders>
              <w:top w:val="nil"/>
              <w:left w:val="single" w:sz="8" w:space="0" w:color="000000"/>
              <w:bottom w:val="nil"/>
              <w:right w:val="single" w:sz="8" w:space="0" w:color="000000"/>
            </w:tcBorders>
          </w:tcPr>
          <w:p>
            <w:pPr>
              <w:pStyle w:val="TableParagraph"/>
              <w:jc w:val="left"/>
              <w:rPr>
                <w:sz w:val="14"/>
              </w:rPr>
            </w:pPr>
          </w:p>
        </w:tc>
        <w:tc>
          <w:tcPr>
            <w:tcW w:w="1906" w:type="dxa"/>
            <w:tcBorders>
              <w:top w:val="nil"/>
              <w:left w:val="single" w:sz="8" w:space="0" w:color="000000"/>
              <w:bottom w:val="nil"/>
            </w:tcBorders>
          </w:tcPr>
          <w:p>
            <w:pPr>
              <w:pStyle w:val="TableParagraph"/>
              <w:jc w:val="left"/>
              <w:rPr>
                <w:sz w:val="14"/>
              </w:rPr>
            </w:pPr>
          </w:p>
        </w:tc>
      </w:tr>
      <w:tr>
        <w:trPr>
          <w:trHeight w:val="323" w:hRule="atLeast"/>
        </w:trPr>
        <w:tc>
          <w:tcPr>
            <w:tcW w:w="4648" w:type="dxa"/>
            <w:tcBorders>
              <w:top w:val="nil"/>
              <w:bottom w:val="nil"/>
            </w:tcBorders>
          </w:tcPr>
          <w:p>
            <w:pPr>
              <w:pStyle w:val="TableParagraph"/>
              <w:spacing w:line="219" w:lineRule="exact"/>
              <w:ind w:left="1230"/>
              <w:jc w:val="left"/>
              <w:rPr>
                <w:b/>
                <w:sz w:val="20"/>
              </w:rPr>
            </w:pPr>
            <w:r>
              <w:rPr>
                <w:b/>
                <w:sz w:val="20"/>
              </w:rPr>
              <w:t>Je contacte le service client</w:t>
            </w:r>
          </w:p>
        </w:tc>
        <w:tc>
          <w:tcPr>
            <w:tcW w:w="1507" w:type="dxa"/>
            <w:tcBorders>
              <w:top w:val="nil"/>
              <w:bottom w:val="nil"/>
              <w:right w:val="single" w:sz="8" w:space="0" w:color="000000"/>
            </w:tcBorders>
          </w:tcPr>
          <w:p>
            <w:pPr>
              <w:pStyle w:val="TableParagraph"/>
              <w:spacing w:line="219" w:lineRule="exact"/>
              <w:ind w:left="41"/>
              <w:rPr>
                <w:b/>
                <w:sz w:val="20"/>
              </w:rPr>
            </w:pPr>
            <w:r>
              <w:rPr>
                <w:b/>
                <w:w w:val="100"/>
                <w:sz w:val="20"/>
              </w:rPr>
              <w:t>5</w:t>
            </w:r>
          </w:p>
        </w:tc>
        <w:tc>
          <w:tcPr>
            <w:tcW w:w="1330" w:type="dxa"/>
            <w:tcBorders>
              <w:top w:val="nil"/>
              <w:left w:val="single" w:sz="8" w:space="0" w:color="000000"/>
              <w:bottom w:val="nil"/>
              <w:right w:val="single" w:sz="8" w:space="0" w:color="000000"/>
            </w:tcBorders>
          </w:tcPr>
          <w:p>
            <w:pPr>
              <w:pStyle w:val="TableParagraph"/>
              <w:spacing w:line="219" w:lineRule="exact"/>
              <w:ind w:left="331" w:right="281"/>
              <w:rPr>
                <w:b/>
                <w:sz w:val="20"/>
              </w:rPr>
            </w:pPr>
            <w:r>
              <w:rPr>
                <w:b/>
                <w:sz w:val="20"/>
              </w:rPr>
              <w:t>1,2</w:t>
            </w:r>
          </w:p>
        </w:tc>
        <w:tc>
          <w:tcPr>
            <w:tcW w:w="1906" w:type="dxa"/>
            <w:tcBorders>
              <w:top w:val="nil"/>
              <w:left w:val="single" w:sz="8" w:space="0" w:color="000000"/>
              <w:bottom w:val="nil"/>
            </w:tcBorders>
          </w:tcPr>
          <w:p>
            <w:pPr>
              <w:pStyle w:val="TableParagraph"/>
              <w:spacing w:line="219" w:lineRule="exact"/>
              <w:ind w:left="84" w:right="41"/>
              <w:rPr>
                <w:b/>
                <w:sz w:val="20"/>
              </w:rPr>
            </w:pPr>
            <w:r>
              <w:rPr>
                <w:b/>
                <w:sz w:val="20"/>
              </w:rPr>
              <w:t>100,0</w:t>
            </w:r>
          </w:p>
        </w:tc>
      </w:tr>
      <w:tr>
        <w:trPr>
          <w:trHeight w:val="410" w:hRule="atLeast"/>
        </w:trPr>
        <w:tc>
          <w:tcPr>
            <w:tcW w:w="4648" w:type="dxa"/>
            <w:tcBorders>
              <w:top w:val="nil"/>
              <w:bottom w:val="nil"/>
            </w:tcBorders>
          </w:tcPr>
          <w:p>
            <w:pPr>
              <w:pStyle w:val="TableParagraph"/>
              <w:spacing w:before="97"/>
              <w:ind w:left="1230"/>
              <w:jc w:val="left"/>
              <w:rPr>
                <w:b/>
                <w:sz w:val="20"/>
              </w:rPr>
            </w:pPr>
            <w:r>
              <w:rPr>
                <w:b/>
                <w:sz w:val="20"/>
              </w:rPr>
              <w:t>Total</w:t>
            </w:r>
          </w:p>
        </w:tc>
        <w:tc>
          <w:tcPr>
            <w:tcW w:w="1507" w:type="dxa"/>
            <w:tcBorders>
              <w:top w:val="nil"/>
              <w:bottom w:val="nil"/>
              <w:right w:val="single" w:sz="8" w:space="0" w:color="000000"/>
            </w:tcBorders>
          </w:tcPr>
          <w:p>
            <w:pPr>
              <w:pStyle w:val="TableParagraph"/>
              <w:spacing w:before="97"/>
              <w:ind w:left="283" w:right="233"/>
              <w:rPr>
                <w:b/>
                <w:sz w:val="20"/>
              </w:rPr>
            </w:pPr>
            <w:r>
              <w:rPr>
                <w:b/>
                <w:sz w:val="20"/>
              </w:rPr>
              <w:t>376</w:t>
            </w:r>
          </w:p>
        </w:tc>
        <w:tc>
          <w:tcPr>
            <w:tcW w:w="1330" w:type="dxa"/>
            <w:tcBorders>
              <w:top w:val="nil"/>
              <w:left w:val="single" w:sz="8" w:space="0" w:color="000000"/>
              <w:bottom w:val="nil"/>
              <w:right w:val="single" w:sz="8" w:space="0" w:color="000000"/>
            </w:tcBorders>
          </w:tcPr>
          <w:p>
            <w:pPr>
              <w:pStyle w:val="TableParagraph"/>
              <w:spacing w:before="97"/>
              <w:ind w:left="327" w:right="283"/>
              <w:rPr>
                <w:b/>
                <w:sz w:val="20"/>
              </w:rPr>
            </w:pPr>
            <w:r>
              <w:rPr>
                <w:b/>
                <w:sz w:val="20"/>
              </w:rPr>
              <w:t>91,3</w:t>
            </w:r>
          </w:p>
        </w:tc>
        <w:tc>
          <w:tcPr>
            <w:tcW w:w="1906" w:type="dxa"/>
            <w:tcBorders>
              <w:top w:val="nil"/>
              <w:left w:val="single" w:sz="8" w:space="0" w:color="000000"/>
              <w:bottom w:val="nil"/>
            </w:tcBorders>
          </w:tcPr>
          <w:p>
            <w:pPr>
              <w:pStyle w:val="TableParagraph"/>
              <w:jc w:val="left"/>
              <w:rPr>
                <w:sz w:val="22"/>
              </w:rPr>
            </w:pPr>
          </w:p>
        </w:tc>
      </w:tr>
      <w:tr>
        <w:trPr>
          <w:trHeight w:val="388" w:hRule="atLeast"/>
        </w:trPr>
        <w:tc>
          <w:tcPr>
            <w:tcW w:w="4648" w:type="dxa"/>
            <w:tcBorders>
              <w:top w:val="nil"/>
              <w:bottom w:val="nil"/>
            </w:tcBorders>
          </w:tcPr>
          <w:p>
            <w:pPr>
              <w:pStyle w:val="TableParagraph"/>
              <w:spacing w:before="75"/>
              <w:ind w:left="1230"/>
              <w:jc w:val="left"/>
              <w:rPr>
                <w:b/>
                <w:sz w:val="20"/>
              </w:rPr>
            </w:pPr>
            <w:r>
              <w:rPr>
                <w:b/>
                <w:sz w:val="20"/>
              </w:rPr>
              <w:t>Missing</w:t>
            </w:r>
          </w:p>
        </w:tc>
        <w:tc>
          <w:tcPr>
            <w:tcW w:w="1507" w:type="dxa"/>
            <w:tcBorders>
              <w:top w:val="nil"/>
              <w:bottom w:val="nil"/>
              <w:right w:val="single" w:sz="8" w:space="0" w:color="000000"/>
            </w:tcBorders>
          </w:tcPr>
          <w:p>
            <w:pPr>
              <w:pStyle w:val="TableParagraph"/>
              <w:spacing w:before="75"/>
              <w:ind w:left="283" w:right="238"/>
              <w:rPr>
                <w:b/>
                <w:sz w:val="20"/>
              </w:rPr>
            </w:pPr>
            <w:r>
              <w:rPr>
                <w:b/>
                <w:sz w:val="20"/>
              </w:rPr>
              <w:t>36</w:t>
            </w:r>
          </w:p>
        </w:tc>
        <w:tc>
          <w:tcPr>
            <w:tcW w:w="1330" w:type="dxa"/>
            <w:tcBorders>
              <w:top w:val="nil"/>
              <w:left w:val="single" w:sz="8" w:space="0" w:color="000000"/>
              <w:bottom w:val="nil"/>
              <w:right w:val="single" w:sz="8" w:space="0" w:color="000000"/>
            </w:tcBorders>
          </w:tcPr>
          <w:p>
            <w:pPr>
              <w:pStyle w:val="TableParagraph"/>
              <w:spacing w:before="75"/>
              <w:ind w:left="331" w:right="281"/>
              <w:rPr>
                <w:b/>
                <w:sz w:val="20"/>
              </w:rPr>
            </w:pPr>
            <w:r>
              <w:rPr>
                <w:b/>
                <w:sz w:val="20"/>
              </w:rPr>
              <w:t>8,7</w:t>
            </w:r>
          </w:p>
        </w:tc>
        <w:tc>
          <w:tcPr>
            <w:tcW w:w="1906" w:type="dxa"/>
            <w:tcBorders>
              <w:top w:val="nil"/>
              <w:left w:val="single" w:sz="8" w:space="0" w:color="000000"/>
              <w:bottom w:val="nil"/>
            </w:tcBorders>
          </w:tcPr>
          <w:p>
            <w:pPr>
              <w:pStyle w:val="TableParagraph"/>
              <w:jc w:val="left"/>
              <w:rPr>
                <w:sz w:val="22"/>
              </w:rPr>
            </w:pPr>
          </w:p>
        </w:tc>
      </w:tr>
      <w:tr>
        <w:trPr>
          <w:trHeight w:val="465" w:hRule="atLeast"/>
        </w:trPr>
        <w:tc>
          <w:tcPr>
            <w:tcW w:w="4648" w:type="dxa"/>
            <w:tcBorders>
              <w:top w:val="nil"/>
            </w:tcBorders>
          </w:tcPr>
          <w:p>
            <w:pPr>
              <w:pStyle w:val="TableParagraph"/>
              <w:spacing w:before="75"/>
              <w:ind w:left="20"/>
              <w:jc w:val="left"/>
              <w:rPr>
                <w:b/>
                <w:sz w:val="20"/>
              </w:rPr>
            </w:pPr>
            <w:r>
              <w:rPr>
                <w:b/>
                <w:sz w:val="20"/>
              </w:rPr>
              <w:t>Total</w:t>
            </w:r>
          </w:p>
        </w:tc>
        <w:tc>
          <w:tcPr>
            <w:tcW w:w="1507" w:type="dxa"/>
            <w:tcBorders>
              <w:top w:val="nil"/>
              <w:right w:val="single" w:sz="8" w:space="0" w:color="000000"/>
            </w:tcBorders>
          </w:tcPr>
          <w:p>
            <w:pPr>
              <w:pStyle w:val="TableParagraph"/>
              <w:spacing w:before="75"/>
              <w:ind w:left="283" w:right="233"/>
              <w:rPr>
                <w:b/>
                <w:sz w:val="20"/>
              </w:rPr>
            </w:pPr>
            <w:r>
              <w:rPr>
                <w:b/>
                <w:sz w:val="20"/>
              </w:rPr>
              <w:t>412</w:t>
            </w:r>
          </w:p>
        </w:tc>
        <w:tc>
          <w:tcPr>
            <w:tcW w:w="1330" w:type="dxa"/>
            <w:tcBorders>
              <w:top w:val="nil"/>
              <w:left w:val="single" w:sz="8" w:space="0" w:color="000000"/>
              <w:right w:val="single" w:sz="8" w:space="0" w:color="000000"/>
            </w:tcBorders>
          </w:tcPr>
          <w:p>
            <w:pPr>
              <w:pStyle w:val="TableParagraph"/>
              <w:spacing w:before="75"/>
              <w:ind w:left="331" w:right="282"/>
              <w:rPr>
                <w:b/>
                <w:sz w:val="20"/>
              </w:rPr>
            </w:pPr>
            <w:r>
              <w:rPr>
                <w:b/>
                <w:sz w:val="20"/>
              </w:rPr>
              <w:t>100,0</w:t>
            </w:r>
          </w:p>
        </w:tc>
        <w:tc>
          <w:tcPr>
            <w:tcW w:w="1906" w:type="dxa"/>
            <w:tcBorders>
              <w:top w:val="nil"/>
              <w:left w:val="single" w:sz="8" w:space="0" w:color="000000"/>
            </w:tcBorders>
          </w:tcPr>
          <w:p>
            <w:pPr>
              <w:pStyle w:val="TableParagraph"/>
              <w:jc w:val="left"/>
              <w:rPr>
                <w:sz w:val="22"/>
              </w:rPr>
            </w:pPr>
          </w:p>
        </w:tc>
      </w:tr>
    </w:tbl>
    <w:p>
      <w:pPr>
        <w:pStyle w:val="BodyText"/>
        <w:spacing w:before="6"/>
        <w:rPr>
          <w:sz w:val="20"/>
        </w:rPr>
      </w:pPr>
    </w:p>
    <w:p>
      <w:pPr>
        <w:pStyle w:val="BodyText"/>
        <w:ind w:left="825" w:right="445"/>
        <w:jc w:val="center"/>
      </w:pPr>
      <w:r>
        <w:rPr>
          <w:b/>
        </w:rPr>
        <w:t>Source : </w:t>
      </w:r>
      <w:r>
        <w:rPr/>
        <w:t>élaboré par nous-même sur la base des outputs SPSS</w:t>
      </w:r>
    </w:p>
    <w:p>
      <w:pPr>
        <w:pStyle w:val="BodyText"/>
        <w:spacing w:before="3"/>
        <w:rPr>
          <w:sz w:val="25"/>
        </w:rPr>
      </w:pPr>
    </w:p>
    <w:p>
      <w:pPr>
        <w:pStyle w:val="BodyText"/>
        <w:spacing w:line="362" w:lineRule="auto"/>
        <w:ind w:left="699" w:right="326" w:firstLine="360"/>
        <w:jc w:val="both"/>
      </w:pPr>
      <w:r>
        <w:rPr/>
        <w:t>Lorsque</w:t>
      </w:r>
      <w:r>
        <w:rPr>
          <w:spacing w:val="-4"/>
        </w:rPr>
        <w:t> les</w:t>
      </w:r>
      <w:r>
        <w:rPr>
          <w:spacing w:val="-8"/>
        </w:rPr>
        <w:t> </w:t>
      </w:r>
      <w:r>
        <w:rPr/>
        <w:t>utilisateurs</w:t>
      </w:r>
      <w:r>
        <w:rPr>
          <w:spacing w:val="-9"/>
        </w:rPr>
        <w:t> </w:t>
      </w:r>
      <w:r>
        <w:rPr/>
        <w:t>rencontrent</w:t>
      </w:r>
      <w:r>
        <w:rPr>
          <w:spacing w:val="-2"/>
        </w:rPr>
        <w:t> </w:t>
      </w:r>
      <w:r>
        <w:rPr/>
        <w:t>une</w:t>
      </w:r>
      <w:r>
        <w:rPr>
          <w:spacing w:val="-3"/>
        </w:rPr>
        <w:t> </w:t>
      </w:r>
      <w:r>
        <w:rPr/>
        <w:t>indisponibilité</w:t>
      </w:r>
      <w:r>
        <w:rPr>
          <w:spacing w:val="-8"/>
        </w:rPr>
        <w:t> </w:t>
      </w:r>
      <w:r>
        <w:rPr/>
        <w:t>du</w:t>
      </w:r>
      <w:r>
        <w:rPr>
          <w:spacing w:val="-7"/>
        </w:rPr>
        <w:t> </w:t>
      </w:r>
      <w:r>
        <w:rPr/>
        <w:t>service, </w:t>
      </w:r>
      <w:r>
        <w:rPr>
          <w:spacing w:val="-3"/>
        </w:rPr>
        <w:t>la </w:t>
      </w:r>
      <w:r>
        <w:rPr/>
        <w:t>majorité</w:t>
      </w:r>
      <w:r>
        <w:rPr>
          <w:spacing w:val="-8"/>
        </w:rPr>
        <w:t> </w:t>
      </w:r>
      <w:r>
        <w:rPr/>
        <w:t>66,5 %</w:t>
      </w:r>
      <w:r>
        <w:rPr>
          <w:spacing w:val="-5"/>
        </w:rPr>
        <w:t> </w:t>
      </w:r>
      <w:r>
        <w:rPr/>
        <w:t>préfèrent attendre </w:t>
      </w:r>
      <w:r>
        <w:rPr>
          <w:spacing w:val="-3"/>
        </w:rPr>
        <w:t>et </w:t>
      </w:r>
      <w:r>
        <w:rPr/>
        <w:t>réessayer plus tard. Environ 32,2 % choisissent d’utiliser</w:t>
      </w:r>
      <w:r>
        <w:rPr>
          <w:spacing w:val="15"/>
        </w:rPr>
        <w:t> </w:t>
      </w:r>
      <w:r>
        <w:rPr/>
        <w:t>un autre moyen de paiement</w:t>
      </w:r>
    </w:p>
    <w:p>
      <w:pPr>
        <w:spacing w:after="0" w:line="362" w:lineRule="auto"/>
        <w:jc w:val="both"/>
        <w:sectPr>
          <w:type w:val="continuous"/>
          <w:pgSz w:w="12240" w:h="15840"/>
          <w:pgMar w:top="3140" w:bottom="280" w:left="1000" w:right="820"/>
        </w:sectPr>
      </w:pPr>
    </w:p>
    <w:p>
      <w:pPr>
        <w:pStyle w:val="BodyText"/>
        <w:spacing w:before="6"/>
        <w:rPr>
          <w:sz w:val="19"/>
        </w:rPr>
      </w:pPr>
    </w:p>
    <w:p>
      <w:pPr>
        <w:pStyle w:val="BodyText"/>
        <w:spacing w:line="367" w:lineRule="auto" w:before="90"/>
        <w:ind w:left="699" w:right="238"/>
      </w:pPr>
      <w:r>
        <w:rPr/>
        <w:t>pour continuer leurs opérations. Très peu d’utilisateurs, seulement 1,3 %, contactent le service client</w:t>
      </w:r>
    </w:p>
    <w:p>
      <w:pPr>
        <w:pStyle w:val="Heading5"/>
        <w:spacing w:before="154"/>
        <w:ind w:left="699" w:firstLine="0"/>
        <w:jc w:val="left"/>
      </w:pPr>
      <w:r>
        <w:rPr/>
        <w:t>Q22_L’indisponibilité du service affecte-t-elle votre confiance envers BaridiMob ?</w:t>
      </w:r>
    </w:p>
    <w:p>
      <w:pPr>
        <w:pStyle w:val="BodyText"/>
        <w:spacing w:before="5"/>
        <w:rPr>
          <w:b/>
          <w:sz w:val="17"/>
        </w:rPr>
      </w:pPr>
    </w:p>
    <w:p>
      <w:pPr>
        <w:spacing w:after="0"/>
        <w:rPr>
          <w:sz w:val="17"/>
        </w:rPr>
        <w:sectPr>
          <w:pgSz w:w="12240" w:h="15840"/>
          <w:pgMar w:header="723" w:footer="850" w:top="1080" w:bottom="1040" w:left="1000" w:right="820"/>
        </w:sectPr>
      </w:pPr>
    </w:p>
    <w:p>
      <w:pPr>
        <w:spacing w:line="237" w:lineRule="auto" w:before="92"/>
        <w:ind w:left="699" w:right="-15" w:firstLine="0"/>
        <w:jc w:val="left"/>
        <w:rPr>
          <w:sz w:val="24"/>
        </w:rPr>
      </w:pPr>
      <w:r>
        <w:rPr/>
        <w:pict>
          <v:line style="position:absolute;mso-position-horizontal-relative:page;mso-position-vertical-relative:paragraph;z-index:-258853888" from="362.529999pt,45.191078pt" to="542.249999pt,45.191078pt" stroked="true" strokeweight=".75pt" strokecolor="#d9d9d9">
            <v:stroke dashstyle="solid"/>
            <w10:wrap type="none"/>
          </v:line>
        </w:pict>
      </w:r>
      <w:bookmarkStart w:name="_bookmark54" w:id="248"/>
      <w:bookmarkEnd w:id="248"/>
      <w:r>
        <w:rPr/>
      </w:r>
      <w:r>
        <w:rPr>
          <w:b/>
          <w:color w:val="44536A"/>
          <w:sz w:val="24"/>
        </w:rPr>
        <w:t>Tableau 23 : </w:t>
      </w:r>
      <w:r>
        <w:rPr>
          <w:color w:val="44536A"/>
          <w:sz w:val="24"/>
        </w:rPr>
        <w:t>Impact de l’indisponibilité sur </w:t>
      </w:r>
      <w:r>
        <w:rPr>
          <w:color w:val="44536A"/>
          <w:spacing w:val="-5"/>
          <w:sz w:val="24"/>
        </w:rPr>
        <w:t>la </w:t>
      </w:r>
      <w:r>
        <w:rPr>
          <w:color w:val="44536A"/>
          <w:sz w:val="24"/>
        </w:rPr>
        <w:t>confiance</w:t>
      </w:r>
    </w:p>
    <w:p>
      <w:pPr>
        <w:spacing w:line="254" w:lineRule="auto" w:before="95"/>
        <w:ind w:left="457" w:right="0" w:firstLine="0"/>
        <w:jc w:val="left"/>
        <w:rPr>
          <w:sz w:val="24"/>
        </w:rPr>
      </w:pPr>
      <w:r>
        <w:rPr/>
        <w:br w:type="column"/>
      </w:r>
      <w:bookmarkStart w:name="_bookmark55" w:id="249"/>
      <w:bookmarkEnd w:id="249"/>
      <w:r>
        <w:rPr/>
      </w:r>
      <w:r>
        <w:rPr>
          <w:b/>
          <w:color w:val="44536A"/>
          <w:sz w:val="24"/>
        </w:rPr>
        <w:t>Figure 19 : </w:t>
      </w:r>
      <w:r>
        <w:rPr>
          <w:color w:val="44536A"/>
          <w:sz w:val="24"/>
        </w:rPr>
        <w:t>Impact de l’indisponibilité sur la confiance</w:t>
      </w:r>
    </w:p>
    <w:p>
      <w:pPr>
        <w:spacing w:after="0" w:line="254" w:lineRule="auto"/>
        <w:jc w:val="left"/>
        <w:rPr>
          <w:sz w:val="24"/>
        </w:rPr>
        <w:sectPr>
          <w:type w:val="continuous"/>
          <w:pgSz w:w="12240" w:h="15840"/>
          <w:pgMar w:top="3140" w:bottom="280" w:left="1000" w:right="820"/>
          <w:cols w:num="2" w:equalWidth="0">
            <w:col w:w="5167" w:space="40"/>
            <w:col w:w="5213"/>
          </w:cols>
        </w:sectPr>
      </w:pPr>
    </w:p>
    <w:p>
      <w:pPr>
        <w:tabs>
          <w:tab w:pos="5672" w:val="left" w:leader="none"/>
        </w:tabs>
        <w:spacing w:line="240" w:lineRule="auto"/>
        <w:ind w:left="680" w:right="0" w:firstLine="0"/>
        <w:rPr>
          <w:sz w:val="20"/>
        </w:rPr>
      </w:pPr>
      <w:r>
        <w:rPr>
          <w:sz w:val="20"/>
        </w:rPr>
        <w:pict>
          <v:shape style="width:237pt;height:159.450pt;mso-position-horizontal-relative:char;mso-position-vertical-relative:line" type="#_x0000_t202" filled="false" stroked="false">
            <w10:anchorlock/>
            <v:textbox inset="0,0,0,0">
              <w:txbxContent>
                <w:tbl>
                  <w:tblPr>
                    <w:tblW w:w="0" w:type="auto"/>
                    <w:jc w:val="left"/>
                    <w:tblInd w:w="2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668"/>
                    <w:gridCol w:w="1230"/>
                    <w:gridCol w:w="894"/>
                    <w:gridCol w:w="673"/>
                    <w:gridCol w:w="1220"/>
                  </w:tblGrid>
                  <w:tr>
                    <w:trPr>
                      <w:trHeight w:val="622" w:hRule="atLeast"/>
                    </w:trPr>
                    <w:tc>
                      <w:tcPr>
                        <w:tcW w:w="1898" w:type="dxa"/>
                        <w:gridSpan w:val="2"/>
                      </w:tcPr>
                      <w:p>
                        <w:pPr>
                          <w:pStyle w:val="TableParagraph"/>
                          <w:jc w:val="left"/>
                          <w:rPr>
                            <w:sz w:val="22"/>
                          </w:rPr>
                        </w:pPr>
                      </w:p>
                    </w:tc>
                    <w:tc>
                      <w:tcPr>
                        <w:tcW w:w="894" w:type="dxa"/>
                        <w:tcBorders>
                          <w:right w:val="single" w:sz="8" w:space="0" w:color="000000"/>
                        </w:tcBorders>
                      </w:tcPr>
                      <w:p>
                        <w:pPr>
                          <w:pStyle w:val="TableParagraph"/>
                          <w:spacing w:before="125"/>
                          <w:ind w:left="31"/>
                          <w:rPr>
                            <w:b/>
                            <w:sz w:val="18"/>
                          </w:rPr>
                        </w:pPr>
                        <w:r>
                          <w:rPr>
                            <w:b/>
                            <w:sz w:val="18"/>
                          </w:rPr>
                          <w:t>Frequency</w:t>
                        </w:r>
                      </w:p>
                    </w:tc>
                    <w:tc>
                      <w:tcPr>
                        <w:tcW w:w="673" w:type="dxa"/>
                        <w:tcBorders>
                          <w:left w:val="single" w:sz="8" w:space="0" w:color="000000"/>
                          <w:right w:val="single" w:sz="8" w:space="0" w:color="000000"/>
                        </w:tcBorders>
                      </w:tcPr>
                      <w:p>
                        <w:pPr>
                          <w:pStyle w:val="TableParagraph"/>
                          <w:spacing w:before="125"/>
                          <w:ind w:left="31"/>
                          <w:rPr>
                            <w:b/>
                            <w:sz w:val="18"/>
                          </w:rPr>
                        </w:pPr>
                        <w:r>
                          <w:rPr>
                            <w:b/>
                            <w:sz w:val="18"/>
                          </w:rPr>
                          <w:t>Percent</w:t>
                        </w:r>
                      </w:p>
                    </w:tc>
                    <w:tc>
                      <w:tcPr>
                        <w:tcW w:w="1220" w:type="dxa"/>
                        <w:tcBorders>
                          <w:left w:val="single" w:sz="8" w:space="0" w:color="000000"/>
                        </w:tcBorders>
                      </w:tcPr>
                      <w:p>
                        <w:pPr>
                          <w:pStyle w:val="TableParagraph"/>
                          <w:spacing w:line="179" w:lineRule="exact"/>
                          <w:ind w:left="145" w:right="102"/>
                          <w:rPr>
                            <w:b/>
                            <w:sz w:val="18"/>
                          </w:rPr>
                        </w:pPr>
                        <w:r>
                          <w:rPr>
                            <w:b/>
                            <w:sz w:val="18"/>
                          </w:rPr>
                          <w:t>Cumulative</w:t>
                        </w:r>
                      </w:p>
                      <w:p>
                        <w:pPr>
                          <w:pStyle w:val="TableParagraph"/>
                          <w:spacing w:before="100"/>
                          <w:ind w:left="144" w:right="102"/>
                          <w:rPr>
                            <w:b/>
                            <w:sz w:val="18"/>
                          </w:rPr>
                        </w:pPr>
                        <w:r>
                          <w:rPr>
                            <w:b/>
                            <w:sz w:val="18"/>
                          </w:rPr>
                          <w:t>Percent</w:t>
                        </w:r>
                      </w:p>
                    </w:tc>
                  </w:tr>
                  <w:tr>
                    <w:trPr>
                      <w:trHeight w:val="314" w:hRule="atLeast"/>
                    </w:trPr>
                    <w:tc>
                      <w:tcPr>
                        <w:tcW w:w="668" w:type="dxa"/>
                        <w:tcBorders>
                          <w:bottom w:val="nil"/>
                          <w:right w:val="nil"/>
                        </w:tcBorders>
                      </w:tcPr>
                      <w:p>
                        <w:pPr>
                          <w:pStyle w:val="TableParagraph"/>
                          <w:jc w:val="left"/>
                          <w:rPr>
                            <w:sz w:val="22"/>
                          </w:rPr>
                        </w:pPr>
                      </w:p>
                    </w:tc>
                    <w:tc>
                      <w:tcPr>
                        <w:tcW w:w="1230" w:type="dxa"/>
                        <w:tcBorders>
                          <w:left w:val="nil"/>
                          <w:bottom w:val="nil"/>
                        </w:tcBorders>
                      </w:tcPr>
                      <w:p>
                        <w:pPr>
                          <w:pStyle w:val="TableParagraph"/>
                          <w:spacing w:line="198" w:lineRule="exact"/>
                          <w:ind w:left="42"/>
                          <w:jc w:val="left"/>
                          <w:rPr>
                            <w:b/>
                            <w:sz w:val="18"/>
                          </w:rPr>
                        </w:pPr>
                        <w:r>
                          <w:rPr>
                            <w:b/>
                            <w:sz w:val="18"/>
                          </w:rPr>
                          <w:t>Oui, beaucoup</w:t>
                        </w:r>
                      </w:p>
                    </w:tc>
                    <w:tc>
                      <w:tcPr>
                        <w:tcW w:w="894" w:type="dxa"/>
                        <w:tcBorders>
                          <w:bottom w:val="nil"/>
                          <w:right w:val="single" w:sz="8" w:space="0" w:color="000000"/>
                        </w:tcBorders>
                      </w:tcPr>
                      <w:p>
                        <w:pPr>
                          <w:pStyle w:val="TableParagraph"/>
                          <w:spacing w:line="198" w:lineRule="exact"/>
                          <w:ind w:left="32"/>
                          <w:rPr>
                            <w:b/>
                            <w:sz w:val="18"/>
                          </w:rPr>
                        </w:pPr>
                        <w:r>
                          <w:rPr>
                            <w:b/>
                            <w:sz w:val="18"/>
                          </w:rPr>
                          <w:t>52</w:t>
                        </w:r>
                      </w:p>
                    </w:tc>
                    <w:tc>
                      <w:tcPr>
                        <w:tcW w:w="673" w:type="dxa"/>
                        <w:tcBorders>
                          <w:left w:val="single" w:sz="8" w:space="0" w:color="000000"/>
                          <w:bottom w:val="nil"/>
                          <w:right w:val="single" w:sz="8" w:space="0" w:color="000000"/>
                        </w:tcBorders>
                      </w:tcPr>
                      <w:p>
                        <w:pPr>
                          <w:pStyle w:val="TableParagraph"/>
                          <w:spacing w:line="198" w:lineRule="exact"/>
                          <w:ind w:left="38"/>
                          <w:rPr>
                            <w:b/>
                            <w:sz w:val="18"/>
                          </w:rPr>
                        </w:pPr>
                        <w:r>
                          <w:rPr>
                            <w:b/>
                            <w:sz w:val="18"/>
                          </w:rPr>
                          <w:t>12,6</w:t>
                        </w:r>
                      </w:p>
                    </w:tc>
                    <w:tc>
                      <w:tcPr>
                        <w:tcW w:w="1220" w:type="dxa"/>
                        <w:tcBorders>
                          <w:left w:val="single" w:sz="8" w:space="0" w:color="000000"/>
                          <w:bottom w:val="nil"/>
                        </w:tcBorders>
                      </w:tcPr>
                      <w:p>
                        <w:pPr>
                          <w:pStyle w:val="TableParagraph"/>
                          <w:spacing w:line="198" w:lineRule="exact"/>
                          <w:ind w:left="457"/>
                          <w:jc w:val="left"/>
                          <w:rPr>
                            <w:b/>
                            <w:sz w:val="18"/>
                          </w:rPr>
                        </w:pPr>
                        <w:r>
                          <w:rPr>
                            <w:b/>
                            <w:sz w:val="18"/>
                          </w:rPr>
                          <w:t>13,8</w:t>
                        </w:r>
                      </w:p>
                    </w:tc>
                  </w:tr>
                  <w:tr>
                    <w:trPr>
                      <w:trHeight w:val="340" w:hRule="atLeast"/>
                    </w:trPr>
                    <w:tc>
                      <w:tcPr>
                        <w:tcW w:w="668" w:type="dxa"/>
                        <w:tcBorders>
                          <w:top w:val="nil"/>
                          <w:bottom w:val="nil"/>
                          <w:right w:val="nil"/>
                        </w:tcBorders>
                      </w:tcPr>
                      <w:p>
                        <w:pPr>
                          <w:pStyle w:val="TableParagraph"/>
                          <w:jc w:val="left"/>
                          <w:rPr>
                            <w:sz w:val="22"/>
                          </w:rPr>
                        </w:pPr>
                      </w:p>
                    </w:tc>
                    <w:tc>
                      <w:tcPr>
                        <w:tcW w:w="1230" w:type="dxa"/>
                        <w:tcBorders>
                          <w:top w:val="nil"/>
                          <w:left w:val="nil"/>
                          <w:bottom w:val="nil"/>
                        </w:tcBorders>
                      </w:tcPr>
                      <w:p>
                        <w:pPr>
                          <w:pStyle w:val="TableParagraph"/>
                          <w:spacing w:before="51"/>
                          <w:ind w:left="148"/>
                          <w:jc w:val="left"/>
                          <w:rPr>
                            <w:b/>
                            <w:sz w:val="18"/>
                          </w:rPr>
                        </w:pPr>
                        <w:r>
                          <w:rPr>
                            <w:b/>
                            <w:sz w:val="18"/>
                          </w:rPr>
                          <w:t>Oui, un peu</w:t>
                        </w:r>
                      </w:p>
                    </w:tc>
                    <w:tc>
                      <w:tcPr>
                        <w:tcW w:w="894" w:type="dxa"/>
                        <w:tcBorders>
                          <w:top w:val="nil"/>
                          <w:bottom w:val="nil"/>
                          <w:right w:val="single" w:sz="8" w:space="0" w:color="000000"/>
                        </w:tcBorders>
                      </w:tcPr>
                      <w:p>
                        <w:pPr>
                          <w:pStyle w:val="TableParagraph"/>
                          <w:spacing w:before="51"/>
                          <w:ind w:left="36"/>
                          <w:rPr>
                            <w:b/>
                            <w:sz w:val="18"/>
                          </w:rPr>
                        </w:pPr>
                        <w:r>
                          <w:rPr>
                            <w:b/>
                            <w:sz w:val="18"/>
                          </w:rPr>
                          <w:t>204</w:t>
                        </w:r>
                      </w:p>
                    </w:tc>
                    <w:tc>
                      <w:tcPr>
                        <w:tcW w:w="673" w:type="dxa"/>
                        <w:tcBorders>
                          <w:top w:val="nil"/>
                          <w:left w:val="single" w:sz="8" w:space="0" w:color="000000"/>
                          <w:bottom w:val="nil"/>
                          <w:right w:val="single" w:sz="8" w:space="0" w:color="000000"/>
                        </w:tcBorders>
                      </w:tcPr>
                      <w:p>
                        <w:pPr>
                          <w:pStyle w:val="TableParagraph"/>
                          <w:spacing w:before="51"/>
                          <w:ind w:left="38"/>
                          <w:rPr>
                            <w:b/>
                            <w:sz w:val="18"/>
                          </w:rPr>
                        </w:pPr>
                        <w:r>
                          <w:rPr>
                            <w:b/>
                            <w:sz w:val="18"/>
                          </w:rPr>
                          <w:t>49,5</w:t>
                        </w:r>
                      </w:p>
                    </w:tc>
                    <w:tc>
                      <w:tcPr>
                        <w:tcW w:w="1220" w:type="dxa"/>
                        <w:tcBorders>
                          <w:top w:val="nil"/>
                          <w:left w:val="single" w:sz="8" w:space="0" w:color="000000"/>
                          <w:bottom w:val="nil"/>
                        </w:tcBorders>
                      </w:tcPr>
                      <w:p>
                        <w:pPr>
                          <w:pStyle w:val="TableParagraph"/>
                          <w:spacing w:before="51"/>
                          <w:ind w:left="457"/>
                          <w:jc w:val="left"/>
                          <w:rPr>
                            <w:b/>
                            <w:sz w:val="18"/>
                          </w:rPr>
                        </w:pPr>
                        <w:r>
                          <w:rPr>
                            <w:b/>
                            <w:sz w:val="18"/>
                          </w:rPr>
                          <w:t>68,1</w:t>
                        </w:r>
                      </w:p>
                    </w:tc>
                  </w:tr>
                  <w:tr>
                    <w:trPr>
                      <w:trHeight w:val="679" w:hRule="atLeast"/>
                    </w:trPr>
                    <w:tc>
                      <w:tcPr>
                        <w:tcW w:w="668" w:type="dxa"/>
                        <w:tcBorders>
                          <w:top w:val="nil"/>
                          <w:bottom w:val="nil"/>
                          <w:right w:val="nil"/>
                        </w:tcBorders>
                      </w:tcPr>
                      <w:p>
                        <w:pPr>
                          <w:pStyle w:val="TableParagraph"/>
                          <w:spacing w:before="17"/>
                          <w:ind w:left="7" w:right="2"/>
                          <w:rPr>
                            <w:b/>
                            <w:sz w:val="18"/>
                          </w:rPr>
                        </w:pPr>
                        <w:r>
                          <w:rPr>
                            <w:b/>
                            <w:sz w:val="18"/>
                          </w:rPr>
                          <w:t>Valid</w:t>
                        </w:r>
                      </w:p>
                    </w:tc>
                    <w:tc>
                      <w:tcPr>
                        <w:tcW w:w="1230" w:type="dxa"/>
                        <w:tcBorders>
                          <w:top w:val="nil"/>
                          <w:left w:val="nil"/>
                          <w:bottom w:val="nil"/>
                        </w:tcBorders>
                      </w:tcPr>
                      <w:p>
                        <w:pPr>
                          <w:pStyle w:val="TableParagraph"/>
                          <w:spacing w:line="355" w:lineRule="auto" w:before="60"/>
                          <w:ind w:left="446" w:right="129" w:hanging="303"/>
                          <w:jc w:val="left"/>
                          <w:rPr>
                            <w:b/>
                            <w:sz w:val="18"/>
                          </w:rPr>
                        </w:pPr>
                        <w:r>
                          <w:rPr>
                            <w:b/>
                            <w:sz w:val="18"/>
                          </w:rPr>
                          <w:t>Non, pas du tout</w:t>
                        </w:r>
                      </w:p>
                    </w:tc>
                    <w:tc>
                      <w:tcPr>
                        <w:tcW w:w="894" w:type="dxa"/>
                        <w:tcBorders>
                          <w:top w:val="nil"/>
                          <w:bottom w:val="nil"/>
                          <w:right w:val="single" w:sz="8" w:space="0" w:color="000000"/>
                        </w:tcBorders>
                      </w:tcPr>
                      <w:p>
                        <w:pPr>
                          <w:pStyle w:val="TableParagraph"/>
                          <w:spacing w:before="7"/>
                          <w:jc w:val="left"/>
                          <w:rPr>
                            <w:sz w:val="18"/>
                          </w:rPr>
                        </w:pPr>
                      </w:p>
                      <w:p>
                        <w:pPr>
                          <w:pStyle w:val="TableParagraph"/>
                          <w:ind w:left="36"/>
                          <w:rPr>
                            <w:b/>
                            <w:sz w:val="18"/>
                          </w:rPr>
                        </w:pPr>
                        <w:r>
                          <w:rPr>
                            <w:b/>
                            <w:sz w:val="18"/>
                          </w:rPr>
                          <w:t>120</w:t>
                        </w:r>
                      </w:p>
                    </w:tc>
                    <w:tc>
                      <w:tcPr>
                        <w:tcW w:w="673" w:type="dxa"/>
                        <w:tcBorders>
                          <w:top w:val="nil"/>
                          <w:left w:val="single" w:sz="8" w:space="0" w:color="000000"/>
                          <w:bottom w:val="nil"/>
                          <w:right w:val="single" w:sz="8" w:space="0" w:color="000000"/>
                        </w:tcBorders>
                      </w:tcPr>
                      <w:p>
                        <w:pPr>
                          <w:pStyle w:val="TableParagraph"/>
                          <w:spacing w:before="7"/>
                          <w:jc w:val="left"/>
                          <w:rPr>
                            <w:sz w:val="18"/>
                          </w:rPr>
                        </w:pPr>
                      </w:p>
                      <w:p>
                        <w:pPr>
                          <w:pStyle w:val="TableParagraph"/>
                          <w:ind w:left="38"/>
                          <w:rPr>
                            <w:b/>
                            <w:sz w:val="18"/>
                          </w:rPr>
                        </w:pPr>
                        <w:r>
                          <w:rPr>
                            <w:b/>
                            <w:sz w:val="18"/>
                          </w:rPr>
                          <w:t>29,1</w:t>
                        </w:r>
                      </w:p>
                    </w:tc>
                    <w:tc>
                      <w:tcPr>
                        <w:tcW w:w="1220" w:type="dxa"/>
                        <w:tcBorders>
                          <w:top w:val="nil"/>
                          <w:left w:val="single" w:sz="8" w:space="0" w:color="000000"/>
                          <w:bottom w:val="nil"/>
                        </w:tcBorders>
                      </w:tcPr>
                      <w:p>
                        <w:pPr>
                          <w:pStyle w:val="TableParagraph"/>
                          <w:spacing w:before="7"/>
                          <w:jc w:val="left"/>
                          <w:rPr>
                            <w:sz w:val="18"/>
                          </w:rPr>
                        </w:pPr>
                      </w:p>
                      <w:p>
                        <w:pPr>
                          <w:pStyle w:val="TableParagraph"/>
                          <w:ind w:left="414"/>
                          <w:jc w:val="left"/>
                          <w:rPr>
                            <w:b/>
                            <w:sz w:val="18"/>
                          </w:rPr>
                        </w:pPr>
                        <w:r>
                          <w:rPr>
                            <w:b/>
                            <w:sz w:val="18"/>
                          </w:rPr>
                          <w:t>100,0</w:t>
                        </w:r>
                      </w:p>
                    </w:tc>
                  </w:tr>
                  <w:tr>
                    <w:trPr>
                      <w:trHeight w:val="343" w:hRule="atLeast"/>
                    </w:trPr>
                    <w:tc>
                      <w:tcPr>
                        <w:tcW w:w="668" w:type="dxa"/>
                        <w:tcBorders>
                          <w:top w:val="nil"/>
                          <w:bottom w:val="nil"/>
                          <w:right w:val="nil"/>
                        </w:tcBorders>
                      </w:tcPr>
                      <w:p>
                        <w:pPr>
                          <w:pStyle w:val="TableParagraph"/>
                          <w:jc w:val="left"/>
                          <w:rPr>
                            <w:sz w:val="22"/>
                          </w:rPr>
                        </w:pPr>
                      </w:p>
                    </w:tc>
                    <w:tc>
                      <w:tcPr>
                        <w:tcW w:w="1230" w:type="dxa"/>
                        <w:tcBorders>
                          <w:top w:val="nil"/>
                          <w:left w:val="nil"/>
                          <w:bottom w:val="nil"/>
                        </w:tcBorders>
                      </w:tcPr>
                      <w:p>
                        <w:pPr>
                          <w:pStyle w:val="TableParagraph"/>
                          <w:spacing w:before="39"/>
                          <w:ind w:left="398"/>
                          <w:jc w:val="left"/>
                          <w:rPr>
                            <w:b/>
                            <w:sz w:val="18"/>
                          </w:rPr>
                        </w:pPr>
                        <w:r>
                          <w:rPr>
                            <w:b/>
                            <w:sz w:val="18"/>
                          </w:rPr>
                          <w:t>Total</w:t>
                        </w:r>
                      </w:p>
                    </w:tc>
                    <w:tc>
                      <w:tcPr>
                        <w:tcW w:w="894" w:type="dxa"/>
                        <w:tcBorders>
                          <w:top w:val="nil"/>
                          <w:bottom w:val="nil"/>
                          <w:right w:val="single" w:sz="8" w:space="0" w:color="000000"/>
                        </w:tcBorders>
                      </w:tcPr>
                      <w:p>
                        <w:pPr>
                          <w:pStyle w:val="TableParagraph"/>
                          <w:spacing w:before="39"/>
                          <w:ind w:left="36"/>
                          <w:rPr>
                            <w:b/>
                            <w:sz w:val="18"/>
                          </w:rPr>
                        </w:pPr>
                        <w:r>
                          <w:rPr>
                            <w:b/>
                            <w:sz w:val="18"/>
                          </w:rPr>
                          <w:t>376</w:t>
                        </w:r>
                      </w:p>
                    </w:tc>
                    <w:tc>
                      <w:tcPr>
                        <w:tcW w:w="673" w:type="dxa"/>
                        <w:tcBorders>
                          <w:top w:val="nil"/>
                          <w:left w:val="single" w:sz="8" w:space="0" w:color="000000"/>
                          <w:bottom w:val="nil"/>
                          <w:right w:val="single" w:sz="8" w:space="0" w:color="000000"/>
                        </w:tcBorders>
                      </w:tcPr>
                      <w:p>
                        <w:pPr>
                          <w:pStyle w:val="TableParagraph"/>
                          <w:spacing w:before="39"/>
                          <w:ind w:left="38"/>
                          <w:rPr>
                            <w:b/>
                            <w:sz w:val="18"/>
                          </w:rPr>
                        </w:pPr>
                        <w:r>
                          <w:rPr>
                            <w:b/>
                            <w:sz w:val="18"/>
                          </w:rPr>
                          <w:t>91,3</w:t>
                        </w:r>
                      </w:p>
                    </w:tc>
                    <w:tc>
                      <w:tcPr>
                        <w:tcW w:w="1220" w:type="dxa"/>
                        <w:tcBorders>
                          <w:top w:val="nil"/>
                          <w:left w:val="single" w:sz="8" w:space="0" w:color="000000"/>
                          <w:bottom w:val="nil"/>
                        </w:tcBorders>
                      </w:tcPr>
                      <w:p>
                        <w:pPr>
                          <w:pStyle w:val="TableParagraph"/>
                          <w:jc w:val="left"/>
                          <w:rPr>
                            <w:sz w:val="22"/>
                          </w:rPr>
                        </w:pPr>
                      </w:p>
                    </w:tc>
                  </w:tr>
                  <w:tr>
                    <w:trPr>
                      <w:trHeight w:val="347" w:hRule="atLeast"/>
                    </w:trPr>
                    <w:tc>
                      <w:tcPr>
                        <w:tcW w:w="668" w:type="dxa"/>
                        <w:tcBorders>
                          <w:top w:val="nil"/>
                          <w:bottom w:val="nil"/>
                          <w:right w:val="nil"/>
                        </w:tcBorders>
                      </w:tcPr>
                      <w:p>
                        <w:pPr>
                          <w:pStyle w:val="TableParagraph"/>
                          <w:spacing w:before="31"/>
                          <w:ind w:left="2" w:right="2"/>
                          <w:rPr>
                            <w:b/>
                            <w:sz w:val="18"/>
                          </w:rPr>
                        </w:pPr>
                        <w:r>
                          <w:rPr>
                            <w:b/>
                            <w:sz w:val="18"/>
                          </w:rPr>
                          <w:t>Missing</w:t>
                        </w:r>
                      </w:p>
                    </w:tc>
                    <w:tc>
                      <w:tcPr>
                        <w:tcW w:w="1230" w:type="dxa"/>
                        <w:tcBorders>
                          <w:top w:val="nil"/>
                          <w:left w:val="nil"/>
                          <w:bottom w:val="nil"/>
                        </w:tcBorders>
                      </w:tcPr>
                      <w:p>
                        <w:pPr>
                          <w:pStyle w:val="TableParagraph"/>
                          <w:jc w:val="left"/>
                          <w:rPr>
                            <w:sz w:val="22"/>
                          </w:rPr>
                        </w:pPr>
                      </w:p>
                    </w:tc>
                    <w:tc>
                      <w:tcPr>
                        <w:tcW w:w="894" w:type="dxa"/>
                        <w:tcBorders>
                          <w:top w:val="nil"/>
                          <w:bottom w:val="nil"/>
                          <w:right w:val="single" w:sz="8" w:space="0" w:color="000000"/>
                        </w:tcBorders>
                      </w:tcPr>
                      <w:p>
                        <w:pPr>
                          <w:pStyle w:val="TableParagraph"/>
                          <w:spacing w:before="31"/>
                          <w:ind w:left="32"/>
                          <w:rPr>
                            <w:b/>
                            <w:sz w:val="18"/>
                          </w:rPr>
                        </w:pPr>
                        <w:r>
                          <w:rPr>
                            <w:b/>
                            <w:sz w:val="18"/>
                          </w:rPr>
                          <w:t>36</w:t>
                        </w:r>
                      </w:p>
                    </w:tc>
                    <w:tc>
                      <w:tcPr>
                        <w:tcW w:w="673" w:type="dxa"/>
                        <w:tcBorders>
                          <w:top w:val="nil"/>
                          <w:left w:val="single" w:sz="8" w:space="0" w:color="000000"/>
                          <w:bottom w:val="nil"/>
                          <w:right w:val="single" w:sz="8" w:space="0" w:color="000000"/>
                        </w:tcBorders>
                      </w:tcPr>
                      <w:p>
                        <w:pPr>
                          <w:pStyle w:val="TableParagraph"/>
                          <w:spacing w:before="31"/>
                          <w:ind w:left="33"/>
                          <w:rPr>
                            <w:b/>
                            <w:sz w:val="18"/>
                          </w:rPr>
                        </w:pPr>
                        <w:r>
                          <w:rPr>
                            <w:b/>
                            <w:sz w:val="18"/>
                          </w:rPr>
                          <w:t>8,7</w:t>
                        </w:r>
                      </w:p>
                    </w:tc>
                    <w:tc>
                      <w:tcPr>
                        <w:tcW w:w="1220" w:type="dxa"/>
                        <w:tcBorders>
                          <w:top w:val="nil"/>
                          <w:left w:val="single" w:sz="8" w:space="0" w:color="000000"/>
                          <w:bottom w:val="nil"/>
                        </w:tcBorders>
                      </w:tcPr>
                      <w:p>
                        <w:pPr>
                          <w:pStyle w:val="TableParagraph"/>
                          <w:jc w:val="left"/>
                          <w:rPr>
                            <w:sz w:val="22"/>
                          </w:rPr>
                        </w:pPr>
                      </w:p>
                    </w:tc>
                  </w:tr>
                  <w:tr>
                    <w:trPr>
                      <w:trHeight w:val="411" w:hRule="atLeast"/>
                    </w:trPr>
                    <w:tc>
                      <w:tcPr>
                        <w:tcW w:w="668" w:type="dxa"/>
                        <w:tcBorders>
                          <w:top w:val="nil"/>
                          <w:right w:val="nil"/>
                        </w:tcBorders>
                      </w:tcPr>
                      <w:p>
                        <w:pPr>
                          <w:pStyle w:val="TableParagraph"/>
                          <w:jc w:val="left"/>
                          <w:rPr>
                            <w:sz w:val="22"/>
                          </w:rPr>
                        </w:pPr>
                      </w:p>
                    </w:tc>
                    <w:tc>
                      <w:tcPr>
                        <w:tcW w:w="1230" w:type="dxa"/>
                        <w:tcBorders>
                          <w:top w:val="nil"/>
                          <w:left w:val="nil"/>
                        </w:tcBorders>
                      </w:tcPr>
                      <w:p>
                        <w:pPr>
                          <w:pStyle w:val="TableParagraph"/>
                          <w:spacing w:before="43"/>
                          <w:ind w:left="95"/>
                          <w:jc w:val="left"/>
                          <w:rPr>
                            <w:b/>
                            <w:sz w:val="18"/>
                          </w:rPr>
                        </w:pPr>
                        <w:r>
                          <w:rPr>
                            <w:b/>
                            <w:sz w:val="18"/>
                          </w:rPr>
                          <w:t>Total</w:t>
                        </w:r>
                      </w:p>
                    </w:tc>
                    <w:tc>
                      <w:tcPr>
                        <w:tcW w:w="894" w:type="dxa"/>
                        <w:tcBorders>
                          <w:top w:val="nil"/>
                          <w:right w:val="single" w:sz="8" w:space="0" w:color="000000"/>
                        </w:tcBorders>
                      </w:tcPr>
                      <w:p>
                        <w:pPr>
                          <w:pStyle w:val="TableParagraph"/>
                          <w:spacing w:before="43"/>
                          <w:ind w:left="36"/>
                          <w:rPr>
                            <w:b/>
                            <w:sz w:val="18"/>
                          </w:rPr>
                        </w:pPr>
                        <w:r>
                          <w:rPr>
                            <w:b/>
                            <w:sz w:val="18"/>
                          </w:rPr>
                          <w:t>412</w:t>
                        </w:r>
                      </w:p>
                    </w:tc>
                    <w:tc>
                      <w:tcPr>
                        <w:tcW w:w="673" w:type="dxa"/>
                        <w:tcBorders>
                          <w:top w:val="nil"/>
                          <w:left w:val="single" w:sz="8" w:space="0" w:color="000000"/>
                          <w:right w:val="single" w:sz="8" w:space="0" w:color="000000"/>
                        </w:tcBorders>
                      </w:tcPr>
                      <w:p>
                        <w:pPr>
                          <w:pStyle w:val="TableParagraph"/>
                          <w:spacing w:before="43"/>
                          <w:ind w:left="38"/>
                          <w:rPr>
                            <w:b/>
                            <w:sz w:val="18"/>
                          </w:rPr>
                        </w:pPr>
                        <w:r>
                          <w:rPr>
                            <w:b/>
                            <w:sz w:val="18"/>
                          </w:rPr>
                          <w:t>100,0</w:t>
                        </w:r>
                      </w:p>
                    </w:tc>
                    <w:tc>
                      <w:tcPr>
                        <w:tcW w:w="1220" w:type="dxa"/>
                        <w:tcBorders>
                          <w:top w:val="nil"/>
                          <w:left w:val="single" w:sz="8" w:space="0" w:color="000000"/>
                        </w:tcBorders>
                      </w:tcPr>
                      <w:p>
                        <w:pPr>
                          <w:pStyle w:val="TableParagraph"/>
                          <w:jc w:val="left"/>
                          <w:rPr>
                            <w:sz w:val="22"/>
                          </w:rPr>
                        </w:pPr>
                      </w:p>
                    </w:tc>
                  </w:tr>
                </w:tbl>
                <w:p>
                  <w:pPr>
                    <w:pStyle w:val="BodyText"/>
                  </w:pPr>
                </w:p>
              </w:txbxContent>
            </v:textbox>
          </v:shape>
        </w:pict>
      </w:r>
      <w:r>
        <w:rPr>
          <w:sz w:val="20"/>
        </w:rPr>
      </w:r>
      <w:r>
        <w:rPr>
          <w:sz w:val="20"/>
        </w:rPr>
        <w:tab/>
      </w:r>
      <w:r>
        <w:rPr>
          <w:position w:val="12"/>
          <w:sz w:val="20"/>
        </w:rPr>
        <w:pict>
          <v:group style="width:220pt;height:153.75pt;mso-position-horizontal-relative:char;mso-position-vertical-relative:line" coordorigin="0,0" coordsize="4400,3075">
            <v:line style="position:absolute" from="3537,1585" to="4172,1585" stroked="true" strokeweight=".75pt" strokecolor="#d9d9d9">
              <v:stroke dashstyle="solid"/>
            </v:line>
            <v:line style="position:absolute" from="2337,1585" to="3268,1585" stroked="true" strokeweight=".75pt" strokecolor="#d9d9d9">
              <v:stroke dashstyle="solid"/>
            </v:line>
            <v:line style="position:absolute" from="1142,1585" to="2068,1585" stroked="true" strokeweight=".75pt" strokecolor="#d9d9d9">
              <v:stroke dashstyle="solid"/>
            </v:line>
            <v:line style="position:absolute" from="578,1585" to="873,1585" stroked="true" strokeweight=".75pt" strokecolor="#d9d9d9">
              <v:stroke dashstyle="solid"/>
            </v:line>
            <v:rect style="position:absolute;left:873;top:1570;width:269;height:356" filled="true" fillcolor="#ff0000" stroked="false">
              <v:fill type="solid"/>
            </v:rect>
            <v:line style="position:absolute" from="2337,1244" to="3268,1244" stroked="true" strokeweight=".75pt" strokecolor="#d9d9d9">
              <v:stroke dashstyle="solid"/>
            </v:line>
            <v:line style="position:absolute" from="578,1244" to="2068,1244" stroked="true" strokeweight=".75pt" strokecolor="#d9d9d9">
              <v:stroke dashstyle="solid"/>
            </v:line>
            <v:line style="position:absolute" from="2337,908" to="4173,908" stroked="true" strokeweight=".75pt" strokecolor="#d9d9d9">
              <v:stroke dashstyle="solid"/>
            </v:line>
            <v:line style="position:absolute" from="578,908" to="2068,908" stroked="true" strokeweight=".75pt" strokecolor="#d9d9d9">
              <v:stroke dashstyle="solid"/>
            </v:line>
            <v:line style="position:absolute" from="2337,568" to="4173,568" stroked="true" strokeweight=".75pt" strokecolor="#d9d9d9">
              <v:stroke dashstyle="solid"/>
            </v:line>
            <v:line style="position:absolute" from="578,568" to="2068,568" stroked="true" strokeweight=".75pt" strokecolor="#d9d9d9">
              <v:stroke dashstyle="solid"/>
            </v:line>
            <v:rect style="position:absolute;left:2068;top:538;width:269;height:1388" filled="true" fillcolor="#ff0000" stroked="false">
              <v:fill type="solid"/>
            </v:rect>
            <v:line style="position:absolute" from="3537,1244" to="4172,1244" stroked="true" strokeweight=".75pt" strokecolor="#d9d9d9">
              <v:stroke dashstyle="solid"/>
            </v:line>
            <v:rect style="position:absolute;left:3268;top:1110;width:269;height:817" filled="true" fillcolor="#ff0000" stroked="false">
              <v:fill type="solid"/>
            </v:rect>
            <v:line style="position:absolute" from="1214,1883" to="1483,1883" stroked="true" strokeweight="4.34pt" strokecolor="#ffd966">
              <v:stroke dashstyle="solid"/>
            </v:line>
            <v:rect style="position:absolute;left:2413;top:1590;width:264;height:337" filled="true" fillcolor="#ffd966" stroked="false">
              <v:fill type="solid"/>
            </v:rect>
            <v:rect style="position:absolute;left:3609;top:1729;width:269;height:198" filled="true" fillcolor="#ffd966" stroked="false">
              <v:fill type="solid"/>
            </v:rect>
            <v:line style="position:absolute" from="578,1926" to="4173,1926" stroked="true" strokeweight=".75pt" strokecolor="#d9d9d9">
              <v:stroke dashstyle="solid"/>
            </v:line>
            <v:shape style="position:absolute;left:7;top:7;width:4385;height:3060" type="#_x0000_t202" filled="false" stroked="true" strokeweight=".75pt" strokecolor="#d9d9d9">
              <v:textbox inset="0,0,0,0">
                <w:txbxContent>
                  <w:p>
                    <w:pPr>
                      <w:spacing w:before="95"/>
                      <w:ind w:left="125" w:right="0" w:firstLine="0"/>
                      <w:jc w:val="left"/>
                      <w:rPr>
                        <w:rFonts w:ascii="Calibri"/>
                        <w:sz w:val="18"/>
                      </w:rPr>
                    </w:pPr>
                    <w:r>
                      <w:rPr>
                        <w:rFonts w:ascii="Calibri"/>
                        <w:color w:val="585858"/>
                        <w:spacing w:val="-2"/>
                        <w:sz w:val="18"/>
                      </w:rPr>
                      <w:t>250</w:t>
                    </w:r>
                  </w:p>
                  <w:p>
                    <w:pPr>
                      <w:spacing w:before="120"/>
                      <w:ind w:left="125" w:right="0" w:firstLine="0"/>
                      <w:jc w:val="left"/>
                      <w:rPr>
                        <w:rFonts w:ascii="Calibri"/>
                        <w:sz w:val="18"/>
                      </w:rPr>
                    </w:pPr>
                    <w:r>
                      <w:rPr>
                        <w:rFonts w:ascii="Calibri"/>
                        <w:color w:val="585858"/>
                        <w:spacing w:val="-2"/>
                        <w:sz w:val="18"/>
                      </w:rPr>
                      <w:t>200</w:t>
                    </w:r>
                  </w:p>
                  <w:p>
                    <w:pPr>
                      <w:spacing w:before="120"/>
                      <w:ind w:left="125" w:right="0" w:firstLine="0"/>
                      <w:jc w:val="left"/>
                      <w:rPr>
                        <w:rFonts w:ascii="Calibri"/>
                        <w:sz w:val="18"/>
                      </w:rPr>
                    </w:pPr>
                    <w:r>
                      <w:rPr>
                        <w:rFonts w:ascii="Calibri"/>
                        <w:color w:val="585858"/>
                        <w:spacing w:val="-2"/>
                        <w:sz w:val="18"/>
                      </w:rPr>
                      <w:t>150</w:t>
                    </w:r>
                  </w:p>
                  <w:p>
                    <w:pPr>
                      <w:spacing w:before="120"/>
                      <w:ind w:left="125" w:right="0" w:firstLine="0"/>
                      <w:jc w:val="left"/>
                      <w:rPr>
                        <w:rFonts w:ascii="Calibri"/>
                        <w:sz w:val="18"/>
                      </w:rPr>
                    </w:pPr>
                    <w:r>
                      <w:rPr>
                        <w:rFonts w:ascii="Calibri"/>
                        <w:color w:val="585858"/>
                        <w:spacing w:val="-2"/>
                        <w:sz w:val="18"/>
                      </w:rPr>
                      <w:t>100</w:t>
                    </w:r>
                  </w:p>
                  <w:p>
                    <w:pPr>
                      <w:spacing w:before="120"/>
                      <w:ind w:left="216" w:right="0" w:firstLine="0"/>
                      <w:jc w:val="left"/>
                      <w:rPr>
                        <w:rFonts w:ascii="Calibri"/>
                        <w:sz w:val="18"/>
                      </w:rPr>
                    </w:pPr>
                    <w:r>
                      <w:rPr>
                        <w:rFonts w:ascii="Calibri"/>
                        <w:color w:val="585858"/>
                        <w:sz w:val="18"/>
                      </w:rPr>
                      <w:t>50</w:t>
                    </w:r>
                  </w:p>
                  <w:p>
                    <w:pPr>
                      <w:spacing w:before="121"/>
                      <w:ind w:left="307" w:right="0" w:firstLine="0"/>
                      <w:jc w:val="left"/>
                      <w:rPr>
                        <w:rFonts w:ascii="Calibri"/>
                        <w:sz w:val="18"/>
                      </w:rPr>
                    </w:pPr>
                    <w:r>
                      <w:rPr>
                        <w:rFonts w:ascii="Calibri"/>
                        <w:color w:val="585858"/>
                        <w:w w:val="101"/>
                        <w:sz w:val="18"/>
                      </w:rPr>
                      <w:t>0</w:t>
                    </w:r>
                  </w:p>
                  <w:p>
                    <w:pPr>
                      <w:tabs>
                        <w:tab w:pos="1938" w:val="left" w:leader="none"/>
                        <w:tab w:pos="3126" w:val="left" w:leader="none"/>
                      </w:tabs>
                      <w:spacing w:before="14"/>
                      <w:ind w:left="632" w:right="0" w:firstLine="0"/>
                      <w:jc w:val="left"/>
                      <w:rPr>
                        <w:rFonts w:ascii="Calibri"/>
                        <w:sz w:val="18"/>
                      </w:rPr>
                    </w:pPr>
                    <w:r>
                      <w:rPr>
                        <w:rFonts w:ascii="Calibri"/>
                        <w:color w:val="585858"/>
                        <w:sz w:val="18"/>
                      </w:rPr>
                      <w:t>Oui,</w:t>
                    </w:r>
                    <w:r>
                      <w:rPr>
                        <w:rFonts w:ascii="Calibri"/>
                        <w:color w:val="585858"/>
                        <w:spacing w:val="-2"/>
                        <w:sz w:val="18"/>
                      </w:rPr>
                      <w:t> </w:t>
                    </w:r>
                    <w:r>
                      <w:rPr>
                        <w:rFonts w:ascii="Calibri"/>
                        <w:color w:val="585858"/>
                        <w:sz w:val="18"/>
                      </w:rPr>
                      <w:t>beaucoup</w:t>
                      <w:tab/>
                      <w:t>Oui, un</w:t>
                    </w:r>
                    <w:r>
                      <w:rPr>
                        <w:rFonts w:ascii="Calibri"/>
                        <w:color w:val="585858"/>
                        <w:spacing w:val="-2"/>
                        <w:sz w:val="18"/>
                      </w:rPr>
                      <w:t> </w:t>
                    </w:r>
                    <w:r>
                      <w:rPr>
                        <w:rFonts w:ascii="Calibri"/>
                        <w:color w:val="585858"/>
                        <w:sz w:val="18"/>
                      </w:rPr>
                      <w:t>peu</w:t>
                      <w:tab/>
                      <w:t>Non, pas</w:t>
                    </w:r>
                    <w:r>
                      <w:rPr>
                        <w:rFonts w:ascii="Calibri"/>
                        <w:color w:val="585858"/>
                        <w:spacing w:val="-4"/>
                        <w:sz w:val="18"/>
                      </w:rPr>
                      <w:t> </w:t>
                    </w:r>
                    <w:r>
                      <w:rPr>
                        <w:rFonts w:ascii="Calibri"/>
                        <w:color w:val="585858"/>
                        <w:sz w:val="18"/>
                      </w:rPr>
                      <w:t>du</w:t>
                    </w:r>
                  </w:p>
                  <w:p>
                    <w:pPr>
                      <w:spacing w:before="0"/>
                      <w:ind w:left="3406" w:right="0" w:firstLine="0"/>
                      <w:jc w:val="left"/>
                      <w:rPr>
                        <w:rFonts w:ascii="Calibri"/>
                        <w:sz w:val="18"/>
                      </w:rPr>
                    </w:pPr>
                    <w:r>
                      <w:rPr>
                        <w:rFonts w:ascii="Calibri"/>
                        <w:color w:val="585858"/>
                        <w:sz w:val="18"/>
                      </w:rPr>
                      <w:t>tout</w:t>
                    </w:r>
                  </w:p>
                  <w:p>
                    <w:pPr>
                      <w:spacing w:line="240" w:lineRule="auto" w:before="8"/>
                      <w:rPr>
                        <w:rFonts w:ascii="Calibri"/>
                        <w:sz w:val="14"/>
                      </w:rPr>
                    </w:pPr>
                  </w:p>
                  <w:p>
                    <w:pPr>
                      <w:tabs>
                        <w:tab w:pos="2551" w:val="left" w:leader="none"/>
                      </w:tabs>
                      <w:spacing w:before="0"/>
                      <w:ind w:left="1472" w:right="0" w:firstLine="0"/>
                      <w:jc w:val="left"/>
                      <w:rPr>
                        <w:rFonts w:ascii="Calibri"/>
                        <w:sz w:val="18"/>
                      </w:rPr>
                    </w:pPr>
                    <w:r>
                      <w:rPr>
                        <w:rFonts w:ascii="Calibri"/>
                        <w:color w:val="585858"/>
                        <w:sz w:val="18"/>
                      </w:rPr>
                      <w:t>Frequency</w:t>
                      <w:tab/>
                      <w:t>Percent</w:t>
                    </w:r>
                  </w:p>
                </w:txbxContent>
              </v:textbox>
              <v:stroke dashstyle="solid"/>
              <w10:wrap type="none"/>
            </v:shape>
          </v:group>
        </w:pict>
      </w:r>
      <w:r>
        <w:rPr>
          <w:position w:val="12"/>
          <w:sz w:val="20"/>
        </w:rPr>
      </w:r>
    </w:p>
    <w:p>
      <w:pPr>
        <w:pStyle w:val="BodyText"/>
        <w:spacing w:before="2"/>
        <w:rPr>
          <w:sz w:val="16"/>
        </w:rPr>
      </w:pPr>
    </w:p>
    <w:p>
      <w:pPr>
        <w:pStyle w:val="BodyText"/>
        <w:spacing w:before="90"/>
        <w:ind w:left="825" w:right="445"/>
        <w:jc w:val="center"/>
      </w:pPr>
      <w:r>
        <w:rPr/>
        <w:pict>
          <v:rect style="position:absolute;margin-left:400.779999pt;margin-top:-33.510189pt;width:4.9433pt;height:4.9433pt;mso-position-horizontal-relative:page;mso-position-vertical-relative:paragraph;z-index:-258852864" filled="true" fillcolor="#ff0000" stroked="false">
            <v:fill type="solid"/>
            <w10:wrap type="none"/>
          </v:rect>
        </w:pict>
      </w:r>
      <w:r>
        <w:rPr/>
        <w:pict>
          <v:rect style="position:absolute;margin-left:454.730011pt;margin-top:-33.510189pt;width:4.9433pt;height:4.9433pt;mso-position-horizontal-relative:page;mso-position-vertical-relative:paragraph;z-index:-258851840" filled="true" fillcolor="#ffd966" stroked="false">
            <v:fill type="solid"/>
            <w10:wrap type="none"/>
          </v:rect>
        </w:pict>
      </w:r>
      <w:r>
        <w:rPr>
          <w:b/>
        </w:rPr>
        <w:t>Source : </w:t>
      </w:r>
      <w:r>
        <w:rPr/>
        <w:t>élaboré par nous-même sur la base des outputs SPSS</w:t>
      </w:r>
    </w:p>
    <w:p>
      <w:pPr>
        <w:pStyle w:val="BodyText"/>
        <w:spacing w:before="3"/>
        <w:rPr>
          <w:sz w:val="25"/>
        </w:rPr>
      </w:pPr>
    </w:p>
    <w:p>
      <w:pPr>
        <w:pStyle w:val="BodyText"/>
        <w:spacing w:line="362" w:lineRule="auto" w:before="1"/>
        <w:ind w:left="699" w:right="323" w:firstLine="360"/>
        <w:jc w:val="both"/>
      </w:pPr>
      <w:r>
        <w:rPr/>
        <w:t>Pour </w:t>
      </w:r>
      <w:r>
        <w:rPr>
          <w:spacing w:val="-3"/>
        </w:rPr>
        <w:t>plus </w:t>
      </w:r>
      <w:r>
        <w:rPr/>
        <w:t>de </w:t>
      </w:r>
      <w:r>
        <w:rPr>
          <w:spacing w:val="-5"/>
        </w:rPr>
        <w:t>la </w:t>
      </w:r>
      <w:r>
        <w:rPr>
          <w:spacing w:val="-2"/>
        </w:rPr>
        <w:t>moitié </w:t>
      </w:r>
      <w:r>
        <w:rPr/>
        <w:t>des utilisateurs 54,3 %, </w:t>
      </w:r>
      <w:r>
        <w:rPr>
          <w:spacing w:val="-4"/>
        </w:rPr>
        <w:t>les </w:t>
      </w:r>
      <w:r>
        <w:rPr/>
        <w:t>problèmes d’indisponibilité réduisent un peu leur confiance dans l’application. 13,8 % disent </w:t>
      </w:r>
      <w:r>
        <w:rPr>
          <w:spacing w:val="-3"/>
        </w:rPr>
        <w:t>même </w:t>
      </w:r>
      <w:r>
        <w:rPr/>
        <w:t>que cela affecte beaucoup leur confiance. En revanche, 31,9 % affirment que ces problèmes n’ont aucun impact sur </w:t>
      </w:r>
      <w:r>
        <w:rPr>
          <w:spacing w:val="-3"/>
        </w:rPr>
        <w:t>leur </w:t>
      </w:r>
      <w:r>
        <w:rPr/>
        <w:t>confiance.</w:t>
      </w:r>
    </w:p>
    <w:p>
      <w:pPr>
        <w:pStyle w:val="Heading5"/>
        <w:spacing w:line="501" w:lineRule="auto" w:before="161"/>
        <w:ind w:left="699" w:right="3410" w:firstLine="427"/>
      </w:pPr>
      <w:r>
        <w:rPr/>
        <w:t>F. Section 06 : Qualité du service client (4 questions) : Q23_Avez-vous déjà contacté le service client de BaridiMob ?</w:t>
      </w:r>
    </w:p>
    <w:p>
      <w:pPr>
        <w:spacing w:after="0" w:line="501" w:lineRule="auto"/>
        <w:sectPr>
          <w:type w:val="continuous"/>
          <w:pgSz w:w="12240" w:h="15840"/>
          <w:pgMar w:top="3140" w:bottom="280" w:left="1000" w:right="820"/>
        </w:sectPr>
      </w:pPr>
    </w:p>
    <w:p>
      <w:pPr>
        <w:pStyle w:val="BodyText"/>
        <w:spacing w:line="237" w:lineRule="auto"/>
        <w:ind w:left="699"/>
      </w:pPr>
      <w:bookmarkStart w:name="_bookmark56" w:id="250"/>
      <w:bookmarkEnd w:id="250"/>
      <w:r>
        <w:rPr/>
      </w:r>
      <w:r>
        <w:rPr>
          <w:b/>
          <w:color w:val="44536A"/>
        </w:rPr>
        <w:t>Tableau 24 </w:t>
      </w:r>
      <w:r>
        <w:rPr>
          <w:color w:val="44536A"/>
        </w:rPr>
        <w:t>: Fréquence des contacts avec </w:t>
      </w:r>
      <w:r>
        <w:rPr>
          <w:color w:val="44536A"/>
          <w:spacing w:val="-3"/>
        </w:rPr>
        <w:t>le service </w:t>
      </w:r>
      <w:r>
        <w:rPr>
          <w:color w:val="44536A"/>
        </w:rPr>
        <w:t>client</w:t>
      </w:r>
    </w:p>
    <w:p>
      <w:pPr>
        <w:pStyle w:val="BodyText"/>
        <w:spacing w:line="237" w:lineRule="auto"/>
        <w:ind w:left="227" w:right="388"/>
      </w:pPr>
      <w:r>
        <w:rPr/>
        <w:br w:type="column"/>
      </w:r>
      <w:bookmarkStart w:name="_bookmark57" w:id="251"/>
      <w:bookmarkEnd w:id="251"/>
      <w:r>
        <w:rPr/>
      </w:r>
      <w:r>
        <w:rPr>
          <w:b/>
          <w:color w:val="44536A"/>
        </w:rPr>
        <w:t>Figure 20 </w:t>
      </w:r>
      <w:r>
        <w:rPr>
          <w:color w:val="44536A"/>
        </w:rPr>
        <w:t>: Fréquence des contacts avec le service client</w:t>
      </w:r>
    </w:p>
    <w:p>
      <w:pPr>
        <w:spacing w:after="0" w:line="237" w:lineRule="auto"/>
        <w:sectPr>
          <w:type w:val="continuous"/>
          <w:pgSz w:w="12240" w:h="15840"/>
          <w:pgMar w:top="3140" w:bottom="280" w:left="1000" w:right="820"/>
          <w:cols w:num="2" w:equalWidth="0">
            <w:col w:w="5720" w:space="40"/>
            <w:col w:w="4660"/>
          </w:cols>
        </w:sectPr>
      </w:pPr>
    </w:p>
    <w:p>
      <w:pPr>
        <w:pStyle w:val="BodyText"/>
        <w:spacing w:before="7"/>
        <w:rPr>
          <w:sz w:val="8"/>
        </w:rPr>
      </w:pPr>
    </w:p>
    <w:p>
      <w:pPr>
        <w:tabs>
          <w:tab w:pos="5976" w:val="left" w:leader="none"/>
        </w:tabs>
        <w:spacing w:line="240" w:lineRule="auto"/>
        <w:ind w:left="680" w:right="0" w:firstLine="0"/>
        <w:rPr>
          <w:sz w:val="20"/>
        </w:rPr>
      </w:pPr>
      <w:r>
        <w:rPr>
          <w:sz w:val="20"/>
        </w:rPr>
        <w:pict>
          <v:shape style="width:250.45pt;height:122.2pt;mso-position-horizontal-relative:char;mso-position-vertical-relative:line" type="#_x0000_t202" filled="false" stroked="false">
            <w10:anchorlock/>
            <v:textbox inset="0,0,0,0">
              <w:txbxContent>
                <w:tbl>
                  <w:tblPr>
                    <w:tblW w:w="0" w:type="auto"/>
                    <w:jc w:val="left"/>
                    <w:tblInd w:w="2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673"/>
                    <w:gridCol w:w="1003"/>
                    <w:gridCol w:w="1037"/>
                    <w:gridCol w:w="918"/>
                    <w:gridCol w:w="1321"/>
                  </w:tblGrid>
                  <w:tr>
                    <w:trPr>
                      <w:trHeight w:val="636" w:hRule="atLeast"/>
                    </w:trPr>
                    <w:tc>
                      <w:tcPr>
                        <w:tcW w:w="1676" w:type="dxa"/>
                        <w:gridSpan w:val="2"/>
                      </w:tcPr>
                      <w:p>
                        <w:pPr>
                          <w:pStyle w:val="TableParagraph"/>
                          <w:jc w:val="left"/>
                          <w:rPr>
                            <w:sz w:val="22"/>
                          </w:rPr>
                        </w:pPr>
                      </w:p>
                    </w:tc>
                    <w:tc>
                      <w:tcPr>
                        <w:tcW w:w="1037" w:type="dxa"/>
                        <w:tcBorders>
                          <w:right w:val="single" w:sz="8" w:space="0" w:color="000000"/>
                        </w:tcBorders>
                      </w:tcPr>
                      <w:p>
                        <w:pPr>
                          <w:pStyle w:val="TableParagraph"/>
                          <w:spacing w:before="9"/>
                          <w:jc w:val="left"/>
                          <w:rPr>
                            <w:sz w:val="13"/>
                          </w:rPr>
                        </w:pPr>
                      </w:p>
                      <w:p>
                        <w:pPr>
                          <w:pStyle w:val="TableParagraph"/>
                          <w:ind w:left="181" w:right="144"/>
                          <w:rPr>
                            <w:b/>
                            <w:sz w:val="14"/>
                          </w:rPr>
                        </w:pPr>
                        <w:r>
                          <w:rPr>
                            <w:b/>
                            <w:sz w:val="14"/>
                          </w:rPr>
                          <w:t>Frequency</w:t>
                        </w:r>
                      </w:p>
                    </w:tc>
                    <w:tc>
                      <w:tcPr>
                        <w:tcW w:w="918" w:type="dxa"/>
                        <w:tcBorders>
                          <w:left w:val="single" w:sz="8" w:space="0" w:color="000000"/>
                          <w:right w:val="single" w:sz="8" w:space="0" w:color="000000"/>
                        </w:tcBorders>
                      </w:tcPr>
                      <w:p>
                        <w:pPr>
                          <w:pStyle w:val="TableParagraph"/>
                          <w:spacing w:before="135"/>
                          <w:ind w:left="190" w:right="143"/>
                          <w:rPr>
                            <w:b/>
                            <w:sz w:val="16"/>
                          </w:rPr>
                        </w:pPr>
                        <w:r>
                          <w:rPr>
                            <w:b/>
                            <w:sz w:val="16"/>
                          </w:rPr>
                          <w:t>Percent</w:t>
                        </w:r>
                      </w:p>
                    </w:tc>
                    <w:tc>
                      <w:tcPr>
                        <w:tcW w:w="1321" w:type="dxa"/>
                        <w:tcBorders>
                          <w:left w:val="single" w:sz="8" w:space="0" w:color="000000"/>
                        </w:tcBorders>
                      </w:tcPr>
                      <w:p>
                        <w:pPr>
                          <w:pStyle w:val="TableParagraph"/>
                          <w:spacing w:line="322" w:lineRule="exact" w:before="27"/>
                          <w:ind w:left="406" w:hanging="140"/>
                          <w:jc w:val="left"/>
                          <w:rPr>
                            <w:b/>
                            <w:sz w:val="16"/>
                          </w:rPr>
                        </w:pPr>
                        <w:r>
                          <w:rPr>
                            <w:b/>
                            <w:w w:val="95"/>
                            <w:sz w:val="16"/>
                          </w:rPr>
                          <w:t>Cumulative </w:t>
                        </w:r>
                        <w:r>
                          <w:rPr>
                            <w:b/>
                            <w:sz w:val="16"/>
                          </w:rPr>
                          <w:t>Percent</w:t>
                        </w:r>
                      </w:p>
                    </w:tc>
                  </w:tr>
                  <w:tr>
                    <w:trPr>
                      <w:trHeight w:val="377" w:hRule="atLeast"/>
                    </w:trPr>
                    <w:tc>
                      <w:tcPr>
                        <w:tcW w:w="673" w:type="dxa"/>
                        <w:tcBorders>
                          <w:bottom w:val="nil"/>
                          <w:right w:val="nil"/>
                        </w:tcBorders>
                      </w:tcPr>
                      <w:p>
                        <w:pPr>
                          <w:pStyle w:val="TableParagraph"/>
                          <w:spacing w:before="101"/>
                          <w:ind w:left="59"/>
                          <w:jc w:val="left"/>
                          <w:rPr>
                            <w:b/>
                            <w:sz w:val="16"/>
                          </w:rPr>
                        </w:pPr>
                        <w:r>
                          <w:rPr>
                            <w:b/>
                            <w:sz w:val="16"/>
                          </w:rPr>
                          <w:t>Valid</w:t>
                        </w:r>
                      </w:p>
                    </w:tc>
                    <w:tc>
                      <w:tcPr>
                        <w:tcW w:w="1003" w:type="dxa"/>
                        <w:tcBorders>
                          <w:left w:val="nil"/>
                          <w:bottom w:val="nil"/>
                        </w:tcBorders>
                      </w:tcPr>
                      <w:p>
                        <w:pPr>
                          <w:pStyle w:val="TableParagraph"/>
                          <w:spacing w:before="101"/>
                          <w:ind w:left="258"/>
                          <w:jc w:val="left"/>
                          <w:rPr>
                            <w:b/>
                            <w:sz w:val="16"/>
                          </w:rPr>
                        </w:pPr>
                        <w:r>
                          <w:rPr>
                            <w:b/>
                            <w:sz w:val="16"/>
                          </w:rPr>
                          <w:t>Non</w:t>
                        </w:r>
                      </w:p>
                    </w:tc>
                    <w:tc>
                      <w:tcPr>
                        <w:tcW w:w="1037" w:type="dxa"/>
                        <w:tcBorders>
                          <w:bottom w:val="nil"/>
                          <w:right w:val="single" w:sz="8" w:space="0" w:color="000000"/>
                        </w:tcBorders>
                      </w:tcPr>
                      <w:p>
                        <w:pPr>
                          <w:pStyle w:val="TableParagraph"/>
                          <w:spacing w:before="101"/>
                          <w:ind w:left="181" w:right="141"/>
                          <w:rPr>
                            <w:b/>
                            <w:sz w:val="16"/>
                          </w:rPr>
                        </w:pPr>
                        <w:r>
                          <w:rPr>
                            <w:b/>
                            <w:sz w:val="16"/>
                          </w:rPr>
                          <w:t>306</w:t>
                        </w:r>
                      </w:p>
                    </w:tc>
                    <w:tc>
                      <w:tcPr>
                        <w:tcW w:w="918" w:type="dxa"/>
                        <w:tcBorders>
                          <w:left w:val="single" w:sz="8" w:space="0" w:color="000000"/>
                          <w:bottom w:val="nil"/>
                          <w:right w:val="single" w:sz="8" w:space="0" w:color="000000"/>
                        </w:tcBorders>
                      </w:tcPr>
                      <w:p>
                        <w:pPr>
                          <w:pStyle w:val="TableParagraph"/>
                          <w:spacing w:before="101"/>
                          <w:ind w:left="188" w:right="143"/>
                          <w:rPr>
                            <w:b/>
                            <w:sz w:val="16"/>
                          </w:rPr>
                        </w:pPr>
                        <w:r>
                          <w:rPr>
                            <w:b/>
                            <w:sz w:val="16"/>
                          </w:rPr>
                          <w:t>74,3</w:t>
                        </w:r>
                      </w:p>
                    </w:tc>
                    <w:tc>
                      <w:tcPr>
                        <w:tcW w:w="1321" w:type="dxa"/>
                        <w:tcBorders>
                          <w:left w:val="single" w:sz="8" w:space="0" w:color="000000"/>
                          <w:bottom w:val="nil"/>
                        </w:tcBorders>
                      </w:tcPr>
                      <w:p>
                        <w:pPr>
                          <w:pStyle w:val="TableParagraph"/>
                          <w:spacing w:before="101"/>
                          <w:ind w:left="464" w:right="418"/>
                          <w:rPr>
                            <w:b/>
                            <w:sz w:val="16"/>
                          </w:rPr>
                        </w:pPr>
                        <w:r>
                          <w:rPr>
                            <w:b/>
                            <w:sz w:val="16"/>
                          </w:rPr>
                          <w:t>81,4</w:t>
                        </w:r>
                      </w:p>
                    </w:tc>
                  </w:tr>
                  <w:tr>
                    <w:trPr>
                      <w:trHeight w:val="360" w:hRule="atLeast"/>
                    </w:trPr>
                    <w:tc>
                      <w:tcPr>
                        <w:tcW w:w="673" w:type="dxa"/>
                        <w:tcBorders>
                          <w:top w:val="nil"/>
                          <w:bottom w:val="nil"/>
                          <w:right w:val="nil"/>
                        </w:tcBorders>
                      </w:tcPr>
                      <w:p>
                        <w:pPr>
                          <w:pStyle w:val="TableParagraph"/>
                          <w:jc w:val="left"/>
                          <w:rPr>
                            <w:sz w:val="22"/>
                          </w:rPr>
                        </w:pPr>
                      </w:p>
                    </w:tc>
                    <w:tc>
                      <w:tcPr>
                        <w:tcW w:w="1003" w:type="dxa"/>
                        <w:tcBorders>
                          <w:top w:val="nil"/>
                          <w:left w:val="nil"/>
                          <w:bottom w:val="nil"/>
                        </w:tcBorders>
                      </w:tcPr>
                      <w:p>
                        <w:pPr>
                          <w:pStyle w:val="TableParagraph"/>
                          <w:spacing w:before="84"/>
                          <w:ind w:left="258"/>
                          <w:jc w:val="left"/>
                          <w:rPr>
                            <w:b/>
                            <w:sz w:val="16"/>
                          </w:rPr>
                        </w:pPr>
                        <w:r>
                          <w:rPr>
                            <w:b/>
                            <w:sz w:val="16"/>
                          </w:rPr>
                          <w:t>Oui</w:t>
                        </w:r>
                      </w:p>
                    </w:tc>
                    <w:tc>
                      <w:tcPr>
                        <w:tcW w:w="1037" w:type="dxa"/>
                        <w:tcBorders>
                          <w:top w:val="nil"/>
                          <w:bottom w:val="nil"/>
                          <w:right w:val="single" w:sz="8" w:space="0" w:color="000000"/>
                        </w:tcBorders>
                      </w:tcPr>
                      <w:p>
                        <w:pPr>
                          <w:pStyle w:val="TableParagraph"/>
                          <w:spacing w:before="84"/>
                          <w:ind w:left="181" w:right="136"/>
                          <w:rPr>
                            <w:b/>
                            <w:sz w:val="16"/>
                          </w:rPr>
                        </w:pPr>
                        <w:r>
                          <w:rPr>
                            <w:b/>
                            <w:sz w:val="16"/>
                          </w:rPr>
                          <w:t>70</w:t>
                        </w:r>
                      </w:p>
                    </w:tc>
                    <w:tc>
                      <w:tcPr>
                        <w:tcW w:w="918" w:type="dxa"/>
                        <w:tcBorders>
                          <w:top w:val="nil"/>
                          <w:left w:val="single" w:sz="8" w:space="0" w:color="000000"/>
                          <w:bottom w:val="nil"/>
                          <w:right w:val="single" w:sz="8" w:space="0" w:color="000000"/>
                        </w:tcBorders>
                      </w:tcPr>
                      <w:p>
                        <w:pPr>
                          <w:pStyle w:val="TableParagraph"/>
                          <w:spacing w:before="84"/>
                          <w:ind w:left="188" w:right="143"/>
                          <w:rPr>
                            <w:b/>
                            <w:sz w:val="16"/>
                          </w:rPr>
                        </w:pPr>
                        <w:r>
                          <w:rPr>
                            <w:b/>
                            <w:sz w:val="16"/>
                          </w:rPr>
                          <w:t>17,0</w:t>
                        </w:r>
                      </w:p>
                    </w:tc>
                    <w:tc>
                      <w:tcPr>
                        <w:tcW w:w="1321" w:type="dxa"/>
                        <w:tcBorders>
                          <w:top w:val="nil"/>
                          <w:left w:val="single" w:sz="8" w:space="0" w:color="000000"/>
                          <w:bottom w:val="nil"/>
                        </w:tcBorders>
                      </w:tcPr>
                      <w:p>
                        <w:pPr>
                          <w:pStyle w:val="TableParagraph"/>
                          <w:spacing w:before="84"/>
                          <w:ind w:left="469" w:right="418"/>
                          <w:rPr>
                            <w:b/>
                            <w:sz w:val="16"/>
                          </w:rPr>
                        </w:pPr>
                        <w:r>
                          <w:rPr>
                            <w:b/>
                            <w:sz w:val="16"/>
                          </w:rPr>
                          <w:t>100,0</w:t>
                        </w:r>
                      </w:p>
                    </w:tc>
                  </w:tr>
                  <w:tr>
                    <w:trPr>
                      <w:trHeight w:val="341" w:hRule="atLeast"/>
                    </w:trPr>
                    <w:tc>
                      <w:tcPr>
                        <w:tcW w:w="673" w:type="dxa"/>
                        <w:tcBorders>
                          <w:top w:val="nil"/>
                          <w:bottom w:val="nil"/>
                          <w:right w:val="nil"/>
                        </w:tcBorders>
                      </w:tcPr>
                      <w:p>
                        <w:pPr>
                          <w:pStyle w:val="TableParagraph"/>
                          <w:jc w:val="left"/>
                          <w:rPr>
                            <w:sz w:val="22"/>
                          </w:rPr>
                        </w:pPr>
                      </w:p>
                    </w:tc>
                    <w:tc>
                      <w:tcPr>
                        <w:tcW w:w="1003" w:type="dxa"/>
                        <w:tcBorders>
                          <w:top w:val="nil"/>
                          <w:left w:val="nil"/>
                          <w:bottom w:val="nil"/>
                        </w:tcBorders>
                      </w:tcPr>
                      <w:p>
                        <w:pPr>
                          <w:pStyle w:val="TableParagraph"/>
                          <w:spacing w:before="84"/>
                          <w:ind w:left="258"/>
                          <w:jc w:val="left"/>
                          <w:rPr>
                            <w:b/>
                            <w:sz w:val="16"/>
                          </w:rPr>
                        </w:pPr>
                        <w:r>
                          <w:rPr>
                            <w:b/>
                            <w:sz w:val="16"/>
                          </w:rPr>
                          <w:t>Total</w:t>
                        </w:r>
                      </w:p>
                    </w:tc>
                    <w:tc>
                      <w:tcPr>
                        <w:tcW w:w="1037" w:type="dxa"/>
                        <w:tcBorders>
                          <w:top w:val="nil"/>
                          <w:bottom w:val="nil"/>
                          <w:right w:val="single" w:sz="8" w:space="0" w:color="000000"/>
                        </w:tcBorders>
                      </w:tcPr>
                      <w:p>
                        <w:pPr>
                          <w:pStyle w:val="TableParagraph"/>
                          <w:spacing w:before="84"/>
                          <w:ind w:left="181" w:right="141"/>
                          <w:rPr>
                            <w:b/>
                            <w:sz w:val="16"/>
                          </w:rPr>
                        </w:pPr>
                        <w:r>
                          <w:rPr>
                            <w:b/>
                            <w:sz w:val="16"/>
                          </w:rPr>
                          <w:t>376</w:t>
                        </w:r>
                      </w:p>
                    </w:tc>
                    <w:tc>
                      <w:tcPr>
                        <w:tcW w:w="918" w:type="dxa"/>
                        <w:tcBorders>
                          <w:top w:val="nil"/>
                          <w:left w:val="single" w:sz="8" w:space="0" w:color="000000"/>
                          <w:bottom w:val="nil"/>
                          <w:right w:val="single" w:sz="8" w:space="0" w:color="000000"/>
                        </w:tcBorders>
                      </w:tcPr>
                      <w:p>
                        <w:pPr>
                          <w:pStyle w:val="TableParagraph"/>
                          <w:spacing w:before="84"/>
                          <w:ind w:left="188" w:right="143"/>
                          <w:rPr>
                            <w:b/>
                            <w:sz w:val="16"/>
                          </w:rPr>
                        </w:pPr>
                        <w:r>
                          <w:rPr>
                            <w:b/>
                            <w:sz w:val="16"/>
                          </w:rPr>
                          <w:t>91,3</w:t>
                        </w:r>
                      </w:p>
                    </w:tc>
                    <w:tc>
                      <w:tcPr>
                        <w:tcW w:w="1321" w:type="dxa"/>
                        <w:tcBorders>
                          <w:top w:val="nil"/>
                          <w:left w:val="single" w:sz="8" w:space="0" w:color="000000"/>
                          <w:bottom w:val="nil"/>
                        </w:tcBorders>
                      </w:tcPr>
                      <w:p>
                        <w:pPr>
                          <w:pStyle w:val="TableParagraph"/>
                          <w:jc w:val="left"/>
                          <w:rPr>
                            <w:sz w:val="22"/>
                          </w:rPr>
                        </w:pPr>
                      </w:p>
                    </w:tc>
                  </w:tr>
                  <w:tr>
                    <w:trPr>
                      <w:trHeight w:val="319" w:hRule="atLeast"/>
                    </w:trPr>
                    <w:tc>
                      <w:tcPr>
                        <w:tcW w:w="673" w:type="dxa"/>
                        <w:tcBorders>
                          <w:top w:val="nil"/>
                          <w:bottom w:val="nil"/>
                          <w:right w:val="nil"/>
                        </w:tcBorders>
                      </w:tcPr>
                      <w:p>
                        <w:pPr>
                          <w:pStyle w:val="TableParagraph"/>
                          <w:jc w:val="left"/>
                          <w:rPr>
                            <w:sz w:val="22"/>
                          </w:rPr>
                        </w:pPr>
                      </w:p>
                    </w:tc>
                    <w:tc>
                      <w:tcPr>
                        <w:tcW w:w="1003" w:type="dxa"/>
                        <w:tcBorders>
                          <w:top w:val="nil"/>
                          <w:left w:val="nil"/>
                          <w:bottom w:val="nil"/>
                        </w:tcBorders>
                      </w:tcPr>
                      <w:p>
                        <w:pPr>
                          <w:pStyle w:val="TableParagraph"/>
                          <w:spacing w:before="65"/>
                          <w:ind w:left="196"/>
                          <w:jc w:val="left"/>
                          <w:rPr>
                            <w:b/>
                            <w:sz w:val="16"/>
                          </w:rPr>
                        </w:pPr>
                        <w:r>
                          <w:rPr>
                            <w:b/>
                            <w:sz w:val="16"/>
                          </w:rPr>
                          <w:t>Missing</w:t>
                        </w:r>
                      </w:p>
                    </w:tc>
                    <w:tc>
                      <w:tcPr>
                        <w:tcW w:w="1037" w:type="dxa"/>
                        <w:tcBorders>
                          <w:top w:val="nil"/>
                          <w:bottom w:val="nil"/>
                          <w:right w:val="single" w:sz="8" w:space="0" w:color="000000"/>
                        </w:tcBorders>
                      </w:tcPr>
                      <w:p>
                        <w:pPr>
                          <w:pStyle w:val="TableParagraph"/>
                          <w:spacing w:before="65"/>
                          <w:ind w:left="181" w:right="136"/>
                          <w:rPr>
                            <w:b/>
                            <w:sz w:val="16"/>
                          </w:rPr>
                        </w:pPr>
                        <w:r>
                          <w:rPr>
                            <w:b/>
                            <w:sz w:val="16"/>
                          </w:rPr>
                          <w:t>36</w:t>
                        </w:r>
                      </w:p>
                    </w:tc>
                    <w:tc>
                      <w:tcPr>
                        <w:tcW w:w="918" w:type="dxa"/>
                        <w:tcBorders>
                          <w:top w:val="nil"/>
                          <w:left w:val="single" w:sz="8" w:space="0" w:color="000000"/>
                          <w:bottom w:val="nil"/>
                          <w:right w:val="single" w:sz="8" w:space="0" w:color="000000"/>
                        </w:tcBorders>
                      </w:tcPr>
                      <w:p>
                        <w:pPr>
                          <w:pStyle w:val="TableParagraph"/>
                          <w:spacing w:before="65"/>
                          <w:ind w:left="183" w:right="143"/>
                          <w:rPr>
                            <w:b/>
                            <w:sz w:val="16"/>
                          </w:rPr>
                        </w:pPr>
                        <w:r>
                          <w:rPr>
                            <w:b/>
                            <w:sz w:val="16"/>
                          </w:rPr>
                          <w:t>8,7</w:t>
                        </w:r>
                      </w:p>
                    </w:tc>
                    <w:tc>
                      <w:tcPr>
                        <w:tcW w:w="1321" w:type="dxa"/>
                        <w:tcBorders>
                          <w:top w:val="nil"/>
                          <w:left w:val="single" w:sz="8" w:space="0" w:color="000000"/>
                          <w:bottom w:val="nil"/>
                        </w:tcBorders>
                      </w:tcPr>
                      <w:p>
                        <w:pPr>
                          <w:pStyle w:val="TableParagraph"/>
                          <w:jc w:val="left"/>
                          <w:rPr>
                            <w:sz w:val="22"/>
                          </w:rPr>
                        </w:pPr>
                      </w:p>
                    </w:tc>
                  </w:tr>
                  <w:tr>
                    <w:trPr>
                      <w:trHeight w:val="246" w:hRule="atLeast"/>
                    </w:trPr>
                    <w:tc>
                      <w:tcPr>
                        <w:tcW w:w="673" w:type="dxa"/>
                        <w:tcBorders>
                          <w:top w:val="nil"/>
                          <w:right w:val="nil"/>
                        </w:tcBorders>
                      </w:tcPr>
                      <w:p>
                        <w:pPr>
                          <w:pStyle w:val="TableParagraph"/>
                          <w:spacing w:line="164" w:lineRule="exact" w:before="62"/>
                          <w:ind w:left="83"/>
                          <w:jc w:val="left"/>
                          <w:rPr>
                            <w:b/>
                            <w:sz w:val="16"/>
                          </w:rPr>
                        </w:pPr>
                        <w:r>
                          <w:rPr>
                            <w:b/>
                            <w:sz w:val="16"/>
                          </w:rPr>
                          <w:t>Total</w:t>
                        </w:r>
                      </w:p>
                    </w:tc>
                    <w:tc>
                      <w:tcPr>
                        <w:tcW w:w="1003" w:type="dxa"/>
                        <w:tcBorders>
                          <w:top w:val="nil"/>
                          <w:left w:val="nil"/>
                        </w:tcBorders>
                      </w:tcPr>
                      <w:p>
                        <w:pPr>
                          <w:pStyle w:val="TableParagraph"/>
                          <w:jc w:val="left"/>
                          <w:rPr>
                            <w:sz w:val="18"/>
                          </w:rPr>
                        </w:pPr>
                      </w:p>
                    </w:tc>
                    <w:tc>
                      <w:tcPr>
                        <w:tcW w:w="1037" w:type="dxa"/>
                        <w:tcBorders>
                          <w:top w:val="nil"/>
                          <w:right w:val="single" w:sz="8" w:space="0" w:color="000000"/>
                        </w:tcBorders>
                      </w:tcPr>
                      <w:p>
                        <w:pPr>
                          <w:pStyle w:val="TableParagraph"/>
                          <w:spacing w:line="164" w:lineRule="exact" w:before="62"/>
                          <w:ind w:left="181" w:right="141"/>
                          <w:rPr>
                            <w:b/>
                            <w:sz w:val="16"/>
                          </w:rPr>
                        </w:pPr>
                        <w:r>
                          <w:rPr>
                            <w:b/>
                            <w:sz w:val="16"/>
                          </w:rPr>
                          <w:t>412</w:t>
                        </w:r>
                      </w:p>
                    </w:tc>
                    <w:tc>
                      <w:tcPr>
                        <w:tcW w:w="918" w:type="dxa"/>
                        <w:tcBorders>
                          <w:top w:val="nil"/>
                          <w:left w:val="single" w:sz="8" w:space="0" w:color="000000"/>
                          <w:right w:val="single" w:sz="8" w:space="0" w:color="000000"/>
                        </w:tcBorders>
                      </w:tcPr>
                      <w:p>
                        <w:pPr>
                          <w:pStyle w:val="TableParagraph"/>
                          <w:spacing w:line="164" w:lineRule="exact" w:before="62"/>
                          <w:ind w:left="190" w:right="141"/>
                          <w:rPr>
                            <w:b/>
                            <w:sz w:val="16"/>
                          </w:rPr>
                        </w:pPr>
                        <w:r>
                          <w:rPr>
                            <w:b/>
                            <w:sz w:val="16"/>
                          </w:rPr>
                          <w:t>100,0</w:t>
                        </w:r>
                      </w:p>
                    </w:tc>
                    <w:tc>
                      <w:tcPr>
                        <w:tcW w:w="1321" w:type="dxa"/>
                        <w:tcBorders>
                          <w:top w:val="nil"/>
                          <w:left w:val="single" w:sz="8" w:space="0" w:color="000000"/>
                        </w:tcBorders>
                      </w:tcPr>
                      <w:p>
                        <w:pPr>
                          <w:pStyle w:val="TableParagraph"/>
                          <w:jc w:val="left"/>
                          <w:rPr>
                            <w:sz w:val="18"/>
                          </w:rPr>
                        </w:pPr>
                      </w:p>
                    </w:tc>
                  </w:tr>
                </w:tbl>
                <w:p>
                  <w:pPr>
                    <w:pStyle w:val="BodyText"/>
                  </w:pPr>
                </w:p>
              </w:txbxContent>
            </v:textbox>
          </v:shape>
        </w:pict>
      </w:r>
      <w:r>
        <w:rPr>
          <w:sz w:val="20"/>
        </w:rPr>
      </w:r>
      <w:r>
        <w:rPr>
          <w:sz w:val="20"/>
        </w:rPr>
        <w:tab/>
      </w:r>
      <w:r>
        <w:rPr>
          <w:position w:val="1"/>
          <w:sz w:val="20"/>
        </w:rPr>
        <w:pict>
          <v:group style="width:196.35pt;height:126.5pt;mso-position-horizontal-relative:char;mso-position-vertical-relative:line" coordorigin="0,0" coordsize="3927,2530">
            <v:line style="position:absolute" from="1692,228" to="1692,1119" stroked="true" strokeweight=".75pt" strokecolor="#d9d9d9">
              <v:stroke dashstyle="solid"/>
            </v:line>
            <v:line style="position:absolute" from="1692,1397" to="1692,1601" stroked="true" strokeweight=".75pt" strokecolor="#d9d9d9">
              <v:stroke dashstyle="solid"/>
            </v:line>
            <v:line style="position:absolute" from="2316,228" to="2316,1119" stroked="true" strokeweight=".75pt" strokecolor="#d9d9d9">
              <v:stroke dashstyle="solid"/>
            </v:line>
            <v:line style="position:absolute" from="2316,1397" to="2316,1601" stroked="true" strokeweight=".75pt" strokecolor="#d9d9d9">
              <v:stroke dashstyle="solid"/>
            </v:line>
            <v:line style="position:absolute" from="2940,228" to="2940,1119" stroked="true" strokeweight=".75pt" strokecolor="#d9d9d9">
              <v:stroke dashstyle="solid"/>
            </v:line>
            <v:line style="position:absolute" from="2940,1397" to="2940,1601" stroked="true" strokeweight=".75pt" strokecolor="#d9d9d9">
              <v:stroke dashstyle="solid"/>
            </v:line>
            <v:rect style="position:absolute;left:1070;top:1118;width:1909;height:279" filled="true" fillcolor="#5b9bd4" stroked="false">
              <v:fill type="solid"/>
            </v:rect>
            <v:rect style="position:absolute;left:1070;top:432;width:464;height:274" filled="true" fillcolor="#5b9bd4" stroked="false">
              <v:fill type="solid"/>
            </v:rect>
            <v:rect style="position:absolute;left:2978;top:1118;width:437;height:279" filled="true" fillcolor="#ec7c30" stroked="false">
              <v:fill type="solid"/>
            </v:rect>
            <v:line style="position:absolute" from="1587,432" to="1587,706" stroked="true" strokeweight="5.28pt" strokecolor="#ec7c30">
              <v:stroke dashstyle="solid"/>
            </v:line>
            <v:line style="position:absolute" from="1071,1601" to="1071,228" stroked="true" strokeweight=".75pt" strokecolor="#d9d9d9">
              <v:stroke dashstyle="solid"/>
            </v:line>
            <v:line style="position:absolute" from="3563,228" to="3563,1601" stroked="true" strokeweight=".75pt" strokecolor="#d9d9d9">
              <v:stroke dashstyle="solid"/>
            </v:line>
            <v:rect style="position:absolute;left:1517;top:2184;width:99;height:99" filled="true" fillcolor="#5b9bd4" stroked="false">
              <v:fill type="solid"/>
            </v:rect>
            <v:rect style="position:absolute;left:2085;top:2184;width:99;height:99" filled="true" fillcolor="#ec7c30" stroked="false">
              <v:fill type="solid"/>
            </v:rect>
            <v:rect style="position:absolute;left:7;top:7;width:3912;height:2515" filled="false" stroked="true" strokeweight=".75pt" strokecolor="#d9d9d9">
              <v:stroke dashstyle="solid"/>
            </v:rect>
            <v:shape style="position:absolute;left:1662;top:2153;width:846;height:183" type="#_x0000_t202" filled="false" stroked="false">
              <v:textbox inset="0,0,0,0">
                <w:txbxContent>
                  <w:p>
                    <w:pPr>
                      <w:tabs>
                        <w:tab w:pos="567" w:val="left" w:leader="none"/>
                      </w:tabs>
                      <w:spacing w:line="183" w:lineRule="exact" w:before="0"/>
                      <w:ind w:left="0" w:right="0" w:firstLine="0"/>
                      <w:jc w:val="left"/>
                      <w:rPr>
                        <w:rFonts w:ascii="Calibri"/>
                        <w:sz w:val="18"/>
                      </w:rPr>
                    </w:pPr>
                    <w:r>
                      <w:rPr>
                        <w:rFonts w:ascii="Calibri"/>
                        <w:color w:val="585858"/>
                        <w:sz w:val="18"/>
                      </w:rPr>
                      <w:t>Non</w:t>
                      <w:tab/>
                      <w:t>Oui</w:t>
                    </w:r>
                  </w:p>
                </w:txbxContent>
              </v:textbox>
              <w10:wrap type="none"/>
            </v:shape>
            <v:shape style="position:absolute;left:1559;top:1755;width:2164;height:183" type="#_x0000_t202" filled="false" stroked="false">
              <v:textbox inset="0,0,0,0">
                <w:txbxContent>
                  <w:p>
                    <w:pPr>
                      <w:tabs>
                        <w:tab w:pos="623" w:val="left" w:leader="none"/>
                        <w:tab w:pos="1246" w:val="left" w:leader="none"/>
                        <w:tab w:pos="1869" w:val="left" w:leader="none"/>
                      </w:tabs>
                      <w:spacing w:line="182" w:lineRule="exact" w:before="0"/>
                      <w:ind w:left="0" w:right="0" w:firstLine="0"/>
                      <w:jc w:val="left"/>
                      <w:rPr>
                        <w:rFonts w:ascii="Calibri"/>
                        <w:sz w:val="18"/>
                      </w:rPr>
                    </w:pPr>
                    <w:r>
                      <w:rPr>
                        <w:rFonts w:ascii="Calibri"/>
                        <w:color w:val="585858"/>
                        <w:sz w:val="18"/>
                      </w:rPr>
                      <w:t>100</w:t>
                      <w:tab/>
                      <w:t>200</w:t>
                      <w:tab/>
                      <w:t>300</w:t>
                      <w:tab/>
                    </w:r>
                    <w:r>
                      <w:rPr>
                        <w:rFonts w:ascii="Calibri"/>
                        <w:color w:val="585858"/>
                        <w:spacing w:val="-2"/>
                        <w:sz w:val="18"/>
                      </w:rPr>
                      <w:t>400</w:t>
                    </w:r>
                  </w:p>
                </w:txbxContent>
              </v:textbox>
              <w10:wrap type="none"/>
            </v:shape>
            <v:shape style="position:absolute;left:1027;top:1755;width:113;height:183" type="#_x0000_t202" filled="false" stroked="false">
              <v:textbox inset="0,0,0,0">
                <w:txbxContent>
                  <w:p>
                    <w:pPr>
                      <w:spacing w:line="182" w:lineRule="exact" w:before="0"/>
                      <w:ind w:left="0" w:right="0" w:firstLine="0"/>
                      <w:jc w:val="left"/>
                      <w:rPr>
                        <w:rFonts w:ascii="Calibri"/>
                        <w:sz w:val="18"/>
                      </w:rPr>
                    </w:pPr>
                    <w:r>
                      <w:rPr>
                        <w:rFonts w:ascii="Calibri"/>
                        <w:color w:val="585858"/>
                        <w:w w:val="101"/>
                        <w:sz w:val="18"/>
                      </w:rPr>
                      <w:t>0</w:t>
                    </w:r>
                  </w:p>
                </w:txbxContent>
              </v:textbox>
              <w10:wrap type="none"/>
            </v:shape>
            <v:shape style="position:absolute;left:139;top:1177;width:790;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Frequency</w:t>
                    </w:r>
                  </w:p>
                </w:txbxContent>
              </v:textbox>
              <w10:wrap type="none"/>
            </v:shape>
            <v:shape style="position:absolute;left:340;top:490;width:586;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Percent</w:t>
                    </w:r>
                  </w:p>
                </w:txbxContent>
              </v:textbox>
              <w10:wrap type="none"/>
            </v:shape>
          </v:group>
        </w:pict>
      </w:r>
      <w:r>
        <w:rPr>
          <w:position w:val="1"/>
          <w:sz w:val="20"/>
        </w:rPr>
      </w:r>
    </w:p>
    <w:p>
      <w:pPr>
        <w:pStyle w:val="BodyText"/>
        <w:spacing w:before="10"/>
        <w:rPr>
          <w:sz w:val="11"/>
        </w:rPr>
      </w:pPr>
    </w:p>
    <w:p>
      <w:pPr>
        <w:pStyle w:val="BodyText"/>
        <w:spacing w:before="90"/>
        <w:ind w:left="825" w:right="445"/>
        <w:jc w:val="center"/>
      </w:pPr>
      <w:r>
        <w:rPr>
          <w:b/>
        </w:rPr>
        <w:t>Source : </w:t>
      </w:r>
      <w:r>
        <w:rPr/>
        <w:t>élaboré par nous-même sur la base des outputs SPSS</w:t>
      </w:r>
    </w:p>
    <w:p>
      <w:pPr>
        <w:spacing w:after="0"/>
        <w:jc w:val="center"/>
        <w:sectPr>
          <w:type w:val="continuous"/>
          <w:pgSz w:w="12240" w:h="15840"/>
          <w:pgMar w:top="3140" w:bottom="280" w:left="1000" w:right="820"/>
        </w:sectPr>
      </w:pPr>
    </w:p>
    <w:p>
      <w:pPr>
        <w:pStyle w:val="BodyText"/>
        <w:spacing w:before="6"/>
        <w:rPr>
          <w:sz w:val="19"/>
        </w:rPr>
      </w:pPr>
    </w:p>
    <w:p>
      <w:pPr>
        <w:pStyle w:val="BodyText"/>
        <w:spacing w:line="367" w:lineRule="auto" w:before="90"/>
        <w:ind w:left="699" w:right="238" w:firstLine="360"/>
      </w:pPr>
      <w:r>
        <w:rPr/>
        <w:t>Seulement 18,6 % des utilisateurs ont déjà contacté le service client de BaridiMob, tandis que la grande majorité affirment ne l’avoir jamais fait.</w:t>
      </w:r>
    </w:p>
    <w:p>
      <w:pPr>
        <w:pStyle w:val="Heading5"/>
        <w:spacing w:line="362" w:lineRule="auto" w:before="149"/>
        <w:ind w:left="699" w:right="238" w:firstLine="0"/>
        <w:jc w:val="left"/>
      </w:pPr>
      <w:r>
        <w:rPr/>
        <w:t>Q24_Si oui, comment évaluez-vous (de 1 à 5) la rapidité de réponse ? (1=Très lente, 5=Très rapide)</w:t>
      </w:r>
    </w:p>
    <w:p>
      <w:pPr>
        <w:spacing w:after="0" w:line="362" w:lineRule="auto"/>
        <w:jc w:val="left"/>
        <w:sectPr>
          <w:pgSz w:w="12240" w:h="15840"/>
          <w:pgMar w:header="723" w:footer="850" w:top="1080" w:bottom="1040" w:left="1000" w:right="820"/>
        </w:sectPr>
      </w:pPr>
    </w:p>
    <w:p>
      <w:pPr>
        <w:spacing w:line="242" w:lineRule="auto" w:before="151"/>
        <w:ind w:left="699" w:right="-10" w:firstLine="0"/>
        <w:jc w:val="left"/>
        <w:rPr>
          <w:sz w:val="24"/>
        </w:rPr>
      </w:pPr>
      <w:bookmarkStart w:name="_bookmark58" w:id="252"/>
      <w:bookmarkEnd w:id="252"/>
      <w:r>
        <w:rPr/>
      </w:r>
      <w:r>
        <w:rPr>
          <w:b/>
          <w:color w:val="44536A"/>
          <w:sz w:val="24"/>
        </w:rPr>
        <w:t>Tableau 25 : </w:t>
      </w:r>
      <w:r>
        <w:rPr>
          <w:color w:val="44536A"/>
          <w:sz w:val="24"/>
        </w:rPr>
        <w:t>Fréquence d’évaluation</w:t>
      </w:r>
      <w:r>
        <w:rPr>
          <w:color w:val="44536A"/>
          <w:spacing w:val="-23"/>
          <w:sz w:val="24"/>
        </w:rPr>
        <w:t> </w:t>
      </w:r>
      <w:r>
        <w:rPr>
          <w:color w:val="44536A"/>
          <w:sz w:val="24"/>
        </w:rPr>
        <w:t>du service client</w:t>
      </w:r>
    </w:p>
    <w:p>
      <w:pPr>
        <w:spacing w:line="237" w:lineRule="auto" w:before="167"/>
        <w:ind w:left="654" w:right="68" w:firstLine="0"/>
        <w:jc w:val="left"/>
        <w:rPr>
          <w:sz w:val="24"/>
        </w:rPr>
      </w:pPr>
      <w:r>
        <w:rPr/>
        <w:br w:type="column"/>
      </w:r>
      <w:bookmarkStart w:name="_bookmark59" w:id="253"/>
      <w:bookmarkEnd w:id="253"/>
      <w:r>
        <w:rPr/>
      </w:r>
      <w:r>
        <w:rPr>
          <w:b/>
          <w:color w:val="44536A"/>
          <w:sz w:val="24"/>
        </w:rPr>
        <w:t>Figure 21 : Fréquence </w:t>
      </w:r>
      <w:r>
        <w:rPr>
          <w:color w:val="44536A"/>
          <w:sz w:val="24"/>
        </w:rPr>
        <w:t>d’évaluation du service client</w:t>
      </w:r>
    </w:p>
    <w:p>
      <w:pPr>
        <w:spacing w:after="0" w:line="237" w:lineRule="auto"/>
        <w:jc w:val="left"/>
        <w:rPr>
          <w:sz w:val="24"/>
        </w:rPr>
        <w:sectPr>
          <w:type w:val="continuous"/>
          <w:pgSz w:w="12240" w:h="15840"/>
          <w:pgMar w:top="3140" w:bottom="280" w:left="1000" w:right="820"/>
          <w:cols w:num="2" w:equalWidth="0">
            <w:col w:w="4586" w:space="40"/>
            <w:col w:w="5794"/>
          </w:cols>
        </w:sectPr>
      </w:pPr>
    </w:p>
    <w:p>
      <w:pPr>
        <w:pStyle w:val="BodyText"/>
        <w:spacing w:before="5"/>
        <w:rPr>
          <w:sz w:val="6"/>
        </w:rPr>
      </w:pPr>
    </w:p>
    <w:p>
      <w:pPr>
        <w:tabs>
          <w:tab w:pos="5364" w:val="left" w:leader="none"/>
        </w:tabs>
        <w:spacing w:line="240" w:lineRule="auto"/>
        <w:ind w:left="680" w:right="0" w:firstLine="0"/>
        <w:rPr>
          <w:sz w:val="20"/>
        </w:rPr>
      </w:pPr>
      <w:r>
        <w:rPr>
          <w:position w:val="17"/>
          <w:sz w:val="20"/>
        </w:rPr>
        <w:pict>
          <v:shape style="width:219.7pt;height:132.550pt;mso-position-horizontal-relative:char;mso-position-vertical-relative:line" type="#_x0000_t202" filled="false" stroked="false">
            <w10:anchorlock/>
            <v:textbox inset="0,0,0,0">
              <w:txbxContent>
                <w:tbl>
                  <w:tblPr>
                    <w:tblW w:w="0" w:type="auto"/>
                    <w:jc w:val="left"/>
                    <w:tblInd w:w="2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8"/>
                    <w:gridCol w:w="928"/>
                    <w:gridCol w:w="1009"/>
                    <w:gridCol w:w="788"/>
                    <w:gridCol w:w="1105"/>
                  </w:tblGrid>
                  <w:tr>
                    <w:trPr>
                      <w:trHeight w:val="425" w:hRule="atLeast"/>
                    </w:trPr>
                    <w:tc>
                      <w:tcPr>
                        <w:tcW w:w="1436" w:type="dxa"/>
                        <w:gridSpan w:val="2"/>
                      </w:tcPr>
                      <w:p>
                        <w:pPr>
                          <w:pStyle w:val="TableParagraph"/>
                          <w:jc w:val="left"/>
                          <w:rPr>
                            <w:sz w:val="22"/>
                          </w:rPr>
                        </w:pPr>
                      </w:p>
                    </w:tc>
                    <w:tc>
                      <w:tcPr>
                        <w:tcW w:w="1009" w:type="dxa"/>
                        <w:tcBorders>
                          <w:right w:val="single" w:sz="8" w:space="0" w:color="000000"/>
                        </w:tcBorders>
                      </w:tcPr>
                      <w:p>
                        <w:pPr>
                          <w:pStyle w:val="TableParagraph"/>
                          <w:spacing w:before="16"/>
                          <w:ind w:left="79" w:right="36"/>
                          <w:rPr>
                            <w:b/>
                            <w:sz w:val="18"/>
                          </w:rPr>
                        </w:pPr>
                        <w:r>
                          <w:rPr>
                            <w:b/>
                            <w:sz w:val="18"/>
                          </w:rPr>
                          <w:t>Frequency</w:t>
                        </w:r>
                      </w:p>
                    </w:tc>
                    <w:tc>
                      <w:tcPr>
                        <w:tcW w:w="788" w:type="dxa"/>
                        <w:tcBorders>
                          <w:left w:val="single" w:sz="8" w:space="0" w:color="000000"/>
                          <w:right w:val="single" w:sz="8" w:space="0" w:color="000000"/>
                        </w:tcBorders>
                      </w:tcPr>
                      <w:p>
                        <w:pPr>
                          <w:pStyle w:val="TableParagraph"/>
                          <w:spacing w:before="16"/>
                          <w:ind w:left="85" w:right="52"/>
                          <w:rPr>
                            <w:b/>
                            <w:sz w:val="18"/>
                          </w:rPr>
                        </w:pPr>
                        <w:r>
                          <w:rPr>
                            <w:b/>
                            <w:sz w:val="18"/>
                          </w:rPr>
                          <w:t>Percent</w:t>
                        </w:r>
                      </w:p>
                    </w:tc>
                    <w:tc>
                      <w:tcPr>
                        <w:tcW w:w="1105" w:type="dxa"/>
                        <w:tcBorders>
                          <w:left w:val="single" w:sz="8" w:space="0" w:color="000000"/>
                        </w:tcBorders>
                      </w:tcPr>
                      <w:p>
                        <w:pPr>
                          <w:pStyle w:val="TableParagraph"/>
                          <w:spacing w:line="206" w:lineRule="exact" w:before="19"/>
                          <w:ind w:left="262" w:right="49" w:hanging="159"/>
                          <w:jc w:val="left"/>
                          <w:rPr>
                            <w:b/>
                            <w:sz w:val="18"/>
                          </w:rPr>
                        </w:pPr>
                        <w:r>
                          <w:rPr>
                            <w:b/>
                            <w:sz w:val="18"/>
                          </w:rPr>
                          <w:t>Cumulative Percent</w:t>
                        </w:r>
                      </w:p>
                    </w:tc>
                  </w:tr>
                  <w:tr>
                    <w:trPr>
                      <w:trHeight w:val="233" w:hRule="atLeast"/>
                    </w:trPr>
                    <w:tc>
                      <w:tcPr>
                        <w:tcW w:w="508" w:type="dxa"/>
                        <w:vMerge w:val="restart"/>
                        <w:tcBorders>
                          <w:bottom w:val="nil"/>
                          <w:right w:val="nil"/>
                        </w:tcBorders>
                      </w:tcPr>
                      <w:p>
                        <w:pPr>
                          <w:pStyle w:val="TableParagraph"/>
                          <w:ind w:left="83" w:right="62"/>
                          <w:jc w:val="left"/>
                          <w:rPr>
                            <w:b/>
                            <w:sz w:val="18"/>
                          </w:rPr>
                        </w:pPr>
                        <w:r>
                          <w:rPr>
                            <w:b/>
                            <w:sz w:val="18"/>
                          </w:rPr>
                          <w:t>Vali d</w:t>
                        </w:r>
                      </w:p>
                    </w:tc>
                    <w:tc>
                      <w:tcPr>
                        <w:tcW w:w="928" w:type="dxa"/>
                        <w:tcBorders>
                          <w:left w:val="nil"/>
                          <w:bottom w:val="nil"/>
                        </w:tcBorders>
                      </w:tcPr>
                      <w:p>
                        <w:pPr>
                          <w:pStyle w:val="TableParagraph"/>
                          <w:spacing w:line="203" w:lineRule="exact"/>
                          <w:ind w:left="116"/>
                          <w:jc w:val="left"/>
                          <w:rPr>
                            <w:b/>
                            <w:sz w:val="18"/>
                          </w:rPr>
                        </w:pPr>
                        <w:r>
                          <w:rPr>
                            <w:b/>
                            <w:sz w:val="18"/>
                          </w:rPr>
                          <w:t>Très lente</w:t>
                        </w:r>
                      </w:p>
                    </w:tc>
                    <w:tc>
                      <w:tcPr>
                        <w:tcW w:w="1009" w:type="dxa"/>
                        <w:tcBorders>
                          <w:bottom w:val="nil"/>
                          <w:right w:val="single" w:sz="8" w:space="0" w:color="000000"/>
                        </w:tcBorders>
                      </w:tcPr>
                      <w:p>
                        <w:pPr>
                          <w:pStyle w:val="TableParagraph"/>
                          <w:ind w:left="79" w:right="35"/>
                          <w:rPr>
                            <w:b/>
                            <w:sz w:val="18"/>
                          </w:rPr>
                        </w:pPr>
                        <w:r>
                          <w:rPr>
                            <w:b/>
                            <w:sz w:val="18"/>
                          </w:rPr>
                          <w:t>22</w:t>
                        </w:r>
                      </w:p>
                    </w:tc>
                    <w:tc>
                      <w:tcPr>
                        <w:tcW w:w="788" w:type="dxa"/>
                        <w:tcBorders>
                          <w:left w:val="single" w:sz="8" w:space="0" w:color="000000"/>
                          <w:bottom w:val="nil"/>
                          <w:right w:val="single" w:sz="8" w:space="0" w:color="000000"/>
                        </w:tcBorders>
                      </w:tcPr>
                      <w:p>
                        <w:pPr>
                          <w:pStyle w:val="TableParagraph"/>
                          <w:ind w:left="85" w:right="50"/>
                          <w:rPr>
                            <w:b/>
                            <w:sz w:val="18"/>
                          </w:rPr>
                        </w:pPr>
                        <w:r>
                          <w:rPr>
                            <w:b/>
                            <w:sz w:val="18"/>
                          </w:rPr>
                          <w:t>5,3</w:t>
                        </w:r>
                      </w:p>
                    </w:tc>
                    <w:tc>
                      <w:tcPr>
                        <w:tcW w:w="1105" w:type="dxa"/>
                        <w:tcBorders>
                          <w:left w:val="single" w:sz="8" w:space="0" w:color="000000"/>
                          <w:bottom w:val="nil"/>
                        </w:tcBorders>
                      </w:tcPr>
                      <w:p>
                        <w:pPr>
                          <w:pStyle w:val="TableParagraph"/>
                          <w:ind w:left="334" w:right="292"/>
                          <w:rPr>
                            <w:b/>
                            <w:sz w:val="18"/>
                          </w:rPr>
                        </w:pPr>
                        <w:r>
                          <w:rPr>
                            <w:b/>
                            <w:sz w:val="18"/>
                          </w:rPr>
                          <w:t>32,4</w:t>
                        </w:r>
                      </w:p>
                    </w:tc>
                  </w:tr>
                  <w:tr>
                    <w:trPr>
                      <w:trHeight w:val="249" w:hRule="atLeast"/>
                    </w:trPr>
                    <w:tc>
                      <w:tcPr>
                        <w:tcW w:w="508" w:type="dxa"/>
                        <w:vMerge/>
                        <w:tcBorders>
                          <w:top w:val="nil"/>
                          <w:bottom w:val="nil"/>
                          <w:right w:val="nil"/>
                        </w:tcBorders>
                      </w:tcPr>
                      <w:p>
                        <w:pPr>
                          <w:rPr>
                            <w:sz w:val="2"/>
                            <w:szCs w:val="2"/>
                          </w:rPr>
                        </w:pPr>
                      </w:p>
                    </w:tc>
                    <w:tc>
                      <w:tcPr>
                        <w:tcW w:w="928" w:type="dxa"/>
                        <w:tcBorders>
                          <w:top w:val="nil"/>
                          <w:left w:val="nil"/>
                          <w:bottom w:val="nil"/>
                        </w:tcBorders>
                      </w:tcPr>
                      <w:p>
                        <w:pPr>
                          <w:pStyle w:val="TableParagraph"/>
                          <w:spacing w:before="20"/>
                          <w:ind w:left="116"/>
                          <w:jc w:val="left"/>
                          <w:rPr>
                            <w:b/>
                            <w:sz w:val="18"/>
                          </w:rPr>
                        </w:pPr>
                        <w:r>
                          <w:rPr>
                            <w:b/>
                            <w:sz w:val="18"/>
                          </w:rPr>
                          <w:t>Lente</w:t>
                        </w:r>
                      </w:p>
                    </w:tc>
                    <w:tc>
                      <w:tcPr>
                        <w:tcW w:w="1009" w:type="dxa"/>
                        <w:tcBorders>
                          <w:top w:val="nil"/>
                          <w:bottom w:val="nil"/>
                          <w:right w:val="single" w:sz="8" w:space="0" w:color="000000"/>
                        </w:tcBorders>
                      </w:tcPr>
                      <w:p>
                        <w:pPr>
                          <w:pStyle w:val="TableParagraph"/>
                          <w:spacing w:before="20"/>
                          <w:ind w:left="79" w:right="35"/>
                          <w:rPr>
                            <w:b/>
                            <w:sz w:val="18"/>
                          </w:rPr>
                        </w:pPr>
                        <w:r>
                          <w:rPr>
                            <w:b/>
                            <w:sz w:val="18"/>
                          </w:rPr>
                          <w:t>12</w:t>
                        </w:r>
                      </w:p>
                    </w:tc>
                    <w:tc>
                      <w:tcPr>
                        <w:tcW w:w="788" w:type="dxa"/>
                        <w:tcBorders>
                          <w:top w:val="nil"/>
                          <w:left w:val="single" w:sz="8" w:space="0" w:color="000000"/>
                          <w:bottom w:val="nil"/>
                          <w:right w:val="single" w:sz="8" w:space="0" w:color="000000"/>
                        </w:tcBorders>
                      </w:tcPr>
                      <w:p>
                        <w:pPr>
                          <w:pStyle w:val="TableParagraph"/>
                          <w:spacing w:before="20"/>
                          <w:ind w:left="85" w:right="50"/>
                          <w:rPr>
                            <w:b/>
                            <w:sz w:val="18"/>
                          </w:rPr>
                        </w:pPr>
                        <w:r>
                          <w:rPr>
                            <w:b/>
                            <w:sz w:val="18"/>
                          </w:rPr>
                          <w:t>2,9</w:t>
                        </w:r>
                      </w:p>
                    </w:tc>
                    <w:tc>
                      <w:tcPr>
                        <w:tcW w:w="1105" w:type="dxa"/>
                        <w:tcBorders>
                          <w:top w:val="nil"/>
                          <w:left w:val="single" w:sz="8" w:space="0" w:color="000000"/>
                          <w:bottom w:val="nil"/>
                        </w:tcBorders>
                      </w:tcPr>
                      <w:p>
                        <w:pPr>
                          <w:pStyle w:val="TableParagraph"/>
                          <w:spacing w:before="20"/>
                          <w:ind w:left="334" w:right="292"/>
                          <w:rPr>
                            <w:b/>
                            <w:sz w:val="18"/>
                          </w:rPr>
                        </w:pPr>
                        <w:r>
                          <w:rPr>
                            <w:b/>
                            <w:sz w:val="18"/>
                          </w:rPr>
                          <w:t>50,0</w:t>
                        </w:r>
                      </w:p>
                    </w:tc>
                  </w:tr>
                  <w:tr>
                    <w:trPr>
                      <w:trHeight w:val="247" w:hRule="atLeast"/>
                    </w:trPr>
                    <w:tc>
                      <w:tcPr>
                        <w:tcW w:w="508" w:type="dxa"/>
                        <w:tcBorders>
                          <w:top w:val="nil"/>
                          <w:bottom w:val="nil"/>
                          <w:right w:val="nil"/>
                        </w:tcBorders>
                      </w:tcPr>
                      <w:p>
                        <w:pPr>
                          <w:pStyle w:val="TableParagraph"/>
                          <w:jc w:val="left"/>
                          <w:rPr>
                            <w:sz w:val="18"/>
                          </w:rPr>
                        </w:pPr>
                      </w:p>
                    </w:tc>
                    <w:tc>
                      <w:tcPr>
                        <w:tcW w:w="928" w:type="dxa"/>
                        <w:tcBorders>
                          <w:top w:val="nil"/>
                          <w:left w:val="nil"/>
                          <w:bottom w:val="nil"/>
                        </w:tcBorders>
                      </w:tcPr>
                      <w:p>
                        <w:pPr>
                          <w:pStyle w:val="TableParagraph"/>
                          <w:spacing w:before="16"/>
                          <w:ind w:left="116"/>
                          <w:jc w:val="left"/>
                          <w:rPr>
                            <w:b/>
                            <w:sz w:val="18"/>
                          </w:rPr>
                        </w:pPr>
                        <w:r>
                          <w:rPr>
                            <w:b/>
                            <w:sz w:val="18"/>
                          </w:rPr>
                          <w:t>Moyenne</w:t>
                        </w:r>
                      </w:p>
                    </w:tc>
                    <w:tc>
                      <w:tcPr>
                        <w:tcW w:w="1009" w:type="dxa"/>
                        <w:tcBorders>
                          <w:top w:val="nil"/>
                          <w:bottom w:val="nil"/>
                          <w:right w:val="single" w:sz="8" w:space="0" w:color="000000"/>
                        </w:tcBorders>
                      </w:tcPr>
                      <w:p>
                        <w:pPr>
                          <w:pStyle w:val="TableParagraph"/>
                          <w:spacing w:before="16"/>
                          <w:ind w:left="79" w:right="35"/>
                          <w:rPr>
                            <w:b/>
                            <w:sz w:val="18"/>
                          </w:rPr>
                        </w:pPr>
                        <w:r>
                          <w:rPr>
                            <w:b/>
                            <w:sz w:val="18"/>
                          </w:rPr>
                          <w:t>15</w:t>
                        </w:r>
                      </w:p>
                    </w:tc>
                    <w:tc>
                      <w:tcPr>
                        <w:tcW w:w="788" w:type="dxa"/>
                        <w:tcBorders>
                          <w:top w:val="nil"/>
                          <w:left w:val="single" w:sz="8" w:space="0" w:color="000000"/>
                          <w:bottom w:val="nil"/>
                          <w:right w:val="single" w:sz="8" w:space="0" w:color="000000"/>
                        </w:tcBorders>
                      </w:tcPr>
                      <w:p>
                        <w:pPr>
                          <w:pStyle w:val="TableParagraph"/>
                          <w:spacing w:before="16"/>
                          <w:ind w:left="85" w:right="50"/>
                          <w:rPr>
                            <w:b/>
                            <w:sz w:val="18"/>
                          </w:rPr>
                        </w:pPr>
                        <w:r>
                          <w:rPr>
                            <w:b/>
                            <w:sz w:val="18"/>
                          </w:rPr>
                          <w:t>3,6</w:t>
                        </w:r>
                      </w:p>
                    </w:tc>
                    <w:tc>
                      <w:tcPr>
                        <w:tcW w:w="1105" w:type="dxa"/>
                        <w:tcBorders>
                          <w:top w:val="nil"/>
                          <w:left w:val="single" w:sz="8" w:space="0" w:color="000000"/>
                          <w:bottom w:val="nil"/>
                        </w:tcBorders>
                      </w:tcPr>
                      <w:p>
                        <w:pPr>
                          <w:pStyle w:val="TableParagraph"/>
                          <w:spacing w:before="16"/>
                          <w:ind w:left="334" w:right="292"/>
                          <w:rPr>
                            <w:b/>
                            <w:sz w:val="18"/>
                          </w:rPr>
                        </w:pPr>
                        <w:r>
                          <w:rPr>
                            <w:b/>
                            <w:sz w:val="18"/>
                          </w:rPr>
                          <w:t>72,1</w:t>
                        </w:r>
                      </w:p>
                    </w:tc>
                  </w:tr>
                  <w:tr>
                    <w:trPr>
                      <w:trHeight w:val="247" w:hRule="atLeast"/>
                    </w:trPr>
                    <w:tc>
                      <w:tcPr>
                        <w:tcW w:w="508" w:type="dxa"/>
                        <w:tcBorders>
                          <w:top w:val="nil"/>
                          <w:bottom w:val="nil"/>
                          <w:right w:val="nil"/>
                        </w:tcBorders>
                      </w:tcPr>
                      <w:p>
                        <w:pPr>
                          <w:pStyle w:val="TableParagraph"/>
                          <w:jc w:val="left"/>
                          <w:rPr>
                            <w:sz w:val="18"/>
                          </w:rPr>
                        </w:pPr>
                      </w:p>
                    </w:tc>
                    <w:tc>
                      <w:tcPr>
                        <w:tcW w:w="928" w:type="dxa"/>
                        <w:tcBorders>
                          <w:top w:val="nil"/>
                          <w:left w:val="nil"/>
                          <w:bottom w:val="nil"/>
                        </w:tcBorders>
                      </w:tcPr>
                      <w:p>
                        <w:pPr>
                          <w:pStyle w:val="TableParagraph"/>
                          <w:spacing w:before="18"/>
                          <w:ind w:left="116"/>
                          <w:jc w:val="left"/>
                          <w:rPr>
                            <w:b/>
                            <w:sz w:val="18"/>
                          </w:rPr>
                        </w:pPr>
                        <w:r>
                          <w:rPr>
                            <w:b/>
                            <w:sz w:val="18"/>
                          </w:rPr>
                          <w:t>Rapide</w:t>
                        </w:r>
                      </w:p>
                    </w:tc>
                    <w:tc>
                      <w:tcPr>
                        <w:tcW w:w="1009" w:type="dxa"/>
                        <w:tcBorders>
                          <w:top w:val="nil"/>
                          <w:bottom w:val="nil"/>
                          <w:right w:val="single" w:sz="8" w:space="0" w:color="000000"/>
                        </w:tcBorders>
                      </w:tcPr>
                      <w:p>
                        <w:pPr>
                          <w:pStyle w:val="TableParagraph"/>
                          <w:spacing w:before="18"/>
                          <w:ind w:left="79" w:right="35"/>
                          <w:rPr>
                            <w:b/>
                            <w:sz w:val="18"/>
                          </w:rPr>
                        </w:pPr>
                        <w:r>
                          <w:rPr>
                            <w:b/>
                            <w:sz w:val="18"/>
                          </w:rPr>
                          <w:t>13</w:t>
                        </w:r>
                      </w:p>
                    </w:tc>
                    <w:tc>
                      <w:tcPr>
                        <w:tcW w:w="788" w:type="dxa"/>
                        <w:tcBorders>
                          <w:top w:val="nil"/>
                          <w:left w:val="single" w:sz="8" w:space="0" w:color="000000"/>
                          <w:bottom w:val="nil"/>
                          <w:right w:val="single" w:sz="8" w:space="0" w:color="000000"/>
                        </w:tcBorders>
                      </w:tcPr>
                      <w:p>
                        <w:pPr>
                          <w:pStyle w:val="TableParagraph"/>
                          <w:spacing w:before="18"/>
                          <w:ind w:left="85" w:right="50"/>
                          <w:rPr>
                            <w:b/>
                            <w:sz w:val="18"/>
                          </w:rPr>
                        </w:pPr>
                        <w:r>
                          <w:rPr>
                            <w:b/>
                            <w:sz w:val="18"/>
                          </w:rPr>
                          <w:t>3,2</w:t>
                        </w:r>
                      </w:p>
                    </w:tc>
                    <w:tc>
                      <w:tcPr>
                        <w:tcW w:w="1105" w:type="dxa"/>
                        <w:tcBorders>
                          <w:top w:val="nil"/>
                          <w:left w:val="single" w:sz="8" w:space="0" w:color="000000"/>
                          <w:bottom w:val="nil"/>
                        </w:tcBorders>
                      </w:tcPr>
                      <w:p>
                        <w:pPr>
                          <w:pStyle w:val="TableParagraph"/>
                          <w:spacing w:before="18"/>
                          <w:ind w:left="334" w:right="292"/>
                          <w:rPr>
                            <w:b/>
                            <w:sz w:val="18"/>
                          </w:rPr>
                        </w:pPr>
                        <w:r>
                          <w:rPr>
                            <w:b/>
                            <w:sz w:val="18"/>
                          </w:rPr>
                          <w:t>91,2</w:t>
                        </w:r>
                      </w:p>
                    </w:tc>
                  </w:tr>
                  <w:tr>
                    <w:trPr>
                      <w:trHeight w:val="453" w:hRule="atLeast"/>
                    </w:trPr>
                    <w:tc>
                      <w:tcPr>
                        <w:tcW w:w="508" w:type="dxa"/>
                        <w:tcBorders>
                          <w:top w:val="nil"/>
                          <w:bottom w:val="nil"/>
                          <w:right w:val="nil"/>
                        </w:tcBorders>
                      </w:tcPr>
                      <w:p>
                        <w:pPr>
                          <w:pStyle w:val="TableParagraph"/>
                          <w:jc w:val="left"/>
                          <w:rPr>
                            <w:sz w:val="22"/>
                          </w:rPr>
                        </w:pPr>
                      </w:p>
                    </w:tc>
                    <w:tc>
                      <w:tcPr>
                        <w:tcW w:w="928" w:type="dxa"/>
                        <w:tcBorders>
                          <w:top w:val="nil"/>
                          <w:left w:val="nil"/>
                          <w:bottom w:val="nil"/>
                        </w:tcBorders>
                      </w:tcPr>
                      <w:p>
                        <w:pPr>
                          <w:pStyle w:val="TableParagraph"/>
                          <w:spacing w:before="16"/>
                          <w:ind w:left="116" w:right="269"/>
                          <w:jc w:val="left"/>
                          <w:rPr>
                            <w:b/>
                            <w:sz w:val="18"/>
                          </w:rPr>
                        </w:pPr>
                        <w:r>
                          <w:rPr>
                            <w:b/>
                            <w:sz w:val="18"/>
                          </w:rPr>
                          <w:t>Très rapide</w:t>
                        </w:r>
                      </w:p>
                    </w:tc>
                    <w:tc>
                      <w:tcPr>
                        <w:tcW w:w="1009" w:type="dxa"/>
                        <w:tcBorders>
                          <w:top w:val="nil"/>
                          <w:bottom w:val="nil"/>
                          <w:right w:val="single" w:sz="8" w:space="0" w:color="000000"/>
                        </w:tcBorders>
                      </w:tcPr>
                      <w:p>
                        <w:pPr>
                          <w:pStyle w:val="TableParagraph"/>
                          <w:spacing w:before="121"/>
                          <w:ind w:left="39"/>
                          <w:rPr>
                            <w:b/>
                            <w:sz w:val="18"/>
                          </w:rPr>
                        </w:pPr>
                        <w:r>
                          <w:rPr>
                            <w:b/>
                            <w:w w:val="101"/>
                            <w:sz w:val="18"/>
                          </w:rPr>
                          <w:t>6</w:t>
                        </w:r>
                      </w:p>
                    </w:tc>
                    <w:tc>
                      <w:tcPr>
                        <w:tcW w:w="788" w:type="dxa"/>
                        <w:tcBorders>
                          <w:top w:val="nil"/>
                          <w:left w:val="single" w:sz="8" w:space="0" w:color="000000"/>
                          <w:bottom w:val="nil"/>
                          <w:right w:val="single" w:sz="8" w:space="0" w:color="000000"/>
                        </w:tcBorders>
                      </w:tcPr>
                      <w:p>
                        <w:pPr>
                          <w:pStyle w:val="TableParagraph"/>
                          <w:spacing w:before="121"/>
                          <w:ind w:left="85" w:right="50"/>
                          <w:rPr>
                            <w:b/>
                            <w:sz w:val="18"/>
                          </w:rPr>
                        </w:pPr>
                        <w:r>
                          <w:rPr>
                            <w:b/>
                            <w:sz w:val="18"/>
                          </w:rPr>
                          <w:t>1,5</w:t>
                        </w:r>
                      </w:p>
                    </w:tc>
                    <w:tc>
                      <w:tcPr>
                        <w:tcW w:w="1105" w:type="dxa"/>
                        <w:tcBorders>
                          <w:top w:val="nil"/>
                          <w:left w:val="single" w:sz="8" w:space="0" w:color="000000"/>
                          <w:bottom w:val="nil"/>
                        </w:tcBorders>
                      </w:tcPr>
                      <w:p>
                        <w:pPr>
                          <w:pStyle w:val="TableParagraph"/>
                          <w:spacing w:before="121"/>
                          <w:ind w:left="334" w:right="292"/>
                          <w:rPr>
                            <w:b/>
                            <w:sz w:val="18"/>
                          </w:rPr>
                        </w:pPr>
                        <w:r>
                          <w:rPr>
                            <w:b/>
                            <w:sz w:val="18"/>
                          </w:rPr>
                          <w:t>100,0</w:t>
                        </w:r>
                      </w:p>
                    </w:tc>
                  </w:tr>
                  <w:tr>
                    <w:trPr>
                      <w:trHeight w:val="227" w:hRule="atLeast"/>
                    </w:trPr>
                    <w:tc>
                      <w:tcPr>
                        <w:tcW w:w="508" w:type="dxa"/>
                        <w:tcBorders>
                          <w:top w:val="nil"/>
                          <w:bottom w:val="nil"/>
                          <w:right w:val="nil"/>
                        </w:tcBorders>
                      </w:tcPr>
                      <w:p>
                        <w:pPr>
                          <w:pStyle w:val="TableParagraph"/>
                          <w:jc w:val="left"/>
                          <w:rPr>
                            <w:sz w:val="16"/>
                          </w:rPr>
                        </w:pPr>
                      </w:p>
                    </w:tc>
                    <w:tc>
                      <w:tcPr>
                        <w:tcW w:w="928" w:type="dxa"/>
                        <w:tcBorders>
                          <w:top w:val="nil"/>
                          <w:left w:val="nil"/>
                          <w:bottom w:val="nil"/>
                        </w:tcBorders>
                      </w:tcPr>
                      <w:p>
                        <w:pPr>
                          <w:pStyle w:val="TableParagraph"/>
                          <w:spacing w:line="190" w:lineRule="exact" w:before="18"/>
                          <w:ind w:left="116"/>
                          <w:jc w:val="left"/>
                          <w:rPr>
                            <w:b/>
                            <w:sz w:val="18"/>
                          </w:rPr>
                        </w:pPr>
                        <w:r>
                          <w:rPr>
                            <w:b/>
                            <w:sz w:val="18"/>
                          </w:rPr>
                          <w:t>Total</w:t>
                        </w:r>
                      </w:p>
                    </w:tc>
                    <w:tc>
                      <w:tcPr>
                        <w:tcW w:w="1009" w:type="dxa"/>
                        <w:tcBorders>
                          <w:top w:val="nil"/>
                          <w:bottom w:val="nil"/>
                          <w:right w:val="single" w:sz="8" w:space="0" w:color="000000"/>
                        </w:tcBorders>
                      </w:tcPr>
                      <w:p>
                        <w:pPr>
                          <w:pStyle w:val="TableParagraph"/>
                          <w:spacing w:line="190" w:lineRule="exact" w:before="18"/>
                          <w:ind w:left="79" w:right="35"/>
                          <w:rPr>
                            <w:b/>
                            <w:sz w:val="18"/>
                          </w:rPr>
                        </w:pPr>
                        <w:r>
                          <w:rPr>
                            <w:b/>
                            <w:sz w:val="18"/>
                          </w:rPr>
                          <w:t>68</w:t>
                        </w:r>
                      </w:p>
                    </w:tc>
                    <w:tc>
                      <w:tcPr>
                        <w:tcW w:w="788" w:type="dxa"/>
                        <w:tcBorders>
                          <w:top w:val="nil"/>
                          <w:left w:val="single" w:sz="8" w:space="0" w:color="000000"/>
                          <w:bottom w:val="nil"/>
                          <w:right w:val="single" w:sz="8" w:space="0" w:color="000000"/>
                        </w:tcBorders>
                      </w:tcPr>
                      <w:p>
                        <w:pPr>
                          <w:pStyle w:val="TableParagraph"/>
                          <w:spacing w:line="190" w:lineRule="exact" w:before="18"/>
                          <w:ind w:left="85" w:right="45"/>
                          <w:rPr>
                            <w:b/>
                            <w:sz w:val="18"/>
                          </w:rPr>
                        </w:pPr>
                        <w:r>
                          <w:rPr>
                            <w:b/>
                            <w:sz w:val="18"/>
                          </w:rPr>
                          <w:t>16,5</w:t>
                        </w:r>
                      </w:p>
                    </w:tc>
                    <w:tc>
                      <w:tcPr>
                        <w:tcW w:w="1105" w:type="dxa"/>
                        <w:tcBorders>
                          <w:top w:val="nil"/>
                          <w:left w:val="single" w:sz="8" w:space="0" w:color="000000"/>
                          <w:bottom w:val="nil"/>
                        </w:tcBorders>
                      </w:tcPr>
                      <w:p>
                        <w:pPr>
                          <w:pStyle w:val="TableParagraph"/>
                          <w:jc w:val="left"/>
                          <w:rPr>
                            <w:sz w:val="16"/>
                          </w:rPr>
                        </w:pPr>
                      </w:p>
                    </w:tc>
                  </w:tr>
                  <w:tr>
                    <w:trPr>
                      <w:trHeight w:val="213" w:hRule="atLeast"/>
                    </w:trPr>
                    <w:tc>
                      <w:tcPr>
                        <w:tcW w:w="508" w:type="dxa"/>
                        <w:tcBorders>
                          <w:top w:val="nil"/>
                          <w:bottom w:val="nil"/>
                          <w:right w:val="nil"/>
                        </w:tcBorders>
                      </w:tcPr>
                      <w:p>
                        <w:pPr>
                          <w:pStyle w:val="TableParagraph"/>
                          <w:jc w:val="left"/>
                          <w:rPr>
                            <w:sz w:val="14"/>
                          </w:rPr>
                        </w:pPr>
                      </w:p>
                    </w:tc>
                    <w:tc>
                      <w:tcPr>
                        <w:tcW w:w="928" w:type="dxa"/>
                        <w:tcBorders>
                          <w:top w:val="nil"/>
                          <w:left w:val="nil"/>
                          <w:bottom w:val="nil"/>
                        </w:tcBorders>
                      </w:tcPr>
                      <w:p>
                        <w:pPr>
                          <w:pStyle w:val="TableParagraph"/>
                          <w:spacing w:line="194" w:lineRule="exact"/>
                          <w:ind w:left="116"/>
                          <w:jc w:val="left"/>
                          <w:rPr>
                            <w:b/>
                            <w:sz w:val="18"/>
                          </w:rPr>
                        </w:pPr>
                        <w:r>
                          <w:rPr>
                            <w:b/>
                            <w:sz w:val="18"/>
                          </w:rPr>
                          <w:t>Missing</w:t>
                        </w:r>
                      </w:p>
                    </w:tc>
                    <w:tc>
                      <w:tcPr>
                        <w:tcW w:w="1009" w:type="dxa"/>
                        <w:tcBorders>
                          <w:top w:val="nil"/>
                          <w:bottom w:val="nil"/>
                          <w:right w:val="single" w:sz="8" w:space="0" w:color="000000"/>
                        </w:tcBorders>
                      </w:tcPr>
                      <w:p>
                        <w:pPr>
                          <w:pStyle w:val="TableParagraph"/>
                          <w:spacing w:line="192" w:lineRule="exact" w:before="1"/>
                          <w:ind w:left="79" w:right="30"/>
                          <w:rPr>
                            <w:b/>
                            <w:sz w:val="18"/>
                          </w:rPr>
                        </w:pPr>
                        <w:r>
                          <w:rPr>
                            <w:b/>
                            <w:sz w:val="18"/>
                          </w:rPr>
                          <w:t>344</w:t>
                        </w:r>
                      </w:p>
                    </w:tc>
                    <w:tc>
                      <w:tcPr>
                        <w:tcW w:w="788" w:type="dxa"/>
                        <w:tcBorders>
                          <w:top w:val="nil"/>
                          <w:left w:val="single" w:sz="8" w:space="0" w:color="000000"/>
                          <w:bottom w:val="nil"/>
                          <w:right w:val="single" w:sz="8" w:space="0" w:color="000000"/>
                        </w:tcBorders>
                      </w:tcPr>
                      <w:p>
                        <w:pPr>
                          <w:pStyle w:val="TableParagraph"/>
                          <w:spacing w:line="192" w:lineRule="exact" w:before="1"/>
                          <w:ind w:left="85" w:right="45"/>
                          <w:rPr>
                            <w:b/>
                            <w:sz w:val="18"/>
                          </w:rPr>
                        </w:pPr>
                        <w:r>
                          <w:rPr>
                            <w:b/>
                            <w:sz w:val="18"/>
                          </w:rPr>
                          <w:t>83,5</w:t>
                        </w:r>
                      </w:p>
                    </w:tc>
                    <w:tc>
                      <w:tcPr>
                        <w:tcW w:w="1105" w:type="dxa"/>
                        <w:tcBorders>
                          <w:top w:val="nil"/>
                          <w:left w:val="single" w:sz="8" w:space="0" w:color="000000"/>
                          <w:bottom w:val="nil"/>
                        </w:tcBorders>
                      </w:tcPr>
                      <w:p>
                        <w:pPr>
                          <w:pStyle w:val="TableParagraph"/>
                          <w:jc w:val="left"/>
                          <w:rPr>
                            <w:sz w:val="14"/>
                          </w:rPr>
                        </w:pPr>
                      </w:p>
                    </w:tc>
                  </w:tr>
                  <w:tr>
                    <w:trPr>
                      <w:trHeight w:val="216" w:hRule="atLeast"/>
                    </w:trPr>
                    <w:tc>
                      <w:tcPr>
                        <w:tcW w:w="508" w:type="dxa"/>
                        <w:tcBorders>
                          <w:top w:val="nil"/>
                          <w:right w:val="nil"/>
                        </w:tcBorders>
                      </w:tcPr>
                      <w:p>
                        <w:pPr>
                          <w:pStyle w:val="TableParagraph"/>
                          <w:spacing w:line="197" w:lineRule="exact"/>
                          <w:ind w:left="83" w:right="-15"/>
                          <w:jc w:val="left"/>
                          <w:rPr>
                            <w:b/>
                            <w:sz w:val="18"/>
                          </w:rPr>
                        </w:pPr>
                        <w:r>
                          <w:rPr>
                            <w:b/>
                            <w:sz w:val="18"/>
                          </w:rPr>
                          <w:t>Total</w:t>
                        </w:r>
                      </w:p>
                    </w:tc>
                    <w:tc>
                      <w:tcPr>
                        <w:tcW w:w="928" w:type="dxa"/>
                        <w:tcBorders>
                          <w:top w:val="nil"/>
                          <w:left w:val="nil"/>
                        </w:tcBorders>
                      </w:tcPr>
                      <w:p>
                        <w:pPr>
                          <w:pStyle w:val="TableParagraph"/>
                          <w:jc w:val="left"/>
                          <w:rPr>
                            <w:sz w:val="14"/>
                          </w:rPr>
                        </w:pPr>
                      </w:p>
                    </w:tc>
                    <w:tc>
                      <w:tcPr>
                        <w:tcW w:w="1009" w:type="dxa"/>
                        <w:tcBorders>
                          <w:top w:val="nil"/>
                          <w:right w:val="single" w:sz="8" w:space="0" w:color="000000"/>
                        </w:tcBorders>
                      </w:tcPr>
                      <w:p>
                        <w:pPr>
                          <w:pStyle w:val="TableParagraph"/>
                          <w:spacing w:line="188" w:lineRule="exact" w:before="8"/>
                          <w:ind w:left="79" w:right="30"/>
                          <w:rPr>
                            <w:b/>
                            <w:sz w:val="18"/>
                          </w:rPr>
                        </w:pPr>
                        <w:r>
                          <w:rPr>
                            <w:b/>
                            <w:sz w:val="18"/>
                          </w:rPr>
                          <w:t>412</w:t>
                        </w:r>
                      </w:p>
                    </w:tc>
                    <w:tc>
                      <w:tcPr>
                        <w:tcW w:w="788" w:type="dxa"/>
                        <w:tcBorders>
                          <w:top w:val="nil"/>
                          <w:left w:val="single" w:sz="8" w:space="0" w:color="000000"/>
                          <w:right w:val="single" w:sz="8" w:space="0" w:color="000000"/>
                        </w:tcBorders>
                      </w:tcPr>
                      <w:p>
                        <w:pPr>
                          <w:pStyle w:val="TableParagraph"/>
                          <w:spacing w:line="188" w:lineRule="exact" w:before="8"/>
                          <w:ind w:left="85" w:right="45"/>
                          <w:rPr>
                            <w:b/>
                            <w:sz w:val="18"/>
                          </w:rPr>
                        </w:pPr>
                        <w:r>
                          <w:rPr>
                            <w:b/>
                            <w:sz w:val="18"/>
                          </w:rPr>
                          <w:t>100,0</w:t>
                        </w:r>
                      </w:p>
                    </w:tc>
                    <w:tc>
                      <w:tcPr>
                        <w:tcW w:w="1105" w:type="dxa"/>
                        <w:tcBorders>
                          <w:top w:val="nil"/>
                          <w:left w:val="single" w:sz="8" w:space="0" w:color="000000"/>
                        </w:tcBorders>
                      </w:tcPr>
                      <w:p>
                        <w:pPr>
                          <w:pStyle w:val="TableParagraph"/>
                          <w:jc w:val="left"/>
                          <w:rPr>
                            <w:sz w:val="14"/>
                          </w:rPr>
                        </w:pPr>
                      </w:p>
                    </w:tc>
                  </w:tr>
                </w:tbl>
                <w:p>
                  <w:pPr>
                    <w:pStyle w:val="BodyText"/>
                  </w:pPr>
                </w:p>
              </w:txbxContent>
            </v:textbox>
          </v:shape>
        </w:pict>
      </w:r>
      <w:r>
        <w:rPr>
          <w:position w:val="17"/>
          <w:sz w:val="20"/>
        </w:rPr>
      </w:r>
      <w:r>
        <w:rPr>
          <w:position w:val="17"/>
          <w:sz w:val="20"/>
        </w:rPr>
        <w:tab/>
      </w:r>
      <w:r>
        <w:rPr>
          <w:sz w:val="20"/>
        </w:rPr>
        <w:pict>
          <v:group style="width:227.2pt;height:147pt;mso-position-horizontal-relative:char;mso-position-vertical-relative:line" coordorigin="0,0" coordsize="4544,2940">
            <v:shape style="position:absolute;left:1061;top:372;width:2427;height:1428" type="#_x0000_t75" stroked="false">
              <v:imagedata r:id="rId100" o:title=""/>
            </v:shape>
            <v:rect style="position:absolute;left:809;top:2286;width:99;height:99" filled="true" fillcolor="#385622" stroked="false">
              <v:fill type="solid"/>
            </v:rect>
            <v:rect style="position:absolute;left:1827;top:2286;width:99;height:99" filled="true" fillcolor="#ff0000" stroked="false">
              <v:fill type="solid"/>
            </v:rect>
            <v:rect style="position:absolute;left:2845;top:2286;width:99;height:99" filled="true" fillcolor="#a4a4a4" stroked="false">
              <v:fill type="solid"/>
            </v:rect>
            <v:rect style="position:absolute;left:809;top:2624;width:99;height:99" filled="true" fillcolor="#ffc000" stroked="false">
              <v:fill type="solid"/>
            </v:rect>
            <v:rect style="position:absolute;left:1827;top:2624;width:99;height:99" filled="true" fillcolor="#4471c4" stroked="false">
              <v:fill type="solid"/>
            </v:rect>
            <v:rect style="position:absolute;left:7;top:7;width:4529;height:2925" filled="false" stroked="true" strokeweight=".75pt" strokecolor="#d9d9d9">
              <v:stroke dashstyle="solid"/>
            </v:rect>
            <v:shape style="position:absolute;left:2989;top:2254;width:720;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Moyenne</w:t>
                    </w:r>
                  </w:p>
                </w:txbxContent>
              </v:textbox>
              <w10:wrap type="none"/>
            </v:shape>
            <v:shape style="position:absolute;left:1971;top:2254;width:841;height:520" type="#_x0000_t202" filled="false" stroked="false">
              <v:textbox inset="0,0,0,0">
                <w:txbxContent>
                  <w:p>
                    <w:pPr>
                      <w:spacing w:line="185" w:lineRule="exact" w:before="0"/>
                      <w:ind w:left="0" w:right="0" w:firstLine="0"/>
                      <w:jc w:val="left"/>
                      <w:rPr>
                        <w:rFonts w:ascii="Calibri"/>
                        <w:sz w:val="18"/>
                      </w:rPr>
                    </w:pPr>
                    <w:r>
                      <w:rPr>
                        <w:rFonts w:ascii="Calibri"/>
                        <w:color w:val="585858"/>
                        <w:sz w:val="18"/>
                      </w:rPr>
                      <w:t>Lente</w:t>
                    </w:r>
                  </w:p>
                  <w:p>
                    <w:pPr>
                      <w:spacing w:line="217" w:lineRule="exact" w:before="118"/>
                      <w:ind w:left="0" w:right="0" w:firstLine="0"/>
                      <w:jc w:val="left"/>
                      <w:rPr>
                        <w:rFonts w:ascii="Calibri" w:hAnsi="Calibri"/>
                        <w:sz w:val="18"/>
                      </w:rPr>
                    </w:pPr>
                    <w:r>
                      <w:rPr>
                        <w:rFonts w:ascii="Calibri" w:hAnsi="Calibri"/>
                        <w:color w:val="585858"/>
                        <w:sz w:val="18"/>
                      </w:rPr>
                      <w:t>Très rapide</w:t>
                    </w:r>
                  </w:p>
                </w:txbxContent>
              </v:textbox>
              <w10:wrap type="none"/>
            </v:shape>
            <v:shape style="position:absolute;left:953;top:2254;width:749;height:520" type="#_x0000_t202" filled="false" stroked="false">
              <v:textbox inset="0,0,0,0">
                <w:txbxContent>
                  <w:p>
                    <w:pPr>
                      <w:spacing w:line="185" w:lineRule="exact" w:before="0"/>
                      <w:ind w:left="0" w:right="0" w:firstLine="0"/>
                      <w:jc w:val="left"/>
                      <w:rPr>
                        <w:rFonts w:ascii="Calibri" w:hAnsi="Calibri"/>
                        <w:sz w:val="18"/>
                      </w:rPr>
                    </w:pPr>
                    <w:r>
                      <w:rPr>
                        <w:rFonts w:ascii="Calibri" w:hAnsi="Calibri"/>
                        <w:color w:val="585858"/>
                        <w:sz w:val="18"/>
                      </w:rPr>
                      <w:t>Très lente</w:t>
                    </w:r>
                  </w:p>
                  <w:p>
                    <w:pPr>
                      <w:spacing w:line="217" w:lineRule="exact" w:before="118"/>
                      <w:ind w:left="0" w:right="0" w:firstLine="0"/>
                      <w:jc w:val="left"/>
                      <w:rPr>
                        <w:rFonts w:ascii="Calibri"/>
                        <w:sz w:val="18"/>
                      </w:rPr>
                    </w:pPr>
                    <w:r>
                      <w:rPr>
                        <w:rFonts w:ascii="Calibri"/>
                        <w:color w:val="585858"/>
                        <w:sz w:val="18"/>
                      </w:rPr>
                      <w:t>Rapide</w:t>
                    </w:r>
                  </w:p>
                </w:txbxContent>
              </v:textbox>
              <w10:wrap type="none"/>
            </v:shape>
            <v:shape style="position:absolute;left:2649;top:1200;width:204;height:183" type="#_x0000_t202" filled="false" stroked="false">
              <v:textbox inset="0,0,0,0">
                <w:txbxContent>
                  <w:p>
                    <w:pPr>
                      <w:spacing w:line="182" w:lineRule="exact" w:before="0"/>
                      <w:ind w:left="0" w:right="0" w:firstLine="0"/>
                      <w:jc w:val="left"/>
                      <w:rPr>
                        <w:rFonts w:ascii="Calibri"/>
                        <w:b/>
                        <w:sz w:val="18"/>
                      </w:rPr>
                    </w:pPr>
                    <w:r>
                      <w:rPr>
                        <w:rFonts w:ascii="Calibri"/>
                        <w:b/>
                        <w:sz w:val="18"/>
                      </w:rPr>
                      <w:t>12</w:t>
                    </w:r>
                  </w:p>
                </w:txbxContent>
              </v:textbox>
              <w10:wrap type="none"/>
            </v:shape>
            <v:shape style="position:absolute;left:1584;top:1170;width:203;height:183" type="#_x0000_t202" filled="false" stroked="false">
              <v:textbox inset="0,0,0,0">
                <w:txbxContent>
                  <w:p>
                    <w:pPr>
                      <w:spacing w:line="182" w:lineRule="exact" w:before="0"/>
                      <w:ind w:left="0" w:right="0" w:firstLine="0"/>
                      <w:jc w:val="left"/>
                      <w:rPr>
                        <w:rFonts w:ascii="Calibri"/>
                        <w:b/>
                        <w:sz w:val="18"/>
                      </w:rPr>
                    </w:pPr>
                    <w:r>
                      <w:rPr>
                        <w:rFonts w:ascii="Calibri"/>
                        <w:b/>
                        <w:sz w:val="18"/>
                      </w:rPr>
                      <w:t>15</w:t>
                    </w:r>
                  </w:p>
                </w:txbxContent>
              </v:textbox>
              <w10:wrap type="none"/>
            </v:shape>
            <v:shape style="position:absolute;left:2679;top:540;width:203;height:183" type="#_x0000_t202" filled="false" stroked="false">
              <v:textbox inset="0,0,0,0">
                <w:txbxContent>
                  <w:p>
                    <w:pPr>
                      <w:spacing w:line="182" w:lineRule="exact" w:before="0"/>
                      <w:ind w:left="0" w:right="0" w:firstLine="0"/>
                      <w:jc w:val="left"/>
                      <w:rPr>
                        <w:rFonts w:ascii="Calibri"/>
                        <w:b/>
                        <w:sz w:val="18"/>
                      </w:rPr>
                    </w:pPr>
                    <w:r>
                      <w:rPr>
                        <w:rFonts w:ascii="Calibri"/>
                        <w:b/>
                        <w:sz w:val="18"/>
                      </w:rPr>
                      <w:t>22</w:t>
                    </w:r>
                  </w:p>
                </w:txbxContent>
              </v:textbox>
              <w10:wrap type="none"/>
            </v:shape>
            <v:shape style="position:absolute;left:2111;top:494;width:113;height:183" type="#_x0000_t202" filled="false" stroked="false">
              <v:textbox inset="0,0,0,0">
                <w:txbxContent>
                  <w:p>
                    <w:pPr>
                      <w:spacing w:line="182" w:lineRule="exact" w:before="0"/>
                      <w:ind w:left="0" w:right="0" w:firstLine="0"/>
                      <w:jc w:val="left"/>
                      <w:rPr>
                        <w:rFonts w:ascii="Calibri"/>
                        <w:b/>
                        <w:sz w:val="18"/>
                      </w:rPr>
                    </w:pPr>
                    <w:r>
                      <w:rPr>
                        <w:rFonts w:ascii="Calibri"/>
                        <w:b/>
                        <w:w w:val="101"/>
                        <w:sz w:val="18"/>
                      </w:rPr>
                      <w:t>6</w:t>
                    </w:r>
                  </w:p>
                </w:txbxContent>
              </v:textbox>
              <w10:wrap type="none"/>
            </v:shape>
            <v:shape style="position:absolute;left:1479;top:614;width:203;height:183" type="#_x0000_t202" filled="false" stroked="false">
              <v:textbox inset="0,0,0,0">
                <w:txbxContent>
                  <w:p>
                    <w:pPr>
                      <w:spacing w:line="182" w:lineRule="exact" w:before="0"/>
                      <w:ind w:left="0" w:right="0" w:firstLine="0"/>
                      <w:jc w:val="left"/>
                      <w:rPr>
                        <w:rFonts w:ascii="Calibri"/>
                        <w:b/>
                        <w:sz w:val="18"/>
                      </w:rPr>
                    </w:pPr>
                    <w:r>
                      <w:rPr>
                        <w:rFonts w:ascii="Calibri"/>
                        <w:b/>
                        <w:sz w:val="18"/>
                      </w:rPr>
                      <w:t>13</w:t>
                    </w:r>
                  </w:p>
                </w:txbxContent>
              </v:textbox>
              <w10:wrap type="none"/>
            </v:shape>
          </v:group>
        </w:pict>
      </w:r>
      <w:r>
        <w:rPr>
          <w:sz w:val="20"/>
        </w:rPr>
      </w:r>
    </w:p>
    <w:p>
      <w:pPr>
        <w:pStyle w:val="BodyText"/>
        <w:spacing w:before="7"/>
        <w:rPr>
          <w:sz w:val="9"/>
        </w:rPr>
      </w:pPr>
    </w:p>
    <w:p>
      <w:pPr>
        <w:pStyle w:val="BodyText"/>
        <w:spacing w:before="90"/>
        <w:ind w:left="825" w:right="441"/>
        <w:jc w:val="center"/>
      </w:pPr>
      <w:r>
        <w:rPr>
          <w:b/>
        </w:rPr>
        <w:t>Source : </w:t>
      </w:r>
      <w:r>
        <w:rPr/>
        <w:t>élaboré par nous-même sur la base des outputs SPSS</w:t>
      </w:r>
    </w:p>
    <w:p>
      <w:pPr>
        <w:pStyle w:val="BodyText"/>
        <w:spacing w:before="3"/>
        <w:rPr>
          <w:sz w:val="25"/>
        </w:rPr>
      </w:pPr>
    </w:p>
    <w:p>
      <w:pPr>
        <w:pStyle w:val="BodyText"/>
        <w:spacing w:line="362" w:lineRule="auto"/>
        <w:ind w:left="699" w:right="320" w:firstLine="360"/>
        <w:jc w:val="both"/>
      </w:pPr>
      <w:r>
        <w:rPr/>
        <w:t>Les</w:t>
      </w:r>
      <w:r>
        <w:rPr>
          <w:spacing w:val="-7"/>
        </w:rPr>
        <w:t> </w:t>
      </w:r>
      <w:r>
        <w:rPr/>
        <w:t>utilisateurs</w:t>
      </w:r>
      <w:r>
        <w:rPr>
          <w:spacing w:val="-7"/>
        </w:rPr>
        <w:t> </w:t>
      </w:r>
      <w:r>
        <w:rPr/>
        <w:t>qui</w:t>
      </w:r>
      <w:r>
        <w:rPr>
          <w:spacing w:val="-14"/>
        </w:rPr>
        <w:t> </w:t>
      </w:r>
      <w:r>
        <w:rPr/>
        <w:t>ont </w:t>
      </w:r>
      <w:r>
        <w:rPr>
          <w:spacing w:val="-3"/>
        </w:rPr>
        <w:t>déjà</w:t>
      </w:r>
      <w:r>
        <w:rPr>
          <w:spacing w:val="-6"/>
        </w:rPr>
        <w:t> </w:t>
      </w:r>
      <w:r>
        <w:rPr/>
        <w:t>contacté</w:t>
      </w:r>
      <w:r>
        <w:rPr>
          <w:spacing w:val="-6"/>
        </w:rPr>
        <w:t> </w:t>
      </w:r>
      <w:r>
        <w:rPr>
          <w:spacing w:val="-5"/>
        </w:rPr>
        <w:t>le</w:t>
      </w:r>
      <w:r>
        <w:rPr>
          <w:spacing w:val="-6"/>
        </w:rPr>
        <w:t> </w:t>
      </w:r>
      <w:r>
        <w:rPr/>
        <w:t>service</w:t>
      </w:r>
      <w:r>
        <w:rPr>
          <w:spacing w:val="-6"/>
        </w:rPr>
        <w:t> </w:t>
      </w:r>
      <w:r>
        <w:rPr/>
        <w:t>client de</w:t>
      </w:r>
      <w:r>
        <w:rPr>
          <w:spacing w:val="-6"/>
        </w:rPr>
        <w:t> </w:t>
      </w:r>
      <w:r>
        <w:rPr/>
        <w:t>BaridiMob</w:t>
      </w:r>
      <w:r>
        <w:rPr>
          <w:spacing w:val="-10"/>
        </w:rPr>
        <w:t> </w:t>
      </w:r>
      <w:r>
        <w:rPr/>
        <w:t>sont 68</w:t>
      </w:r>
      <w:r>
        <w:rPr>
          <w:spacing w:val="-5"/>
        </w:rPr>
        <w:t> </w:t>
      </w:r>
      <w:r>
        <w:rPr/>
        <w:t>au</w:t>
      </w:r>
      <w:r>
        <w:rPr>
          <w:spacing w:val="-10"/>
        </w:rPr>
        <w:t> </w:t>
      </w:r>
      <w:r>
        <w:rPr/>
        <w:t>total.</w:t>
      </w:r>
      <w:r>
        <w:rPr>
          <w:spacing w:val="-3"/>
        </w:rPr>
        <w:t> </w:t>
      </w:r>
      <w:r>
        <w:rPr/>
        <w:t>Sur</w:t>
      </w:r>
      <w:r>
        <w:rPr>
          <w:spacing w:val="-8"/>
        </w:rPr>
        <w:t> </w:t>
      </w:r>
      <w:r>
        <w:rPr/>
        <w:t>ces</w:t>
      </w:r>
      <w:r>
        <w:rPr>
          <w:spacing w:val="-7"/>
        </w:rPr>
        <w:t> </w:t>
      </w:r>
      <w:r>
        <w:rPr/>
        <w:t>68 personnes, 22 </w:t>
      </w:r>
      <w:r>
        <w:rPr>
          <w:spacing w:val="-4"/>
        </w:rPr>
        <w:t>soit </w:t>
      </w:r>
      <w:r>
        <w:rPr/>
        <w:t>32,4 % </w:t>
      </w:r>
      <w:r>
        <w:rPr>
          <w:spacing w:val="-3"/>
        </w:rPr>
        <w:t>disent </w:t>
      </w:r>
      <w:r>
        <w:rPr/>
        <w:t>que </w:t>
      </w:r>
      <w:r>
        <w:rPr>
          <w:spacing w:val="-5"/>
        </w:rPr>
        <w:t>la </w:t>
      </w:r>
      <w:r>
        <w:rPr/>
        <w:t>réponse </w:t>
      </w:r>
      <w:r>
        <w:rPr>
          <w:spacing w:val="-3"/>
        </w:rPr>
        <w:t>était </w:t>
      </w:r>
      <w:r>
        <w:rPr/>
        <w:t>très lente, 12 </w:t>
      </w:r>
      <w:r>
        <w:rPr>
          <w:spacing w:val="-3"/>
        </w:rPr>
        <w:t>soit </w:t>
      </w:r>
      <w:r>
        <w:rPr/>
        <w:t>17,6 % </w:t>
      </w:r>
      <w:r>
        <w:rPr>
          <w:spacing w:val="-5"/>
        </w:rPr>
        <w:t>la </w:t>
      </w:r>
      <w:r>
        <w:rPr/>
        <w:t>trouvent lente, </w:t>
      </w:r>
      <w:r>
        <w:rPr>
          <w:spacing w:val="-3"/>
        </w:rPr>
        <w:t>et </w:t>
      </w:r>
      <w:r>
        <w:rPr/>
        <w:t>15 </w:t>
      </w:r>
      <w:r>
        <w:rPr>
          <w:spacing w:val="-3"/>
        </w:rPr>
        <w:t>soit </w:t>
      </w:r>
      <w:r>
        <w:rPr/>
        <w:t>22,1 % pensent qu’elle est moyenne. En revanche, 13 personnes soit 19,1 % jugent </w:t>
      </w:r>
      <w:r>
        <w:rPr>
          <w:spacing w:val="-5"/>
        </w:rPr>
        <w:t>la </w:t>
      </w:r>
      <w:r>
        <w:rPr/>
        <w:t>réponse rapide, et seulement 6 </w:t>
      </w:r>
      <w:r>
        <w:rPr>
          <w:spacing w:val="-3"/>
        </w:rPr>
        <w:t>soit </w:t>
      </w:r>
      <w:r>
        <w:rPr/>
        <w:t>8,8 % </w:t>
      </w:r>
      <w:r>
        <w:rPr>
          <w:spacing w:val="-3"/>
        </w:rPr>
        <w:t>la </w:t>
      </w:r>
      <w:r>
        <w:rPr/>
        <w:t>trouvent très</w:t>
      </w:r>
      <w:r>
        <w:rPr>
          <w:spacing w:val="24"/>
        </w:rPr>
        <w:t> </w:t>
      </w:r>
      <w:r>
        <w:rPr/>
        <w:t>rapide.</w:t>
      </w:r>
    </w:p>
    <w:p>
      <w:pPr>
        <w:pStyle w:val="Heading5"/>
        <w:spacing w:before="163"/>
        <w:ind w:left="699" w:firstLine="0"/>
      </w:pPr>
      <w:r>
        <w:rPr/>
        <w:t>Q25_Quelles difficultés avez-vous rencontré en contactant le service client ?</w:t>
      </w:r>
    </w:p>
    <w:p>
      <w:pPr>
        <w:pStyle w:val="BodyText"/>
        <w:rPr>
          <w:b/>
          <w:sz w:val="17"/>
        </w:rPr>
      </w:pPr>
    </w:p>
    <w:p>
      <w:pPr>
        <w:spacing w:after="0"/>
        <w:rPr>
          <w:sz w:val="17"/>
        </w:rPr>
        <w:sectPr>
          <w:type w:val="continuous"/>
          <w:pgSz w:w="12240" w:h="15840"/>
          <w:pgMar w:top="3140" w:bottom="280" w:left="1000" w:right="820"/>
        </w:sectPr>
      </w:pPr>
    </w:p>
    <w:p>
      <w:pPr>
        <w:spacing w:line="247" w:lineRule="auto" w:before="90"/>
        <w:ind w:left="699" w:right="-17" w:firstLine="0"/>
        <w:jc w:val="left"/>
        <w:rPr>
          <w:b/>
          <w:sz w:val="24"/>
        </w:rPr>
      </w:pPr>
      <w:r>
        <w:rPr/>
        <w:pict>
          <v:group style="position:absolute;margin-left:339.825012pt;margin-top:36.928135pt;width:213.95pt;height:122.55pt;mso-position-horizontal-relative:page;mso-position-vertical-relative:paragraph;z-index:-258840576" coordorigin="6797,739" coordsize="4279,2451">
            <v:line style="position:absolute" from="7375,966" to="10848,966" stroked="true" strokeweight=".75pt" strokecolor="#d9d9d9">
              <v:stroke dashstyle="solid"/>
            </v:line>
            <v:shape style="position:absolute;left:7255;top:2194;width:2632;height:834" type="#_x0000_t75" stroked="false">
              <v:imagedata r:id="rId101" o:title=""/>
            </v:shape>
            <v:shape style="position:absolute;left:10303;top:2204;width:221;height:208" type="#_x0000_t75" stroked="false">
              <v:imagedata r:id="rId102" o:title=""/>
            </v:shape>
            <v:rect style="position:absolute;left:6804;top:746;width:4264;height:2436" filled="false" stroked="true" strokeweight=".75pt" strokecolor="#d9d9d9">
              <v:stroke dashstyle="solid"/>
            </v:rect>
            <v:shape style="position:absolute;left:6936;top:884;width:295;height:1316" type="#_x0000_t202" filled="false" stroked="false">
              <v:textbox inset="0,0,0,0">
                <w:txbxContent>
                  <w:p>
                    <w:pPr>
                      <w:spacing w:line="170" w:lineRule="exact" w:before="0"/>
                      <w:ind w:left="0" w:right="19" w:firstLine="0"/>
                      <w:jc w:val="right"/>
                      <w:rPr>
                        <w:rFonts w:ascii="Calibri"/>
                        <w:sz w:val="18"/>
                      </w:rPr>
                    </w:pPr>
                    <w:r>
                      <w:rPr>
                        <w:rFonts w:ascii="Calibri"/>
                        <w:color w:val="585858"/>
                        <w:spacing w:val="-3"/>
                        <w:sz w:val="18"/>
                      </w:rPr>
                      <w:t>120</w:t>
                    </w:r>
                  </w:p>
                  <w:p>
                    <w:pPr>
                      <w:spacing w:line="189" w:lineRule="exact" w:before="0"/>
                      <w:ind w:left="0" w:right="19" w:firstLine="0"/>
                      <w:jc w:val="right"/>
                      <w:rPr>
                        <w:rFonts w:ascii="Calibri"/>
                        <w:sz w:val="18"/>
                      </w:rPr>
                    </w:pPr>
                    <w:r>
                      <w:rPr>
                        <w:rFonts w:ascii="Calibri"/>
                        <w:color w:val="585858"/>
                        <w:spacing w:val="-2"/>
                        <w:sz w:val="18"/>
                      </w:rPr>
                      <w:t>100</w:t>
                    </w:r>
                  </w:p>
                  <w:p>
                    <w:pPr>
                      <w:spacing w:line="189" w:lineRule="exact" w:before="0"/>
                      <w:ind w:left="0" w:right="19" w:firstLine="0"/>
                      <w:jc w:val="right"/>
                      <w:rPr>
                        <w:rFonts w:ascii="Calibri"/>
                        <w:sz w:val="18"/>
                      </w:rPr>
                    </w:pPr>
                    <w:r>
                      <w:rPr>
                        <w:rFonts w:ascii="Calibri"/>
                        <w:color w:val="585858"/>
                        <w:spacing w:val="-2"/>
                        <w:sz w:val="18"/>
                      </w:rPr>
                      <w:t>80</w:t>
                    </w:r>
                  </w:p>
                  <w:p>
                    <w:pPr>
                      <w:spacing w:line="189" w:lineRule="exact" w:before="0"/>
                      <w:ind w:left="0" w:right="19" w:firstLine="0"/>
                      <w:jc w:val="right"/>
                      <w:rPr>
                        <w:rFonts w:ascii="Calibri"/>
                        <w:sz w:val="18"/>
                      </w:rPr>
                    </w:pPr>
                    <w:r>
                      <w:rPr>
                        <w:rFonts w:ascii="Calibri"/>
                        <w:color w:val="585858"/>
                        <w:spacing w:val="-2"/>
                        <w:sz w:val="18"/>
                      </w:rPr>
                      <w:t>60</w:t>
                    </w:r>
                  </w:p>
                  <w:p>
                    <w:pPr>
                      <w:spacing w:line="189" w:lineRule="exact" w:before="0"/>
                      <w:ind w:left="0" w:right="19" w:firstLine="0"/>
                      <w:jc w:val="right"/>
                      <w:rPr>
                        <w:rFonts w:ascii="Calibri"/>
                        <w:sz w:val="18"/>
                      </w:rPr>
                    </w:pPr>
                    <w:r>
                      <w:rPr>
                        <w:rFonts w:ascii="Calibri"/>
                        <w:color w:val="585858"/>
                        <w:spacing w:val="-2"/>
                        <w:sz w:val="18"/>
                      </w:rPr>
                      <w:t>40</w:t>
                    </w:r>
                  </w:p>
                  <w:p>
                    <w:pPr>
                      <w:spacing w:line="189" w:lineRule="exact" w:before="0"/>
                      <w:ind w:left="0" w:right="19" w:firstLine="0"/>
                      <w:jc w:val="right"/>
                      <w:rPr>
                        <w:rFonts w:ascii="Calibri"/>
                        <w:sz w:val="18"/>
                      </w:rPr>
                    </w:pPr>
                    <w:r>
                      <w:rPr>
                        <w:rFonts w:ascii="Calibri"/>
                        <w:color w:val="585858"/>
                        <w:spacing w:val="-2"/>
                        <w:sz w:val="18"/>
                      </w:rPr>
                      <w:t>20</w:t>
                    </w:r>
                  </w:p>
                  <w:p>
                    <w:pPr>
                      <w:spacing w:line="201" w:lineRule="exact" w:before="0"/>
                      <w:ind w:left="0" w:right="18" w:firstLine="0"/>
                      <w:jc w:val="right"/>
                      <w:rPr>
                        <w:rFonts w:ascii="Calibri"/>
                        <w:sz w:val="18"/>
                      </w:rPr>
                    </w:pPr>
                    <w:r>
                      <w:rPr>
                        <w:rFonts w:ascii="Calibri"/>
                        <w:color w:val="585858"/>
                        <w:w w:val="101"/>
                        <w:sz w:val="18"/>
                      </w:rPr>
                      <w:t>0</w:t>
                    </w:r>
                  </w:p>
                </w:txbxContent>
              </v:textbox>
              <w10:wrap type="none"/>
            </v:shape>
            <w10:wrap type="none"/>
          </v:group>
        </w:pict>
      </w:r>
      <w:bookmarkStart w:name="_bookmark60" w:id="254"/>
      <w:bookmarkEnd w:id="254"/>
      <w:r>
        <w:rPr/>
      </w:r>
      <w:r>
        <w:rPr>
          <w:b/>
          <w:color w:val="44536A"/>
          <w:sz w:val="24"/>
        </w:rPr>
        <w:t>Tableau 26 : </w:t>
      </w:r>
      <w:r>
        <w:rPr>
          <w:color w:val="44536A"/>
          <w:sz w:val="24"/>
        </w:rPr>
        <w:t>Difficultés </w:t>
      </w:r>
      <w:r>
        <w:rPr>
          <w:b/>
          <w:color w:val="44536A"/>
          <w:sz w:val="24"/>
        </w:rPr>
        <w:t>rencontrées avec </w:t>
      </w:r>
      <w:r>
        <w:rPr>
          <w:b/>
          <w:color w:val="44536A"/>
          <w:spacing w:val="-3"/>
          <w:sz w:val="24"/>
        </w:rPr>
        <w:t>le </w:t>
      </w:r>
      <w:r>
        <w:rPr>
          <w:b/>
          <w:color w:val="44536A"/>
          <w:sz w:val="24"/>
        </w:rPr>
        <w:t>service client</w:t>
      </w:r>
    </w:p>
    <w:p>
      <w:pPr>
        <w:spacing w:line="242" w:lineRule="auto" w:before="104"/>
        <w:ind w:left="614" w:right="0" w:firstLine="0"/>
        <w:jc w:val="left"/>
        <w:rPr>
          <w:b/>
          <w:sz w:val="24"/>
        </w:rPr>
      </w:pPr>
      <w:r>
        <w:rPr/>
        <w:br w:type="column"/>
      </w:r>
      <w:bookmarkStart w:name="_bookmark61" w:id="255"/>
      <w:bookmarkEnd w:id="255"/>
      <w:r>
        <w:rPr/>
      </w:r>
      <w:r>
        <w:rPr>
          <w:b/>
          <w:color w:val="44536A"/>
          <w:sz w:val="24"/>
        </w:rPr>
        <w:t>Figure 22 : </w:t>
      </w:r>
      <w:r>
        <w:rPr>
          <w:color w:val="44536A"/>
          <w:sz w:val="24"/>
        </w:rPr>
        <w:t>Difficultés </w:t>
      </w:r>
      <w:r>
        <w:rPr>
          <w:b/>
          <w:color w:val="44536A"/>
          <w:sz w:val="24"/>
        </w:rPr>
        <w:t>rencontrées avec le service client</w:t>
      </w:r>
    </w:p>
    <w:p>
      <w:pPr>
        <w:spacing w:after="0" w:line="242" w:lineRule="auto"/>
        <w:jc w:val="left"/>
        <w:rPr>
          <w:sz w:val="24"/>
        </w:rPr>
        <w:sectPr>
          <w:type w:val="continuous"/>
          <w:pgSz w:w="12240" w:h="15840"/>
          <w:pgMar w:top="3140" w:bottom="280" w:left="1000" w:right="820"/>
          <w:cols w:num="2" w:equalWidth="0">
            <w:col w:w="5069" w:space="40"/>
            <w:col w:w="5311"/>
          </w:cols>
        </w:sectPr>
      </w:pPr>
    </w:p>
    <w:p>
      <w:pPr>
        <w:pStyle w:val="BodyText"/>
        <w:spacing w:before="9"/>
        <w:rPr>
          <w:b/>
          <w:sz w:val="12"/>
        </w:rPr>
      </w:pPr>
    </w:p>
    <w:p>
      <w:pPr>
        <w:tabs>
          <w:tab w:pos="6367" w:val="left" w:leader="none"/>
        </w:tabs>
        <w:spacing w:line="240" w:lineRule="auto"/>
        <w:ind w:left="699" w:right="0" w:firstLine="0"/>
        <w:rPr>
          <w:sz w:val="20"/>
        </w:rPr>
      </w:pPr>
      <w:r>
        <w:rPr>
          <w:sz w:val="20"/>
        </w:rPr>
        <w:pict>
          <v:shape style="width:225.5pt;height:116.7pt;mso-position-horizontal-relative:char;mso-position-vertical-relative:line" type="#_x0000_t202" filled="false" stroked="false">
            <w10:anchorlock/>
            <v:textbox inset="0,0,0,0">
              <w:txbxContent>
                <w:tbl>
                  <w:tblPr>
                    <w:tblW w:w="0" w:type="auto"/>
                    <w:jc w:val="left"/>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647"/>
                    <w:gridCol w:w="819"/>
                  </w:tblGrid>
                  <w:tr>
                    <w:trPr>
                      <w:trHeight w:val="431" w:hRule="atLeast"/>
                    </w:trPr>
                    <w:tc>
                      <w:tcPr>
                        <w:tcW w:w="3647" w:type="dxa"/>
                        <w:tcBorders>
                          <w:bottom w:val="single" w:sz="2" w:space="0" w:color="000000"/>
                          <w:right w:val="single" w:sz="2" w:space="0" w:color="000000"/>
                        </w:tcBorders>
                      </w:tcPr>
                      <w:p>
                        <w:pPr>
                          <w:pStyle w:val="TableParagraph"/>
                          <w:spacing w:line="233" w:lineRule="exact" w:before="178"/>
                          <w:ind w:left="71"/>
                          <w:jc w:val="left"/>
                          <w:rPr>
                            <w:b/>
                            <w:sz w:val="22"/>
                          </w:rPr>
                        </w:pPr>
                        <w:r>
                          <w:rPr>
                            <w:b/>
                            <w:sz w:val="22"/>
                          </w:rPr>
                          <w:t>Réponse non satisfaisante</w:t>
                        </w:r>
                      </w:p>
                    </w:tc>
                    <w:tc>
                      <w:tcPr>
                        <w:tcW w:w="819" w:type="dxa"/>
                        <w:tcBorders>
                          <w:left w:val="single" w:sz="2" w:space="0" w:color="000000"/>
                          <w:bottom w:val="single" w:sz="2" w:space="0" w:color="000000"/>
                        </w:tcBorders>
                      </w:tcPr>
                      <w:p>
                        <w:pPr>
                          <w:pStyle w:val="TableParagraph"/>
                          <w:spacing w:line="233" w:lineRule="exact" w:before="178"/>
                          <w:ind w:left="229" w:right="196"/>
                          <w:rPr>
                            <w:b/>
                            <w:sz w:val="22"/>
                          </w:rPr>
                        </w:pPr>
                        <w:r>
                          <w:rPr>
                            <w:b/>
                            <w:sz w:val="22"/>
                          </w:rPr>
                          <w:t>23</w:t>
                        </w:r>
                      </w:p>
                    </w:tc>
                  </w:tr>
                  <w:tr>
                    <w:trPr>
                      <w:trHeight w:val="431" w:hRule="atLeast"/>
                    </w:trPr>
                    <w:tc>
                      <w:tcPr>
                        <w:tcW w:w="3647" w:type="dxa"/>
                        <w:tcBorders>
                          <w:top w:val="single" w:sz="2" w:space="0" w:color="000000"/>
                          <w:bottom w:val="single" w:sz="2" w:space="0" w:color="000000"/>
                          <w:right w:val="single" w:sz="2" w:space="0" w:color="000000"/>
                        </w:tcBorders>
                      </w:tcPr>
                      <w:p>
                        <w:pPr>
                          <w:pStyle w:val="TableParagraph"/>
                          <w:spacing w:line="233" w:lineRule="exact" w:before="178"/>
                          <w:ind w:left="71"/>
                          <w:jc w:val="left"/>
                          <w:rPr>
                            <w:b/>
                            <w:sz w:val="22"/>
                          </w:rPr>
                        </w:pPr>
                        <w:r>
                          <w:rPr>
                            <w:b/>
                            <w:sz w:val="22"/>
                          </w:rPr>
                          <w:t>Temps d’attente trop long</w:t>
                        </w:r>
                      </w:p>
                    </w:tc>
                    <w:tc>
                      <w:tcPr>
                        <w:tcW w:w="819" w:type="dxa"/>
                        <w:tcBorders>
                          <w:top w:val="single" w:sz="2" w:space="0" w:color="000000"/>
                          <w:left w:val="single" w:sz="2" w:space="0" w:color="000000"/>
                          <w:bottom w:val="single" w:sz="2" w:space="0" w:color="000000"/>
                        </w:tcBorders>
                      </w:tcPr>
                      <w:p>
                        <w:pPr>
                          <w:pStyle w:val="TableParagraph"/>
                          <w:spacing w:line="233" w:lineRule="exact" w:before="178"/>
                          <w:ind w:left="229" w:right="196"/>
                          <w:rPr>
                            <w:b/>
                            <w:sz w:val="22"/>
                          </w:rPr>
                        </w:pPr>
                        <w:r>
                          <w:rPr>
                            <w:b/>
                            <w:sz w:val="22"/>
                          </w:rPr>
                          <w:t>34</w:t>
                        </w:r>
                      </w:p>
                    </w:tc>
                  </w:tr>
                  <w:tr>
                    <w:trPr>
                      <w:trHeight w:val="427" w:hRule="atLeast"/>
                    </w:trPr>
                    <w:tc>
                      <w:tcPr>
                        <w:tcW w:w="3647" w:type="dxa"/>
                        <w:tcBorders>
                          <w:top w:val="single" w:sz="2" w:space="0" w:color="000000"/>
                          <w:bottom w:val="single" w:sz="2" w:space="0" w:color="000000"/>
                          <w:right w:val="single" w:sz="2" w:space="0" w:color="000000"/>
                        </w:tcBorders>
                      </w:tcPr>
                      <w:p>
                        <w:pPr>
                          <w:pStyle w:val="TableParagraph"/>
                          <w:spacing w:line="233" w:lineRule="exact" w:before="173"/>
                          <w:ind w:left="71"/>
                          <w:jc w:val="left"/>
                          <w:rPr>
                            <w:b/>
                            <w:sz w:val="22"/>
                          </w:rPr>
                        </w:pPr>
                        <w:r>
                          <w:rPr>
                            <w:b/>
                            <w:sz w:val="22"/>
                          </w:rPr>
                          <w:t>Aucune réponse reçue</w:t>
                        </w:r>
                      </w:p>
                    </w:tc>
                    <w:tc>
                      <w:tcPr>
                        <w:tcW w:w="819" w:type="dxa"/>
                        <w:tcBorders>
                          <w:top w:val="single" w:sz="2" w:space="0" w:color="000000"/>
                          <w:left w:val="single" w:sz="2" w:space="0" w:color="000000"/>
                          <w:bottom w:val="single" w:sz="2" w:space="0" w:color="000000"/>
                        </w:tcBorders>
                      </w:tcPr>
                      <w:p>
                        <w:pPr>
                          <w:pStyle w:val="TableParagraph"/>
                          <w:spacing w:line="233" w:lineRule="exact" w:before="173"/>
                          <w:ind w:left="229" w:right="196"/>
                          <w:rPr>
                            <w:b/>
                            <w:sz w:val="22"/>
                          </w:rPr>
                        </w:pPr>
                        <w:r>
                          <w:rPr>
                            <w:b/>
                            <w:sz w:val="22"/>
                          </w:rPr>
                          <w:t>20</w:t>
                        </w:r>
                      </w:p>
                    </w:tc>
                  </w:tr>
                  <w:tr>
                    <w:trPr>
                      <w:trHeight w:val="508" w:hRule="atLeast"/>
                    </w:trPr>
                    <w:tc>
                      <w:tcPr>
                        <w:tcW w:w="3647" w:type="dxa"/>
                        <w:tcBorders>
                          <w:top w:val="single" w:sz="2" w:space="0" w:color="000000"/>
                          <w:right w:val="single" w:sz="2" w:space="0" w:color="000000"/>
                        </w:tcBorders>
                      </w:tcPr>
                      <w:p>
                        <w:pPr>
                          <w:pStyle w:val="TableParagraph"/>
                          <w:spacing w:line="254" w:lineRule="exact" w:before="3"/>
                          <w:ind w:left="71"/>
                          <w:jc w:val="left"/>
                          <w:rPr>
                            <w:b/>
                            <w:sz w:val="22"/>
                          </w:rPr>
                        </w:pPr>
                        <w:r>
                          <w:rPr>
                            <w:b/>
                            <w:sz w:val="22"/>
                          </w:rPr>
                          <w:t>L'indisponibilité du service pendant les jours fériés et les weekends</w:t>
                        </w:r>
                      </w:p>
                    </w:tc>
                    <w:tc>
                      <w:tcPr>
                        <w:tcW w:w="819" w:type="dxa"/>
                        <w:tcBorders>
                          <w:top w:val="single" w:sz="2" w:space="0" w:color="000000"/>
                          <w:left w:val="single" w:sz="2" w:space="0" w:color="000000"/>
                        </w:tcBorders>
                      </w:tcPr>
                      <w:p>
                        <w:pPr>
                          <w:pStyle w:val="TableParagraph"/>
                          <w:spacing w:before="2"/>
                          <w:jc w:val="left"/>
                          <w:rPr>
                            <w:b/>
                            <w:sz w:val="22"/>
                          </w:rPr>
                        </w:pPr>
                      </w:p>
                      <w:p>
                        <w:pPr>
                          <w:pStyle w:val="TableParagraph"/>
                          <w:spacing w:line="233" w:lineRule="exact"/>
                          <w:ind w:left="229" w:right="196"/>
                          <w:rPr>
                            <w:b/>
                            <w:sz w:val="22"/>
                          </w:rPr>
                        </w:pPr>
                        <w:r>
                          <w:rPr>
                            <w:b/>
                            <w:sz w:val="22"/>
                          </w:rPr>
                          <w:t>23</w:t>
                        </w:r>
                      </w:p>
                    </w:tc>
                  </w:tr>
                  <w:tr>
                    <w:trPr>
                      <w:trHeight w:val="427" w:hRule="atLeast"/>
                    </w:trPr>
                    <w:tc>
                      <w:tcPr>
                        <w:tcW w:w="3647" w:type="dxa"/>
                        <w:tcBorders>
                          <w:right w:val="single" w:sz="2" w:space="0" w:color="000000"/>
                        </w:tcBorders>
                      </w:tcPr>
                      <w:p>
                        <w:pPr>
                          <w:pStyle w:val="TableParagraph"/>
                          <w:spacing w:line="233" w:lineRule="exact" w:before="175"/>
                          <w:ind w:left="71"/>
                          <w:jc w:val="left"/>
                          <w:rPr>
                            <w:b/>
                            <w:sz w:val="22"/>
                          </w:rPr>
                        </w:pPr>
                        <w:r>
                          <w:rPr>
                            <w:b/>
                            <w:sz w:val="22"/>
                          </w:rPr>
                          <w:t>Total</w:t>
                        </w:r>
                      </w:p>
                    </w:tc>
                    <w:tc>
                      <w:tcPr>
                        <w:tcW w:w="819" w:type="dxa"/>
                        <w:tcBorders>
                          <w:left w:val="single" w:sz="2" w:space="0" w:color="000000"/>
                        </w:tcBorders>
                      </w:tcPr>
                      <w:p>
                        <w:pPr>
                          <w:pStyle w:val="TableParagraph"/>
                          <w:spacing w:line="233" w:lineRule="exact" w:before="175"/>
                          <w:ind w:left="234" w:right="196"/>
                          <w:rPr>
                            <w:b/>
                            <w:sz w:val="22"/>
                          </w:rPr>
                        </w:pPr>
                        <w:r>
                          <w:rPr>
                            <w:b/>
                            <w:sz w:val="22"/>
                          </w:rPr>
                          <w:t>100</w:t>
                        </w:r>
                      </w:p>
                    </w:tc>
                  </w:tr>
                </w:tbl>
                <w:p>
                  <w:pPr>
                    <w:pStyle w:val="BodyText"/>
                  </w:pPr>
                </w:p>
              </w:txbxContent>
            </v:textbox>
          </v:shape>
        </w:pict>
      </w:r>
      <w:r>
        <w:rPr>
          <w:sz w:val="20"/>
        </w:rPr>
      </w:r>
      <w:r>
        <w:rPr>
          <w:sz w:val="20"/>
        </w:rPr>
        <w:tab/>
      </w:r>
      <w:r>
        <w:rPr>
          <w:position w:val="104"/>
          <w:sz w:val="20"/>
        </w:rPr>
        <w:pict>
          <v:shape style="width:174.8pt;height:47.85pt;mso-position-horizontal-relative:char;mso-position-vertical-relative:line" type="#_x0000_t202" filled="false" stroked="false">
            <w10:anchorlock/>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8"/>
                    <w:gridCol w:w="216"/>
                    <w:gridCol w:w="480"/>
                    <w:gridCol w:w="216"/>
                    <w:gridCol w:w="480"/>
                    <w:gridCol w:w="216"/>
                    <w:gridCol w:w="475"/>
                    <w:gridCol w:w="221"/>
                    <w:gridCol w:w="475"/>
                    <w:gridCol w:w="216"/>
                    <w:gridCol w:w="240"/>
                  </w:tblGrid>
                  <w:tr>
                    <w:trPr>
                      <w:trHeight w:val="172" w:hRule="atLeast"/>
                    </w:trPr>
                    <w:tc>
                      <w:tcPr>
                        <w:tcW w:w="3017" w:type="dxa"/>
                        <w:gridSpan w:val="9"/>
                        <w:tcBorders>
                          <w:top w:val="single" w:sz="6" w:space="0" w:color="D9D9D9"/>
                          <w:bottom w:val="single" w:sz="6" w:space="0" w:color="D9D9D9"/>
                        </w:tcBorders>
                      </w:tcPr>
                      <w:p>
                        <w:pPr>
                          <w:pStyle w:val="TableParagraph"/>
                          <w:jc w:val="left"/>
                          <w:rPr>
                            <w:sz w:val="10"/>
                          </w:rPr>
                        </w:pPr>
                      </w:p>
                    </w:tc>
                    <w:tc>
                      <w:tcPr>
                        <w:tcW w:w="216" w:type="dxa"/>
                        <w:vMerge w:val="restart"/>
                        <w:tcBorders>
                          <w:top w:val="single" w:sz="6" w:space="0" w:color="D9D9D9"/>
                          <w:bottom w:val="single" w:sz="6" w:space="0" w:color="D9D9D9"/>
                        </w:tcBorders>
                        <w:shd w:val="clear" w:color="auto" w:fill="006FC0"/>
                      </w:tcPr>
                      <w:p>
                        <w:pPr>
                          <w:pStyle w:val="TableParagraph"/>
                          <w:jc w:val="left"/>
                          <w:rPr>
                            <w:sz w:val="22"/>
                          </w:rPr>
                        </w:pPr>
                      </w:p>
                    </w:tc>
                    <w:tc>
                      <w:tcPr>
                        <w:tcW w:w="240" w:type="dxa"/>
                        <w:tcBorders>
                          <w:top w:val="single" w:sz="6" w:space="0" w:color="D9D9D9"/>
                          <w:bottom w:val="single" w:sz="6" w:space="0" w:color="D9D9D9"/>
                        </w:tcBorders>
                      </w:tcPr>
                      <w:p>
                        <w:pPr>
                          <w:pStyle w:val="TableParagraph"/>
                          <w:jc w:val="left"/>
                          <w:rPr>
                            <w:sz w:val="10"/>
                          </w:rPr>
                        </w:pPr>
                      </w:p>
                    </w:tc>
                  </w:tr>
                  <w:tr>
                    <w:trPr>
                      <w:trHeight w:val="172" w:hRule="atLeast"/>
                    </w:trPr>
                    <w:tc>
                      <w:tcPr>
                        <w:tcW w:w="3017" w:type="dxa"/>
                        <w:gridSpan w:val="9"/>
                        <w:tcBorders>
                          <w:top w:val="single" w:sz="6" w:space="0" w:color="D9D9D9"/>
                          <w:bottom w:val="single" w:sz="6" w:space="0" w:color="D9D9D9"/>
                        </w:tcBorders>
                      </w:tcPr>
                      <w:p>
                        <w:pPr>
                          <w:pStyle w:val="TableParagraph"/>
                          <w:jc w:val="left"/>
                          <w:rPr>
                            <w:sz w:val="10"/>
                          </w:rPr>
                        </w:pPr>
                      </w:p>
                    </w:tc>
                    <w:tc>
                      <w:tcPr>
                        <w:tcW w:w="216" w:type="dxa"/>
                        <w:vMerge/>
                        <w:tcBorders>
                          <w:top w:val="nil"/>
                          <w:bottom w:val="single" w:sz="6" w:space="0" w:color="D9D9D9"/>
                        </w:tcBorders>
                        <w:shd w:val="clear" w:color="auto" w:fill="006FC0"/>
                      </w:tcPr>
                      <w:p>
                        <w:pPr>
                          <w:rPr>
                            <w:sz w:val="2"/>
                            <w:szCs w:val="2"/>
                          </w:rPr>
                        </w:pPr>
                      </w:p>
                    </w:tc>
                    <w:tc>
                      <w:tcPr>
                        <w:tcW w:w="240" w:type="dxa"/>
                        <w:tcBorders>
                          <w:top w:val="single" w:sz="6" w:space="0" w:color="D9D9D9"/>
                          <w:bottom w:val="single" w:sz="6" w:space="0" w:color="D9D9D9"/>
                        </w:tcBorders>
                      </w:tcPr>
                      <w:p>
                        <w:pPr>
                          <w:pStyle w:val="TableParagraph"/>
                          <w:jc w:val="left"/>
                          <w:rPr>
                            <w:sz w:val="10"/>
                          </w:rPr>
                        </w:pPr>
                      </w:p>
                    </w:tc>
                  </w:tr>
                  <w:tr>
                    <w:trPr>
                      <w:trHeight w:val="176" w:hRule="atLeast"/>
                    </w:trPr>
                    <w:tc>
                      <w:tcPr>
                        <w:tcW w:w="3017" w:type="dxa"/>
                        <w:gridSpan w:val="9"/>
                        <w:tcBorders>
                          <w:top w:val="single" w:sz="6" w:space="0" w:color="D9D9D9"/>
                          <w:bottom w:val="single" w:sz="6" w:space="0" w:color="D9D9D9"/>
                        </w:tcBorders>
                      </w:tcPr>
                      <w:p>
                        <w:pPr>
                          <w:pStyle w:val="TableParagraph"/>
                          <w:jc w:val="left"/>
                          <w:rPr>
                            <w:sz w:val="10"/>
                          </w:rPr>
                        </w:pPr>
                      </w:p>
                    </w:tc>
                    <w:tc>
                      <w:tcPr>
                        <w:tcW w:w="216" w:type="dxa"/>
                        <w:vMerge/>
                        <w:tcBorders>
                          <w:top w:val="nil"/>
                          <w:bottom w:val="single" w:sz="6" w:space="0" w:color="D9D9D9"/>
                        </w:tcBorders>
                        <w:shd w:val="clear" w:color="auto" w:fill="006FC0"/>
                      </w:tcPr>
                      <w:p>
                        <w:pPr>
                          <w:rPr>
                            <w:sz w:val="2"/>
                            <w:szCs w:val="2"/>
                          </w:rPr>
                        </w:pPr>
                      </w:p>
                    </w:tc>
                    <w:tc>
                      <w:tcPr>
                        <w:tcW w:w="240" w:type="dxa"/>
                        <w:tcBorders>
                          <w:top w:val="single" w:sz="6" w:space="0" w:color="D9D9D9"/>
                          <w:bottom w:val="single" w:sz="6" w:space="0" w:color="D9D9D9"/>
                        </w:tcBorders>
                      </w:tcPr>
                      <w:p>
                        <w:pPr>
                          <w:pStyle w:val="TableParagraph"/>
                          <w:jc w:val="left"/>
                          <w:rPr>
                            <w:sz w:val="10"/>
                          </w:rPr>
                        </w:pPr>
                      </w:p>
                    </w:tc>
                  </w:tr>
                  <w:tr>
                    <w:trPr>
                      <w:trHeight w:val="172" w:hRule="atLeast"/>
                    </w:trPr>
                    <w:tc>
                      <w:tcPr>
                        <w:tcW w:w="934" w:type="dxa"/>
                        <w:gridSpan w:val="3"/>
                        <w:tcBorders>
                          <w:top w:val="single" w:sz="6" w:space="0" w:color="D9D9D9"/>
                          <w:bottom w:val="single" w:sz="6" w:space="0" w:color="D9D9D9"/>
                        </w:tcBorders>
                      </w:tcPr>
                      <w:p>
                        <w:pPr>
                          <w:pStyle w:val="TableParagraph"/>
                          <w:jc w:val="left"/>
                          <w:rPr>
                            <w:sz w:val="10"/>
                          </w:rPr>
                        </w:pPr>
                      </w:p>
                    </w:tc>
                    <w:tc>
                      <w:tcPr>
                        <w:tcW w:w="216" w:type="dxa"/>
                        <w:vMerge w:val="restart"/>
                        <w:tcBorders>
                          <w:top w:val="single" w:sz="6" w:space="0" w:color="D9D9D9"/>
                          <w:bottom w:val="single" w:sz="6" w:space="0" w:color="D9D9D9"/>
                        </w:tcBorders>
                        <w:shd w:val="clear" w:color="auto" w:fill="006FC0"/>
                      </w:tcPr>
                      <w:p>
                        <w:pPr>
                          <w:pStyle w:val="TableParagraph"/>
                          <w:jc w:val="left"/>
                          <w:rPr>
                            <w:sz w:val="22"/>
                          </w:rPr>
                        </w:pPr>
                      </w:p>
                    </w:tc>
                    <w:tc>
                      <w:tcPr>
                        <w:tcW w:w="1867" w:type="dxa"/>
                        <w:gridSpan w:val="5"/>
                        <w:tcBorders>
                          <w:top w:val="single" w:sz="6" w:space="0" w:color="D9D9D9"/>
                          <w:bottom w:val="single" w:sz="6" w:space="0" w:color="D9D9D9"/>
                        </w:tcBorders>
                      </w:tcPr>
                      <w:p>
                        <w:pPr>
                          <w:pStyle w:val="TableParagraph"/>
                          <w:jc w:val="left"/>
                          <w:rPr>
                            <w:sz w:val="10"/>
                          </w:rPr>
                        </w:pPr>
                      </w:p>
                    </w:tc>
                    <w:tc>
                      <w:tcPr>
                        <w:tcW w:w="216" w:type="dxa"/>
                        <w:vMerge/>
                        <w:tcBorders>
                          <w:top w:val="nil"/>
                          <w:bottom w:val="single" w:sz="6" w:space="0" w:color="D9D9D9"/>
                        </w:tcBorders>
                        <w:shd w:val="clear" w:color="auto" w:fill="006FC0"/>
                      </w:tcPr>
                      <w:p>
                        <w:pPr>
                          <w:rPr>
                            <w:sz w:val="2"/>
                            <w:szCs w:val="2"/>
                          </w:rPr>
                        </w:pPr>
                      </w:p>
                    </w:tc>
                    <w:tc>
                      <w:tcPr>
                        <w:tcW w:w="240" w:type="dxa"/>
                        <w:tcBorders>
                          <w:top w:val="single" w:sz="6" w:space="0" w:color="D9D9D9"/>
                          <w:bottom w:val="single" w:sz="6" w:space="0" w:color="D9D9D9"/>
                        </w:tcBorders>
                      </w:tcPr>
                      <w:p>
                        <w:pPr>
                          <w:pStyle w:val="TableParagraph"/>
                          <w:jc w:val="left"/>
                          <w:rPr>
                            <w:sz w:val="10"/>
                          </w:rPr>
                        </w:pPr>
                      </w:p>
                    </w:tc>
                  </w:tr>
                  <w:tr>
                    <w:trPr>
                      <w:trHeight w:val="173" w:hRule="atLeast"/>
                    </w:trPr>
                    <w:tc>
                      <w:tcPr>
                        <w:tcW w:w="238" w:type="dxa"/>
                        <w:tcBorders>
                          <w:top w:val="single" w:sz="6" w:space="0" w:color="D9D9D9"/>
                          <w:bottom w:val="single" w:sz="6" w:space="0" w:color="D9D9D9"/>
                        </w:tcBorders>
                      </w:tcPr>
                      <w:p>
                        <w:pPr>
                          <w:pStyle w:val="TableParagraph"/>
                          <w:jc w:val="left"/>
                          <w:rPr>
                            <w:sz w:val="10"/>
                          </w:rPr>
                        </w:pPr>
                      </w:p>
                    </w:tc>
                    <w:tc>
                      <w:tcPr>
                        <w:tcW w:w="216" w:type="dxa"/>
                        <w:tcBorders>
                          <w:bottom w:val="single" w:sz="6" w:space="0" w:color="D9D9D9"/>
                        </w:tcBorders>
                        <w:shd w:val="clear" w:color="auto" w:fill="006FC0"/>
                      </w:tcPr>
                      <w:p>
                        <w:pPr>
                          <w:pStyle w:val="TableParagraph"/>
                          <w:jc w:val="left"/>
                          <w:rPr>
                            <w:sz w:val="10"/>
                          </w:rPr>
                        </w:pPr>
                      </w:p>
                    </w:tc>
                    <w:tc>
                      <w:tcPr>
                        <w:tcW w:w="480" w:type="dxa"/>
                        <w:tcBorders>
                          <w:top w:val="single" w:sz="6" w:space="0" w:color="D9D9D9"/>
                          <w:bottom w:val="single" w:sz="6" w:space="0" w:color="D9D9D9"/>
                        </w:tcBorders>
                      </w:tcPr>
                      <w:p>
                        <w:pPr>
                          <w:pStyle w:val="TableParagraph"/>
                          <w:jc w:val="left"/>
                          <w:rPr>
                            <w:sz w:val="10"/>
                          </w:rPr>
                        </w:pPr>
                      </w:p>
                    </w:tc>
                    <w:tc>
                      <w:tcPr>
                        <w:tcW w:w="216" w:type="dxa"/>
                        <w:vMerge/>
                        <w:tcBorders>
                          <w:top w:val="nil"/>
                          <w:bottom w:val="single" w:sz="6" w:space="0" w:color="D9D9D9"/>
                        </w:tcBorders>
                        <w:shd w:val="clear" w:color="auto" w:fill="006FC0"/>
                      </w:tcPr>
                      <w:p>
                        <w:pPr>
                          <w:rPr>
                            <w:sz w:val="2"/>
                            <w:szCs w:val="2"/>
                          </w:rPr>
                        </w:pPr>
                      </w:p>
                    </w:tc>
                    <w:tc>
                      <w:tcPr>
                        <w:tcW w:w="480" w:type="dxa"/>
                        <w:tcBorders>
                          <w:top w:val="single" w:sz="6" w:space="0" w:color="D9D9D9"/>
                          <w:bottom w:val="single" w:sz="6" w:space="0" w:color="D9D9D9"/>
                        </w:tcBorders>
                      </w:tcPr>
                      <w:p>
                        <w:pPr>
                          <w:pStyle w:val="TableParagraph"/>
                          <w:jc w:val="left"/>
                          <w:rPr>
                            <w:sz w:val="10"/>
                          </w:rPr>
                        </w:pPr>
                      </w:p>
                    </w:tc>
                    <w:tc>
                      <w:tcPr>
                        <w:tcW w:w="216" w:type="dxa"/>
                        <w:tcBorders>
                          <w:top w:val="single" w:sz="6" w:space="0" w:color="D9D9D9"/>
                          <w:bottom w:val="single" w:sz="6" w:space="0" w:color="D9D9D9"/>
                        </w:tcBorders>
                        <w:shd w:val="clear" w:color="auto" w:fill="006FC0"/>
                      </w:tcPr>
                      <w:p>
                        <w:pPr>
                          <w:pStyle w:val="TableParagraph"/>
                          <w:jc w:val="left"/>
                          <w:rPr>
                            <w:sz w:val="10"/>
                          </w:rPr>
                        </w:pPr>
                      </w:p>
                    </w:tc>
                    <w:tc>
                      <w:tcPr>
                        <w:tcW w:w="475" w:type="dxa"/>
                        <w:tcBorders>
                          <w:top w:val="single" w:sz="6" w:space="0" w:color="D9D9D9"/>
                          <w:bottom w:val="single" w:sz="6" w:space="0" w:color="D9D9D9"/>
                        </w:tcBorders>
                      </w:tcPr>
                      <w:p>
                        <w:pPr>
                          <w:pStyle w:val="TableParagraph"/>
                          <w:jc w:val="left"/>
                          <w:rPr>
                            <w:sz w:val="10"/>
                          </w:rPr>
                        </w:pPr>
                      </w:p>
                    </w:tc>
                    <w:tc>
                      <w:tcPr>
                        <w:tcW w:w="221" w:type="dxa"/>
                        <w:tcBorders>
                          <w:bottom w:val="single" w:sz="6" w:space="0" w:color="D9D9D9"/>
                        </w:tcBorders>
                        <w:shd w:val="clear" w:color="auto" w:fill="006FC0"/>
                      </w:tcPr>
                      <w:p>
                        <w:pPr>
                          <w:pStyle w:val="TableParagraph"/>
                          <w:jc w:val="left"/>
                          <w:rPr>
                            <w:sz w:val="10"/>
                          </w:rPr>
                        </w:pPr>
                      </w:p>
                    </w:tc>
                    <w:tc>
                      <w:tcPr>
                        <w:tcW w:w="475" w:type="dxa"/>
                        <w:tcBorders>
                          <w:top w:val="single" w:sz="6" w:space="0" w:color="D9D9D9"/>
                          <w:bottom w:val="single" w:sz="6" w:space="0" w:color="D9D9D9"/>
                        </w:tcBorders>
                      </w:tcPr>
                      <w:p>
                        <w:pPr>
                          <w:pStyle w:val="TableParagraph"/>
                          <w:jc w:val="left"/>
                          <w:rPr>
                            <w:sz w:val="10"/>
                          </w:rPr>
                        </w:pPr>
                      </w:p>
                    </w:tc>
                    <w:tc>
                      <w:tcPr>
                        <w:tcW w:w="216" w:type="dxa"/>
                        <w:vMerge/>
                        <w:tcBorders>
                          <w:top w:val="nil"/>
                          <w:bottom w:val="single" w:sz="6" w:space="0" w:color="D9D9D9"/>
                        </w:tcBorders>
                        <w:shd w:val="clear" w:color="auto" w:fill="006FC0"/>
                      </w:tcPr>
                      <w:p>
                        <w:pPr>
                          <w:rPr>
                            <w:sz w:val="2"/>
                            <w:szCs w:val="2"/>
                          </w:rPr>
                        </w:pPr>
                      </w:p>
                    </w:tc>
                    <w:tc>
                      <w:tcPr>
                        <w:tcW w:w="240" w:type="dxa"/>
                        <w:tcBorders>
                          <w:top w:val="single" w:sz="6" w:space="0" w:color="D9D9D9"/>
                          <w:bottom w:val="single" w:sz="6" w:space="0" w:color="D9D9D9"/>
                        </w:tcBorders>
                      </w:tcPr>
                      <w:p>
                        <w:pPr>
                          <w:pStyle w:val="TableParagraph"/>
                          <w:jc w:val="left"/>
                          <w:rPr>
                            <w:sz w:val="10"/>
                          </w:rPr>
                        </w:pPr>
                      </w:p>
                    </w:tc>
                  </w:tr>
                </w:tbl>
                <w:p>
                  <w:pPr>
                    <w:pStyle w:val="BodyText"/>
                  </w:pPr>
                </w:p>
              </w:txbxContent>
            </v:textbox>
          </v:shape>
        </w:pict>
      </w:r>
      <w:r>
        <w:rPr>
          <w:position w:val="104"/>
          <w:sz w:val="20"/>
        </w:rPr>
      </w:r>
    </w:p>
    <w:p>
      <w:pPr>
        <w:pStyle w:val="BodyText"/>
        <w:rPr>
          <w:b/>
          <w:sz w:val="20"/>
        </w:rPr>
      </w:pPr>
    </w:p>
    <w:p>
      <w:pPr>
        <w:pStyle w:val="BodyText"/>
        <w:spacing w:before="222"/>
        <w:ind w:left="825" w:right="445"/>
        <w:jc w:val="center"/>
      </w:pPr>
      <w:r>
        <w:rPr>
          <w:b/>
        </w:rPr>
        <w:t>Source : </w:t>
      </w:r>
      <w:r>
        <w:rPr/>
        <w:t>élaboré par nous-même sur la base des outputs SPSS</w:t>
      </w:r>
    </w:p>
    <w:p>
      <w:pPr>
        <w:spacing w:after="0"/>
        <w:jc w:val="center"/>
        <w:sectPr>
          <w:type w:val="continuous"/>
          <w:pgSz w:w="12240" w:h="15840"/>
          <w:pgMar w:top="3140" w:bottom="280" w:left="1000" w:right="820"/>
        </w:sectPr>
      </w:pPr>
    </w:p>
    <w:p>
      <w:pPr>
        <w:pStyle w:val="BodyText"/>
        <w:spacing w:before="6"/>
        <w:rPr>
          <w:sz w:val="19"/>
        </w:rPr>
      </w:pPr>
    </w:p>
    <w:p>
      <w:pPr>
        <w:pStyle w:val="BodyText"/>
        <w:spacing w:line="362" w:lineRule="auto" w:before="90"/>
        <w:ind w:left="699" w:right="308" w:firstLine="427"/>
        <w:jc w:val="both"/>
      </w:pPr>
      <w:r>
        <w:rPr/>
        <w:t>Les utilisateurs qui ont contacté le service client de BaridiMob ont rencontré plusieurs problèmes. 34 personnes disent que le temps d’attente était trop long. 23 personnes n’ont pas été satisfaites de la réponse. 23 autres disent que le service était fermé pendant les jours fériés et les weekends. Et 20 personnes disent qu’elles n’ont reçu aucune réponse.</w:t>
      </w:r>
    </w:p>
    <w:p>
      <w:pPr>
        <w:pStyle w:val="Heading5"/>
        <w:spacing w:before="162"/>
        <w:ind w:left="699" w:firstLine="0"/>
      </w:pPr>
      <w:r>
        <w:rPr/>
        <w:t>Q26_Quelles améliorations souhaiteriez-vous pour le service client ?</w:t>
      </w:r>
    </w:p>
    <w:p>
      <w:pPr>
        <w:pStyle w:val="BodyText"/>
        <w:spacing w:before="10"/>
        <w:rPr>
          <w:b/>
        </w:rPr>
      </w:pPr>
    </w:p>
    <w:p>
      <w:pPr>
        <w:spacing w:line="242" w:lineRule="auto" w:before="0"/>
        <w:ind w:left="699" w:right="4181" w:firstLine="0"/>
        <w:jc w:val="left"/>
        <w:rPr>
          <w:sz w:val="24"/>
        </w:rPr>
      </w:pPr>
      <w:r>
        <w:rPr/>
        <w:pict>
          <v:group style="position:absolute;margin-left:336.225006pt;margin-top:.823142pt;width:220.55pt;height:147.6pt;mso-position-horizontal-relative:page;mso-position-vertical-relative:paragraph;z-index:-258833408" coordorigin="6725,16" coordsize="4411,2952">
            <v:line style="position:absolute" from="7303,720" to="10844,720" stroked="true" strokeweight=".75pt" strokecolor="#d9d9d9">
              <v:stroke dashstyle="solid"/>
            </v:line>
            <v:shape style="position:absolute;left:7545;top:1648;width:2348;height:227" coordorigin="7546,1649" coordsize="2348,227" path="m7766,1649l7546,1649,7546,1875,7766,1875,7766,1649m9893,1721l9672,1721,9672,1875,9893,1875,9893,1721e" filled="true" fillcolor="#ffff00" stroked="false">
              <v:path arrowok="t"/>
              <v:fill type="solid"/>
            </v:shape>
            <v:rect style="position:absolute;left:6732;top:500;width:4332;height:2460" filled="false" stroked="true" strokeweight=".75pt" strokecolor="#d9d9d9">
              <v:stroke dashstyle="solid"/>
            </v:rect>
            <v:rect style="position:absolute;left:6732;top:16;width:4380;height:624" filled="true" fillcolor="#ffffff" stroked="false">
              <v:fill type="solid"/>
            </v:rect>
            <v:shape style="position:absolute;left:6736;top:19;width:4399;height:2079" type="#_x0000_t202" filled="false" stroked="false">
              <v:textbox inset="0,0,0,0">
                <w:txbxContent>
                  <w:p>
                    <w:pPr>
                      <w:spacing w:line="237" w:lineRule="auto" w:before="0"/>
                      <w:ind w:left="0" w:right="-7" w:firstLine="0"/>
                      <w:jc w:val="left"/>
                      <w:rPr>
                        <w:sz w:val="24"/>
                      </w:rPr>
                    </w:pPr>
                    <w:r>
                      <w:rPr>
                        <w:b/>
                        <w:color w:val="44536A"/>
                        <w:sz w:val="24"/>
                      </w:rPr>
                      <w:t>Figure 23 :</w:t>
                    </w:r>
                    <w:r>
                      <w:rPr>
                        <w:color w:val="44536A"/>
                        <w:sz w:val="24"/>
                      </w:rPr>
                      <w:t>Recommandations pour améliorer le support client</w:t>
                    </w:r>
                  </w:p>
                  <w:p>
                    <w:pPr>
                      <w:spacing w:before="37"/>
                      <w:ind w:left="127" w:right="0" w:firstLine="0"/>
                      <w:jc w:val="left"/>
                      <w:rPr>
                        <w:rFonts w:ascii="Calibri"/>
                        <w:sz w:val="18"/>
                      </w:rPr>
                    </w:pPr>
                    <w:r>
                      <w:rPr>
                        <w:rFonts w:ascii="Calibri"/>
                        <w:color w:val="585858"/>
                        <w:spacing w:val="-2"/>
                        <w:sz w:val="18"/>
                      </w:rPr>
                      <w:t>200</w:t>
                    </w:r>
                  </w:p>
                  <w:p>
                    <w:pPr>
                      <w:spacing w:before="69"/>
                      <w:ind w:left="127" w:right="0" w:firstLine="0"/>
                      <w:jc w:val="left"/>
                      <w:rPr>
                        <w:rFonts w:ascii="Calibri"/>
                        <w:sz w:val="18"/>
                      </w:rPr>
                    </w:pPr>
                    <w:r>
                      <w:rPr>
                        <w:rFonts w:ascii="Calibri"/>
                        <w:color w:val="585858"/>
                        <w:spacing w:val="-2"/>
                        <w:sz w:val="18"/>
                      </w:rPr>
                      <w:t>150</w:t>
                    </w:r>
                  </w:p>
                  <w:p>
                    <w:pPr>
                      <w:spacing w:before="69"/>
                      <w:ind w:left="127" w:right="0" w:firstLine="0"/>
                      <w:jc w:val="left"/>
                      <w:rPr>
                        <w:rFonts w:ascii="Calibri"/>
                        <w:sz w:val="18"/>
                      </w:rPr>
                    </w:pPr>
                    <w:r>
                      <w:rPr>
                        <w:rFonts w:ascii="Calibri"/>
                        <w:color w:val="585858"/>
                        <w:spacing w:val="-2"/>
                        <w:sz w:val="18"/>
                      </w:rPr>
                      <w:t>100</w:t>
                    </w:r>
                  </w:p>
                  <w:p>
                    <w:pPr>
                      <w:spacing w:before="69"/>
                      <w:ind w:left="218" w:right="0" w:firstLine="0"/>
                      <w:jc w:val="left"/>
                      <w:rPr>
                        <w:rFonts w:ascii="Calibri"/>
                        <w:sz w:val="18"/>
                      </w:rPr>
                    </w:pPr>
                    <w:r>
                      <w:rPr>
                        <w:rFonts w:ascii="Calibri"/>
                        <w:color w:val="585858"/>
                        <w:sz w:val="18"/>
                      </w:rPr>
                      <w:t>50</w:t>
                    </w:r>
                  </w:p>
                  <w:p>
                    <w:pPr>
                      <w:spacing w:line="208" w:lineRule="exact" w:before="69"/>
                      <w:ind w:left="310" w:right="0" w:firstLine="0"/>
                      <w:jc w:val="left"/>
                      <w:rPr>
                        <w:rFonts w:ascii="Calibri"/>
                        <w:sz w:val="18"/>
                      </w:rPr>
                    </w:pPr>
                    <w:r>
                      <w:rPr>
                        <w:rFonts w:ascii="Calibri"/>
                        <w:color w:val="585858"/>
                        <w:w w:val="101"/>
                        <w:sz w:val="18"/>
                      </w:rPr>
                      <w:t>0</w:t>
                    </w:r>
                  </w:p>
                  <w:p>
                    <w:pPr>
                      <w:tabs>
                        <w:tab w:pos="2727" w:val="left" w:leader="none"/>
                        <w:tab w:pos="3629" w:val="left" w:leader="none"/>
                      </w:tabs>
                      <w:spacing w:line="132" w:lineRule="exact" w:before="0"/>
                      <w:ind w:left="586" w:right="0" w:firstLine="0"/>
                      <w:jc w:val="left"/>
                      <w:rPr>
                        <w:rFonts w:ascii="Calibri"/>
                        <w:b/>
                        <w:sz w:val="12"/>
                      </w:rPr>
                    </w:pPr>
                    <w:r>
                      <w:rPr>
                        <w:rFonts w:ascii="Calibri"/>
                        <w:b/>
                        <w:color w:val="585858"/>
                        <w:sz w:val="12"/>
                      </w:rPr>
                      <w:t>Assistance en  Service client     </w:t>
                    </w:r>
                    <w:r>
                      <w:rPr>
                        <w:rFonts w:ascii="Calibri"/>
                        <w:b/>
                        <w:color w:val="585858"/>
                        <w:spacing w:val="12"/>
                        <w:sz w:val="12"/>
                      </w:rPr>
                      <w:t> </w:t>
                    </w:r>
                    <w:r>
                      <w:rPr>
                        <w:rFonts w:ascii="Calibri"/>
                        <w:b/>
                        <w:color w:val="585858"/>
                        <w:sz w:val="12"/>
                      </w:rPr>
                      <w:t>Plus</w:t>
                    </w:r>
                    <w:r>
                      <w:rPr>
                        <w:rFonts w:ascii="Calibri"/>
                        <w:b/>
                        <w:color w:val="585858"/>
                        <w:spacing w:val="1"/>
                        <w:sz w:val="12"/>
                      </w:rPr>
                      <w:t> </w:t>
                    </w:r>
                    <w:r>
                      <w:rPr>
                        <w:rFonts w:ascii="Calibri"/>
                        <w:b/>
                        <w:color w:val="585858"/>
                        <w:sz w:val="12"/>
                      </w:rPr>
                      <w:t>de</w:t>
                      <w:tab/>
                      <w:t>Organisation</w:t>
                      <w:tab/>
                      <w:t>Total</w:t>
                    </w:r>
                  </w:p>
                </w:txbxContent>
              </v:textbox>
              <w10:wrap type="none"/>
            </v:shape>
            <v:shape style="position:absolute;left:7313;top:2125;width:712;height:413" type="#_x0000_t202" filled="false" stroked="false">
              <v:textbox inset="0,0,0,0">
                <w:txbxContent>
                  <w:p>
                    <w:pPr>
                      <w:spacing w:line="122" w:lineRule="exact" w:before="0"/>
                      <w:ind w:left="3" w:right="18" w:firstLine="0"/>
                      <w:jc w:val="center"/>
                      <w:rPr>
                        <w:rFonts w:ascii="Calibri"/>
                        <w:b/>
                        <w:sz w:val="12"/>
                      </w:rPr>
                    </w:pPr>
                    <w:r>
                      <w:rPr>
                        <w:rFonts w:ascii="Calibri"/>
                        <w:b/>
                        <w:color w:val="585858"/>
                        <w:sz w:val="12"/>
                      </w:rPr>
                      <w:t>ligne</w:t>
                    </w:r>
                  </w:p>
                  <w:p>
                    <w:pPr>
                      <w:spacing w:before="0"/>
                      <w:ind w:left="-1" w:right="18" w:firstLine="0"/>
                      <w:jc w:val="center"/>
                      <w:rPr>
                        <w:rFonts w:ascii="Calibri" w:hAnsi="Calibri"/>
                        <w:b/>
                        <w:sz w:val="12"/>
                      </w:rPr>
                    </w:pPr>
                    <w:r>
                      <w:rPr>
                        <w:rFonts w:ascii="Calibri" w:hAnsi="Calibri"/>
                        <w:b/>
                        <w:color w:val="585858"/>
                        <w:sz w:val="12"/>
                      </w:rPr>
                      <w:t>(chatbot, </w:t>
                    </w:r>
                    <w:r>
                      <w:rPr>
                        <w:rFonts w:ascii="Calibri" w:hAnsi="Calibri"/>
                        <w:b/>
                        <w:color w:val="585858"/>
                        <w:spacing w:val="-4"/>
                        <w:sz w:val="12"/>
                      </w:rPr>
                      <w:t>FAQ </w:t>
                    </w:r>
                    <w:r>
                      <w:rPr>
                        <w:rFonts w:ascii="Calibri" w:hAnsi="Calibri"/>
                        <w:b/>
                        <w:color w:val="585858"/>
                        <w:sz w:val="12"/>
                      </w:rPr>
                      <w:t>améliorée)</w:t>
                    </w:r>
                  </w:p>
                </w:txbxContent>
              </v:textbox>
              <w10:wrap type="none"/>
            </v:shape>
            <v:shape style="position:absolute;left:8108;top:2125;width:2012;height:120" type="#_x0000_t202" filled="false" stroked="false">
              <v:textbox inset="0,0,0,0">
                <w:txbxContent>
                  <w:p>
                    <w:pPr>
                      <w:spacing w:line="120" w:lineRule="exact" w:before="0"/>
                      <w:ind w:left="0" w:right="0" w:firstLine="0"/>
                      <w:jc w:val="left"/>
                      <w:rPr>
                        <w:rFonts w:ascii="Calibri" w:hAnsi="Calibri"/>
                        <w:b/>
                        <w:sz w:val="12"/>
                      </w:rPr>
                    </w:pPr>
                    <w:r>
                      <w:rPr>
                        <w:rFonts w:ascii="Calibri" w:hAnsi="Calibri"/>
                        <w:b/>
                        <w:color w:val="585858"/>
                        <w:sz w:val="12"/>
                      </w:rPr>
                      <w:t>disponible rapidité dans des journées</w:t>
                    </w:r>
                  </w:p>
                </w:txbxContent>
              </v:textbox>
              <w10:wrap type="none"/>
            </v:shape>
            <v:shape style="position:absolute;left:8251;top:2271;width:254;height:120" type="#_x0000_t202" filled="false" stroked="false">
              <v:textbox inset="0,0,0,0">
                <w:txbxContent>
                  <w:p>
                    <w:pPr>
                      <w:spacing w:line="120" w:lineRule="exact" w:before="0"/>
                      <w:ind w:left="0" w:right="0" w:firstLine="0"/>
                      <w:jc w:val="left"/>
                      <w:rPr>
                        <w:rFonts w:ascii="Calibri"/>
                        <w:b/>
                        <w:sz w:val="12"/>
                      </w:rPr>
                    </w:pPr>
                    <w:r>
                      <w:rPr>
                        <w:rFonts w:ascii="Calibri"/>
                        <w:b/>
                        <w:color w:val="585858"/>
                        <w:sz w:val="12"/>
                      </w:rPr>
                      <w:t>24/7</w:t>
                    </w:r>
                  </w:p>
                </w:txbxContent>
              </v:textbox>
              <w10:wrap type="none"/>
            </v:shape>
            <v:shape style="position:absolute;left:8767;top:2271;width:639;height:120" type="#_x0000_t202" filled="false" stroked="false">
              <v:textbox inset="0,0,0,0">
                <w:txbxContent>
                  <w:p>
                    <w:pPr>
                      <w:spacing w:line="120" w:lineRule="exact" w:before="0"/>
                      <w:ind w:left="0" w:right="0" w:firstLine="0"/>
                      <w:jc w:val="left"/>
                      <w:rPr>
                        <w:rFonts w:ascii="Calibri" w:hAnsi="Calibri"/>
                        <w:b/>
                        <w:sz w:val="12"/>
                      </w:rPr>
                    </w:pPr>
                    <w:r>
                      <w:rPr>
                        <w:rFonts w:ascii="Calibri" w:hAnsi="Calibri"/>
                        <w:b/>
                        <w:color w:val="585858"/>
                        <w:sz w:val="12"/>
                      </w:rPr>
                      <w:t>les réponses</w:t>
                    </w:r>
                  </w:p>
                </w:txbxContent>
              </v:textbox>
              <w10:wrap type="none"/>
            </v:shape>
            <v:shape style="position:absolute;left:9481;top:2271;width:628;height:560" type="#_x0000_t202" filled="false" stroked="false">
              <v:textbox inset="0,0,0,0">
                <w:txbxContent>
                  <w:p>
                    <w:pPr>
                      <w:spacing w:line="122" w:lineRule="exact" w:before="0"/>
                      <w:ind w:left="221" w:right="241" w:firstLine="0"/>
                      <w:jc w:val="center"/>
                      <w:rPr>
                        <w:rFonts w:ascii="Calibri"/>
                        <w:b/>
                        <w:sz w:val="12"/>
                      </w:rPr>
                    </w:pPr>
                    <w:r>
                      <w:rPr>
                        <w:rFonts w:ascii="Calibri"/>
                        <w:b/>
                        <w:color w:val="585858"/>
                        <w:sz w:val="12"/>
                      </w:rPr>
                      <w:t>de</w:t>
                    </w:r>
                  </w:p>
                  <w:p>
                    <w:pPr>
                      <w:spacing w:before="0"/>
                      <w:ind w:left="-1" w:right="18" w:hanging="1"/>
                      <w:jc w:val="center"/>
                      <w:rPr>
                        <w:rFonts w:ascii="Calibri" w:hAnsi="Calibri"/>
                        <w:b/>
                        <w:sz w:val="12"/>
                      </w:rPr>
                    </w:pPr>
                    <w:r>
                      <w:rPr>
                        <w:rFonts w:ascii="Calibri" w:hAnsi="Calibri"/>
                        <w:b/>
                        <w:color w:val="585858"/>
                        <w:sz w:val="12"/>
                      </w:rPr>
                      <w:t>réclamation de façon quotidienne</w:t>
                    </w:r>
                  </w:p>
                </w:txbxContent>
              </v:textbox>
              <w10:wrap type="none"/>
            </v:shape>
            <w10:wrap type="none"/>
          </v:group>
        </w:pict>
      </w:r>
      <w:bookmarkStart w:name="_bookmark62" w:id="256"/>
      <w:bookmarkEnd w:id="256"/>
      <w:r>
        <w:rPr/>
      </w:r>
      <w:r>
        <w:rPr>
          <w:b/>
          <w:color w:val="44536A"/>
          <w:sz w:val="24"/>
        </w:rPr>
        <w:t>Tableau 27 : </w:t>
      </w:r>
      <w:r>
        <w:rPr>
          <w:color w:val="44536A"/>
          <w:sz w:val="24"/>
        </w:rPr>
        <w:t>Recommandations pour améliorer le support client</w:t>
      </w:r>
    </w:p>
    <w:p>
      <w:pPr>
        <w:pStyle w:val="BodyText"/>
        <w:spacing w:before="4"/>
        <w:rPr>
          <w:sz w:val="14"/>
        </w:rPr>
      </w:pPr>
      <w:r>
        <w:rPr/>
        <w:pict>
          <v:shape style="position:absolute;margin-left:84.984001pt;margin-top:10.229717pt;width:234.1pt;height:112.15pt;mso-position-horizontal-relative:page;mso-position-vertical-relative:paragraph;z-index:-251658240;mso-wrap-distance-left:0;mso-wrap-distance-right:0" type="#_x0000_t202" filled="false" stroked="false">
            <v:textbox inset="0,0,0,0">
              <w:txbxContent>
                <w:tbl>
                  <w:tblPr>
                    <w:tblW w:w="0" w:type="auto"/>
                    <w:jc w:val="left"/>
                    <w:tblInd w:w="5"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4116"/>
                    <w:gridCol w:w="552"/>
                  </w:tblGrid>
                  <w:tr>
                    <w:trPr>
                      <w:trHeight w:val="431" w:hRule="atLeast"/>
                    </w:trPr>
                    <w:tc>
                      <w:tcPr>
                        <w:tcW w:w="4116" w:type="dxa"/>
                      </w:tcPr>
                      <w:p>
                        <w:pPr>
                          <w:pStyle w:val="TableParagraph"/>
                          <w:spacing w:before="101"/>
                          <w:ind w:left="110"/>
                          <w:jc w:val="left"/>
                          <w:rPr>
                            <w:b/>
                            <w:sz w:val="20"/>
                          </w:rPr>
                        </w:pPr>
                        <w:r>
                          <w:rPr>
                            <w:b/>
                            <w:sz w:val="20"/>
                          </w:rPr>
                          <w:t>Assistance en ligne (chat bot, FAQ améliorée)</w:t>
                        </w:r>
                      </w:p>
                    </w:tc>
                    <w:tc>
                      <w:tcPr>
                        <w:tcW w:w="552" w:type="dxa"/>
                      </w:tcPr>
                      <w:p>
                        <w:pPr>
                          <w:pStyle w:val="TableParagraph"/>
                          <w:spacing w:before="101"/>
                          <w:ind w:left="172"/>
                          <w:jc w:val="left"/>
                          <w:rPr>
                            <w:b/>
                            <w:sz w:val="20"/>
                          </w:rPr>
                        </w:pPr>
                        <w:r>
                          <w:rPr>
                            <w:b/>
                            <w:sz w:val="20"/>
                          </w:rPr>
                          <w:t>39</w:t>
                        </w:r>
                      </w:p>
                    </w:tc>
                  </w:tr>
                  <w:tr>
                    <w:trPr>
                      <w:trHeight w:val="431" w:hRule="atLeast"/>
                    </w:trPr>
                    <w:tc>
                      <w:tcPr>
                        <w:tcW w:w="4116" w:type="dxa"/>
                        <w:shd w:val="clear" w:color="auto" w:fill="F1F1F1"/>
                      </w:tcPr>
                      <w:p>
                        <w:pPr>
                          <w:pStyle w:val="TableParagraph"/>
                          <w:spacing w:before="101"/>
                          <w:ind w:left="110"/>
                          <w:jc w:val="left"/>
                          <w:rPr>
                            <w:b/>
                            <w:sz w:val="20"/>
                          </w:rPr>
                        </w:pPr>
                        <w:r>
                          <w:rPr>
                            <w:b/>
                            <w:sz w:val="20"/>
                          </w:rPr>
                          <w:t>Service client disponible 24/7</w:t>
                        </w:r>
                      </w:p>
                    </w:tc>
                    <w:tc>
                      <w:tcPr>
                        <w:tcW w:w="552" w:type="dxa"/>
                        <w:shd w:val="clear" w:color="auto" w:fill="F1F1F1"/>
                      </w:tcPr>
                      <w:p>
                        <w:pPr>
                          <w:pStyle w:val="TableParagraph"/>
                          <w:spacing w:before="101"/>
                          <w:ind w:left="172"/>
                          <w:jc w:val="left"/>
                          <w:rPr>
                            <w:b/>
                            <w:sz w:val="20"/>
                          </w:rPr>
                        </w:pPr>
                        <w:r>
                          <w:rPr>
                            <w:b/>
                            <w:sz w:val="20"/>
                          </w:rPr>
                          <w:t>48</w:t>
                        </w:r>
                      </w:p>
                    </w:tc>
                  </w:tr>
                  <w:tr>
                    <w:trPr>
                      <w:trHeight w:val="432" w:hRule="atLeast"/>
                    </w:trPr>
                    <w:tc>
                      <w:tcPr>
                        <w:tcW w:w="4116" w:type="dxa"/>
                      </w:tcPr>
                      <w:p>
                        <w:pPr>
                          <w:pStyle w:val="TableParagraph"/>
                          <w:spacing w:before="101"/>
                          <w:ind w:left="110"/>
                          <w:jc w:val="left"/>
                          <w:rPr>
                            <w:b/>
                            <w:sz w:val="20"/>
                          </w:rPr>
                        </w:pPr>
                        <w:r>
                          <w:rPr>
                            <w:b/>
                            <w:sz w:val="20"/>
                          </w:rPr>
                          <w:t>Plus de rapidité dans les réponses</w:t>
                        </w:r>
                      </w:p>
                    </w:tc>
                    <w:tc>
                      <w:tcPr>
                        <w:tcW w:w="552" w:type="dxa"/>
                      </w:tcPr>
                      <w:p>
                        <w:pPr>
                          <w:pStyle w:val="TableParagraph"/>
                          <w:spacing w:before="101"/>
                          <w:ind w:left="172"/>
                          <w:jc w:val="left"/>
                          <w:rPr>
                            <w:b/>
                            <w:sz w:val="20"/>
                          </w:rPr>
                        </w:pPr>
                        <w:r>
                          <w:rPr>
                            <w:b/>
                            <w:sz w:val="20"/>
                          </w:rPr>
                          <w:t>44</w:t>
                        </w:r>
                      </w:p>
                    </w:tc>
                  </w:tr>
                  <w:tr>
                    <w:trPr>
                      <w:trHeight w:val="455" w:hRule="atLeast"/>
                    </w:trPr>
                    <w:tc>
                      <w:tcPr>
                        <w:tcW w:w="4116" w:type="dxa"/>
                        <w:shd w:val="clear" w:color="auto" w:fill="F1F1F1"/>
                      </w:tcPr>
                      <w:p>
                        <w:pPr>
                          <w:pStyle w:val="TableParagraph"/>
                          <w:spacing w:line="226" w:lineRule="exact" w:before="6"/>
                          <w:ind w:left="110" w:right="170"/>
                          <w:jc w:val="left"/>
                          <w:rPr>
                            <w:b/>
                            <w:sz w:val="20"/>
                          </w:rPr>
                        </w:pPr>
                        <w:r>
                          <w:rPr>
                            <w:b/>
                            <w:sz w:val="20"/>
                          </w:rPr>
                          <w:t>Organisation des journées de réclamation de façon quotidienne</w:t>
                        </w:r>
                      </w:p>
                    </w:tc>
                    <w:tc>
                      <w:tcPr>
                        <w:tcW w:w="552" w:type="dxa"/>
                        <w:shd w:val="clear" w:color="auto" w:fill="F1F1F1"/>
                      </w:tcPr>
                      <w:p>
                        <w:pPr>
                          <w:pStyle w:val="TableParagraph"/>
                          <w:spacing w:before="115"/>
                          <w:ind w:left="172"/>
                          <w:jc w:val="left"/>
                          <w:rPr>
                            <w:b/>
                            <w:sz w:val="20"/>
                          </w:rPr>
                        </w:pPr>
                        <w:r>
                          <w:rPr>
                            <w:b/>
                            <w:sz w:val="20"/>
                          </w:rPr>
                          <w:t>27</w:t>
                        </w:r>
                      </w:p>
                    </w:tc>
                  </w:tr>
                  <w:tr>
                    <w:trPr>
                      <w:trHeight w:val="429" w:hRule="atLeast"/>
                    </w:trPr>
                    <w:tc>
                      <w:tcPr>
                        <w:tcW w:w="4116" w:type="dxa"/>
                      </w:tcPr>
                      <w:p>
                        <w:pPr>
                          <w:pStyle w:val="TableParagraph"/>
                          <w:spacing w:before="98"/>
                          <w:ind w:left="110"/>
                          <w:jc w:val="left"/>
                          <w:rPr>
                            <w:b/>
                            <w:sz w:val="20"/>
                          </w:rPr>
                        </w:pPr>
                        <w:r>
                          <w:rPr>
                            <w:b/>
                            <w:sz w:val="20"/>
                          </w:rPr>
                          <w:t>Total</w:t>
                        </w:r>
                      </w:p>
                    </w:tc>
                    <w:tc>
                      <w:tcPr>
                        <w:tcW w:w="552" w:type="dxa"/>
                      </w:tcPr>
                      <w:p>
                        <w:pPr>
                          <w:pStyle w:val="TableParagraph"/>
                          <w:spacing w:before="98"/>
                          <w:ind w:left="124"/>
                          <w:jc w:val="left"/>
                          <w:rPr>
                            <w:b/>
                            <w:sz w:val="20"/>
                          </w:rPr>
                        </w:pPr>
                        <w:r>
                          <w:rPr>
                            <w:b/>
                            <w:sz w:val="20"/>
                          </w:rPr>
                          <w:t>158</w:t>
                        </w:r>
                      </w:p>
                    </w:tc>
                  </w:tr>
                </w:tbl>
                <w:p>
                  <w:pPr>
                    <w:pStyle w:val="BodyText"/>
                  </w:pPr>
                </w:p>
              </w:txbxContent>
            </v:textbox>
            <w10:wrap type="topAndBottom"/>
          </v:shape>
        </w:pict>
      </w:r>
      <w:r>
        <w:rPr/>
        <w:pict>
          <v:shape style="position:absolute;margin-left:364.755005pt;margin-top:22.264717pt;width:178.2pt;height:44pt;mso-position-horizontal-relative:page;mso-position-vertical-relative:paragraph;z-index:-251658240;mso-wrap-distance-left:0;mso-wrap-distance-right:0"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53"/>
                    <w:gridCol w:w="220"/>
                    <w:gridCol w:w="484"/>
                    <w:gridCol w:w="220"/>
                    <w:gridCol w:w="1194"/>
                    <w:gridCol w:w="224"/>
                    <w:gridCol w:w="239"/>
                  </w:tblGrid>
                  <w:tr>
                    <w:trPr>
                      <w:trHeight w:val="272" w:hRule="atLeast"/>
                    </w:trPr>
                    <w:tc>
                      <w:tcPr>
                        <w:tcW w:w="3071" w:type="dxa"/>
                        <w:gridSpan w:val="5"/>
                        <w:tcBorders>
                          <w:top w:val="single" w:sz="6" w:space="0" w:color="D9D9D9"/>
                          <w:bottom w:val="single" w:sz="6" w:space="0" w:color="D9D9D9"/>
                        </w:tcBorders>
                      </w:tcPr>
                      <w:p>
                        <w:pPr>
                          <w:pStyle w:val="TableParagraph"/>
                          <w:jc w:val="left"/>
                          <w:rPr>
                            <w:sz w:val="20"/>
                          </w:rPr>
                        </w:pPr>
                      </w:p>
                    </w:tc>
                    <w:tc>
                      <w:tcPr>
                        <w:tcW w:w="224" w:type="dxa"/>
                        <w:vMerge w:val="restart"/>
                        <w:tcBorders>
                          <w:bottom w:val="single" w:sz="6" w:space="0" w:color="D9D9D9"/>
                        </w:tcBorders>
                        <w:shd w:val="clear" w:color="auto" w:fill="FFFF00"/>
                      </w:tcPr>
                      <w:p>
                        <w:pPr>
                          <w:pStyle w:val="TableParagraph"/>
                          <w:jc w:val="left"/>
                          <w:rPr>
                            <w:sz w:val="22"/>
                          </w:rPr>
                        </w:pPr>
                      </w:p>
                    </w:tc>
                    <w:tc>
                      <w:tcPr>
                        <w:tcW w:w="239" w:type="dxa"/>
                        <w:tcBorders>
                          <w:top w:val="single" w:sz="6" w:space="0" w:color="D9D9D9"/>
                          <w:bottom w:val="single" w:sz="6" w:space="0" w:color="D9D9D9"/>
                        </w:tcBorders>
                      </w:tcPr>
                      <w:p>
                        <w:pPr>
                          <w:pStyle w:val="TableParagraph"/>
                          <w:jc w:val="left"/>
                          <w:rPr>
                            <w:sz w:val="20"/>
                          </w:rPr>
                        </w:pPr>
                      </w:p>
                    </w:tc>
                  </w:tr>
                  <w:tr>
                    <w:trPr>
                      <w:trHeight w:val="272" w:hRule="atLeast"/>
                    </w:trPr>
                    <w:tc>
                      <w:tcPr>
                        <w:tcW w:w="3071" w:type="dxa"/>
                        <w:gridSpan w:val="5"/>
                        <w:tcBorders>
                          <w:top w:val="single" w:sz="6" w:space="0" w:color="D9D9D9"/>
                          <w:bottom w:val="single" w:sz="6" w:space="0" w:color="D9D9D9"/>
                        </w:tcBorders>
                      </w:tcPr>
                      <w:p>
                        <w:pPr>
                          <w:pStyle w:val="TableParagraph"/>
                          <w:jc w:val="left"/>
                          <w:rPr>
                            <w:sz w:val="20"/>
                          </w:rPr>
                        </w:pPr>
                      </w:p>
                    </w:tc>
                    <w:tc>
                      <w:tcPr>
                        <w:tcW w:w="224" w:type="dxa"/>
                        <w:vMerge/>
                        <w:tcBorders>
                          <w:top w:val="nil"/>
                          <w:bottom w:val="single" w:sz="6" w:space="0" w:color="D9D9D9"/>
                        </w:tcBorders>
                        <w:shd w:val="clear" w:color="auto" w:fill="FFFF00"/>
                      </w:tcPr>
                      <w:p>
                        <w:pPr>
                          <w:rPr>
                            <w:sz w:val="2"/>
                            <w:szCs w:val="2"/>
                          </w:rPr>
                        </w:pPr>
                      </w:p>
                    </w:tc>
                    <w:tc>
                      <w:tcPr>
                        <w:tcW w:w="239" w:type="dxa"/>
                        <w:tcBorders>
                          <w:top w:val="single" w:sz="6" w:space="0" w:color="D9D9D9"/>
                          <w:bottom w:val="single" w:sz="6" w:space="0" w:color="D9D9D9"/>
                        </w:tcBorders>
                      </w:tcPr>
                      <w:p>
                        <w:pPr>
                          <w:pStyle w:val="TableParagraph"/>
                          <w:jc w:val="left"/>
                          <w:rPr>
                            <w:sz w:val="20"/>
                          </w:rPr>
                        </w:pPr>
                      </w:p>
                    </w:tc>
                  </w:tr>
                  <w:tr>
                    <w:trPr>
                      <w:trHeight w:val="274" w:hRule="atLeast"/>
                    </w:trPr>
                    <w:tc>
                      <w:tcPr>
                        <w:tcW w:w="953" w:type="dxa"/>
                        <w:tcBorders>
                          <w:top w:val="single" w:sz="6" w:space="0" w:color="D9D9D9"/>
                          <w:bottom w:val="single" w:sz="6" w:space="0" w:color="D9D9D9"/>
                        </w:tcBorders>
                      </w:tcPr>
                      <w:p>
                        <w:pPr>
                          <w:pStyle w:val="TableParagraph"/>
                          <w:jc w:val="left"/>
                          <w:rPr>
                            <w:sz w:val="20"/>
                          </w:rPr>
                        </w:pPr>
                      </w:p>
                    </w:tc>
                    <w:tc>
                      <w:tcPr>
                        <w:tcW w:w="220" w:type="dxa"/>
                        <w:tcBorders>
                          <w:top w:val="single" w:sz="6" w:space="0" w:color="D9D9D9"/>
                          <w:bottom w:val="single" w:sz="6" w:space="0" w:color="D9D9D9"/>
                        </w:tcBorders>
                        <w:shd w:val="clear" w:color="auto" w:fill="FFFF00"/>
                      </w:tcPr>
                      <w:p>
                        <w:pPr>
                          <w:pStyle w:val="TableParagraph"/>
                          <w:jc w:val="left"/>
                          <w:rPr>
                            <w:sz w:val="20"/>
                          </w:rPr>
                        </w:pPr>
                      </w:p>
                    </w:tc>
                    <w:tc>
                      <w:tcPr>
                        <w:tcW w:w="484" w:type="dxa"/>
                        <w:tcBorders>
                          <w:top w:val="single" w:sz="6" w:space="0" w:color="D9D9D9"/>
                          <w:bottom w:val="single" w:sz="6" w:space="0" w:color="D9D9D9"/>
                        </w:tcBorders>
                      </w:tcPr>
                      <w:p>
                        <w:pPr>
                          <w:pStyle w:val="TableParagraph"/>
                          <w:jc w:val="left"/>
                          <w:rPr>
                            <w:sz w:val="20"/>
                          </w:rPr>
                        </w:pPr>
                      </w:p>
                    </w:tc>
                    <w:tc>
                      <w:tcPr>
                        <w:tcW w:w="220" w:type="dxa"/>
                        <w:tcBorders>
                          <w:top w:val="single" w:sz="6" w:space="0" w:color="D9D9D9"/>
                          <w:bottom w:val="single" w:sz="6" w:space="0" w:color="D9D9D9"/>
                        </w:tcBorders>
                        <w:shd w:val="clear" w:color="auto" w:fill="FFFF00"/>
                      </w:tcPr>
                      <w:p>
                        <w:pPr>
                          <w:pStyle w:val="TableParagraph"/>
                          <w:jc w:val="left"/>
                          <w:rPr>
                            <w:sz w:val="20"/>
                          </w:rPr>
                        </w:pPr>
                      </w:p>
                    </w:tc>
                    <w:tc>
                      <w:tcPr>
                        <w:tcW w:w="1194" w:type="dxa"/>
                        <w:tcBorders>
                          <w:top w:val="single" w:sz="6" w:space="0" w:color="D9D9D9"/>
                          <w:bottom w:val="single" w:sz="6" w:space="0" w:color="D9D9D9"/>
                        </w:tcBorders>
                      </w:tcPr>
                      <w:p>
                        <w:pPr>
                          <w:pStyle w:val="TableParagraph"/>
                          <w:jc w:val="left"/>
                          <w:rPr>
                            <w:sz w:val="20"/>
                          </w:rPr>
                        </w:pPr>
                      </w:p>
                    </w:tc>
                    <w:tc>
                      <w:tcPr>
                        <w:tcW w:w="224" w:type="dxa"/>
                        <w:vMerge/>
                        <w:tcBorders>
                          <w:top w:val="nil"/>
                          <w:bottom w:val="single" w:sz="6" w:space="0" w:color="D9D9D9"/>
                        </w:tcBorders>
                        <w:shd w:val="clear" w:color="auto" w:fill="FFFF00"/>
                      </w:tcPr>
                      <w:p>
                        <w:pPr>
                          <w:rPr>
                            <w:sz w:val="2"/>
                            <w:szCs w:val="2"/>
                          </w:rPr>
                        </w:pPr>
                      </w:p>
                    </w:tc>
                    <w:tc>
                      <w:tcPr>
                        <w:tcW w:w="239" w:type="dxa"/>
                        <w:tcBorders>
                          <w:top w:val="single" w:sz="6" w:space="0" w:color="D9D9D9"/>
                          <w:bottom w:val="single" w:sz="6" w:space="0" w:color="D9D9D9"/>
                        </w:tcBorders>
                      </w:tcPr>
                      <w:p>
                        <w:pPr>
                          <w:pStyle w:val="TableParagraph"/>
                          <w:jc w:val="left"/>
                          <w:rPr>
                            <w:sz w:val="20"/>
                          </w:rPr>
                        </w:pPr>
                      </w:p>
                    </w:tc>
                  </w:tr>
                </w:tbl>
                <w:p>
                  <w:pPr>
                    <w:pStyle w:val="BodyText"/>
                  </w:pPr>
                </w:p>
              </w:txbxContent>
            </v:textbox>
            <w10:wrap type="topAndBottom"/>
          </v:shape>
        </w:pict>
      </w:r>
    </w:p>
    <w:p>
      <w:pPr>
        <w:pStyle w:val="BodyText"/>
        <w:spacing w:before="217"/>
        <w:ind w:left="2414"/>
        <w:jc w:val="both"/>
      </w:pPr>
      <w:r>
        <w:rPr>
          <w:b/>
        </w:rPr>
        <w:t>Source : </w:t>
      </w:r>
      <w:r>
        <w:rPr/>
        <w:t>élaboré par nous-même </w:t>
      </w:r>
      <w:bookmarkStart w:name="_bookmark63" w:id="257"/>
      <w:bookmarkEnd w:id="257"/>
      <w:r>
        <w:rPr/>
        <w:t>s</w:t>
      </w:r>
      <w:r>
        <w:rPr/>
        <w:t>ur la base des outputs SPSS</w:t>
      </w:r>
    </w:p>
    <w:p>
      <w:pPr>
        <w:pStyle w:val="BodyText"/>
        <w:spacing w:line="360" w:lineRule="auto" w:before="142"/>
        <w:ind w:left="699" w:right="315" w:firstLine="360"/>
        <w:jc w:val="both"/>
      </w:pPr>
      <w:r>
        <w:rPr/>
        <w:t>Les utilisateurs souhaitent plusieurs améliorations pour </w:t>
      </w:r>
      <w:r>
        <w:rPr>
          <w:spacing w:val="-5"/>
        </w:rPr>
        <w:t>le </w:t>
      </w:r>
      <w:r>
        <w:rPr/>
        <w:t>service client de BaridiMob. 48 personnes aimeraient que </w:t>
      </w:r>
      <w:r>
        <w:rPr>
          <w:spacing w:val="-5"/>
        </w:rPr>
        <w:t>le </w:t>
      </w:r>
      <w:r>
        <w:rPr/>
        <w:t>service </w:t>
      </w:r>
      <w:r>
        <w:rPr>
          <w:spacing w:val="-3"/>
        </w:rPr>
        <w:t>soit </w:t>
      </w:r>
      <w:r>
        <w:rPr/>
        <w:t>disponible 24h/24 et 7j/7. 44 personnes veulent des réponses</w:t>
      </w:r>
      <w:r>
        <w:rPr>
          <w:spacing w:val="-8"/>
        </w:rPr>
        <w:t> </w:t>
      </w:r>
      <w:r>
        <w:rPr/>
        <w:t>plus</w:t>
      </w:r>
      <w:r>
        <w:rPr>
          <w:spacing w:val="-8"/>
        </w:rPr>
        <w:t> </w:t>
      </w:r>
      <w:r>
        <w:rPr/>
        <w:t>rapides.</w:t>
      </w:r>
      <w:r>
        <w:rPr>
          <w:spacing w:val="-4"/>
        </w:rPr>
        <w:t> </w:t>
      </w:r>
      <w:r>
        <w:rPr/>
        <w:t>39</w:t>
      </w:r>
      <w:r>
        <w:rPr>
          <w:spacing w:val="-6"/>
        </w:rPr>
        <w:t> </w:t>
      </w:r>
      <w:r>
        <w:rPr/>
        <w:t>personnes</w:t>
      </w:r>
      <w:r>
        <w:rPr>
          <w:spacing w:val="-8"/>
        </w:rPr>
        <w:t> </w:t>
      </w:r>
      <w:r>
        <w:rPr/>
        <w:t>demandent</w:t>
      </w:r>
      <w:r>
        <w:rPr>
          <w:spacing w:val="-1"/>
        </w:rPr>
        <w:t> </w:t>
      </w:r>
      <w:r>
        <w:rPr/>
        <w:t>une</w:t>
      </w:r>
      <w:r>
        <w:rPr>
          <w:spacing w:val="-7"/>
        </w:rPr>
        <w:t> </w:t>
      </w:r>
      <w:r>
        <w:rPr/>
        <w:t>assistance</w:t>
      </w:r>
      <w:r>
        <w:rPr>
          <w:spacing w:val="-7"/>
        </w:rPr>
        <w:t> </w:t>
      </w:r>
      <w:r>
        <w:rPr/>
        <w:t>en</w:t>
      </w:r>
      <w:r>
        <w:rPr>
          <w:spacing w:val="-5"/>
        </w:rPr>
        <w:t> </w:t>
      </w:r>
      <w:r>
        <w:rPr/>
        <w:t>ligne,</w:t>
      </w:r>
      <w:r>
        <w:rPr>
          <w:spacing w:val="-4"/>
        </w:rPr>
        <w:t> </w:t>
      </w:r>
      <w:r>
        <w:rPr/>
        <w:t>comme</w:t>
      </w:r>
      <w:r>
        <w:rPr>
          <w:spacing w:val="-7"/>
        </w:rPr>
        <w:t> </w:t>
      </w:r>
      <w:r>
        <w:rPr/>
        <w:t>un</w:t>
      </w:r>
      <w:r>
        <w:rPr>
          <w:spacing w:val="-11"/>
        </w:rPr>
        <w:t> </w:t>
      </w:r>
      <w:r>
        <w:rPr/>
        <w:t>chat</w:t>
      </w:r>
      <w:r>
        <w:rPr>
          <w:spacing w:val="-1"/>
        </w:rPr>
        <w:t> </w:t>
      </w:r>
      <w:r>
        <w:rPr/>
        <w:t>bot</w:t>
      </w:r>
      <w:r>
        <w:rPr>
          <w:spacing w:val="-6"/>
        </w:rPr>
        <w:t> </w:t>
      </w:r>
      <w:r>
        <w:rPr/>
        <w:t>ou</w:t>
      </w:r>
      <w:r>
        <w:rPr>
          <w:spacing w:val="-6"/>
        </w:rPr>
        <w:t> </w:t>
      </w:r>
      <w:r>
        <w:rPr/>
        <w:t>une FAQ améliorée. Enfin, 27 personnes souhaitent que les journées de réclamation soient organisées tous </w:t>
      </w:r>
      <w:r>
        <w:rPr>
          <w:spacing w:val="-4"/>
        </w:rPr>
        <w:t>les</w:t>
      </w:r>
      <w:r>
        <w:rPr>
          <w:spacing w:val="3"/>
        </w:rPr>
        <w:t> </w:t>
      </w:r>
      <w:r>
        <w:rPr/>
        <w:t>jours.</w:t>
      </w:r>
    </w:p>
    <w:p>
      <w:pPr>
        <w:pStyle w:val="Heading5"/>
        <w:numPr>
          <w:ilvl w:val="0"/>
          <w:numId w:val="25"/>
        </w:numPr>
        <w:tabs>
          <w:tab w:pos="1421" w:val="left" w:leader="none"/>
        </w:tabs>
        <w:spacing w:line="240" w:lineRule="auto" w:before="6" w:after="0"/>
        <w:ind w:left="1420" w:right="0" w:hanging="361"/>
        <w:jc w:val="both"/>
        <w:rPr>
          <w:rFonts w:ascii="Symbol" w:hAnsi="Symbol"/>
        </w:rPr>
      </w:pPr>
      <w:r>
        <w:rPr/>
        <w:t>Analyse descriptive du questionnaire (19 questions)</w:t>
      </w:r>
      <w:r>
        <w:rPr>
          <w:spacing w:val="15"/>
        </w:rPr>
        <w:t> </w:t>
      </w:r>
      <w:r>
        <w:rPr/>
        <w:t>:</w:t>
      </w:r>
    </w:p>
    <w:p>
      <w:pPr>
        <w:pStyle w:val="BodyText"/>
        <w:spacing w:before="35"/>
        <w:ind w:left="699"/>
        <w:jc w:val="both"/>
      </w:pPr>
      <w:bookmarkStart w:name="_bookmark64" w:id="258"/>
      <w:bookmarkEnd w:id="258"/>
      <w:r>
        <w:rPr/>
      </w:r>
      <w:r>
        <w:rPr>
          <w:b/>
          <w:color w:val="44536A"/>
        </w:rPr>
        <w:t>Tableau 28</w:t>
      </w:r>
      <w:r>
        <w:rPr>
          <w:color w:val="44536A"/>
        </w:rPr>
        <w:t>: Niveau de vérification de la variable en fonction du poids relatif</w:t>
      </w:r>
    </w:p>
    <w:p>
      <w:pPr>
        <w:pStyle w:val="BodyText"/>
        <w:spacing w:before="3"/>
      </w:pPr>
    </w:p>
    <w:tbl>
      <w:tblPr>
        <w:tblW w:w="0" w:type="auto"/>
        <w:jc w:val="left"/>
        <w:tblInd w:w="6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5"/>
        <w:gridCol w:w="1379"/>
        <w:gridCol w:w="1384"/>
        <w:gridCol w:w="1384"/>
        <w:gridCol w:w="1380"/>
        <w:gridCol w:w="1384"/>
      </w:tblGrid>
      <w:tr>
        <w:trPr>
          <w:trHeight w:val="557" w:hRule="atLeast"/>
        </w:trPr>
        <w:tc>
          <w:tcPr>
            <w:tcW w:w="2555" w:type="dxa"/>
          </w:tcPr>
          <w:p>
            <w:pPr>
              <w:pStyle w:val="TableParagraph"/>
              <w:spacing w:before="135"/>
              <w:ind w:left="127" w:right="124"/>
              <w:rPr>
                <w:b/>
                <w:sz w:val="24"/>
              </w:rPr>
            </w:pPr>
            <w:r>
              <w:rPr>
                <w:b/>
                <w:sz w:val="24"/>
              </w:rPr>
              <w:t>Niveau de verification</w:t>
            </w:r>
          </w:p>
        </w:tc>
        <w:tc>
          <w:tcPr>
            <w:tcW w:w="1379" w:type="dxa"/>
          </w:tcPr>
          <w:p>
            <w:pPr>
              <w:pStyle w:val="TableParagraph"/>
              <w:spacing w:before="135"/>
              <w:ind w:left="115" w:right="113"/>
              <w:rPr>
                <w:b/>
                <w:sz w:val="24"/>
              </w:rPr>
            </w:pPr>
            <w:r>
              <w:rPr>
                <w:b/>
                <w:sz w:val="24"/>
              </w:rPr>
              <w:t>Très faible</w:t>
            </w:r>
          </w:p>
        </w:tc>
        <w:tc>
          <w:tcPr>
            <w:tcW w:w="1384" w:type="dxa"/>
          </w:tcPr>
          <w:p>
            <w:pPr>
              <w:pStyle w:val="TableParagraph"/>
              <w:spacing w:before="135"/>
              <w:ind w:left="206" w:right="200"/>
              <w:rPr>
                <w:b/>
                <w:sz w:val="24"/>
              </w:rPr>
            </w:pPr>
            <w:r>
              <w:rPr>
                <w:b/>
                <w:sz w:val="24"/>
              </w:rPr>
              <w:t>Faible</w:t>
            </w:r>
          </w:p>
        </w:tc>
        <w:tc>
          <w:tcPr>
            <w:tcW w:w="1384" w:type="dxa"/>
          </w:tcPr>
          <w:p>
            <w:pPr>
              <w:pStyle w:val="TableParagraph"/>
              <w:spacing w:before="135"/>
              <w:ind w:left="199" w:right="202"/>
              <w:rPr>
                <w:b/>
                <w:sz w:val="24"/>
              </w:rPr>
            </w:pPr>
            <w:r>
              <w:rPr>
                <w:b/>
                <w:sz w:val="24"/>
              </w:rPr>
              <w:t>Modéré</w:t>
            </w:r>
          </w:p>
        </w:tc>
        <w:tc>
          <w:tcPr>
            <w:tcW w:w="1380" w:type="dxa"/>
          </w:tcPr>
          <w:p>
            <w:pPr>
              <w:pStyle w:val="TableParagraph"/>
              <w:spacing w:before="135"/>
              <w:ind w:left="202" w:right="205"/>
              <w:rPr>
                <w:b/>
                <w:sz w:val="24"/>
              </w:rPr>
            </w:pPr>
            <w:r>
              <w:rPr>
                <w:b/>
                <w:sz w:val="24"/>
              </w:rPr>
              <w:t>Fort</w:t>
            </w:r>
          </w:p>
        </w:tc>
        <w:tc>
          <w:tcPr>
            <w:tcW w:w="1384" w:type="dxa"/>
          </w:tcPr>
          <w:p>
            <w:pPr>
              <w:pStyle w:val="TableParagraph"/>
              <w:spacing w:before="135"/>
              <w:ind w:left="195" w:right="202"/>
              <w:rPr>
                <w:b/>
                <w:sz w:val="24"/>
              </w:rPr>
            </w:pPr>
            <w:r>
              <w:rPr>
                <w:b/>
                <w:sz w:val="24"/>
              </w:rPr>
              <w:t>Très fort</w:t>
            </w:r>
          </w:p>
        </w:tc>
      </w:tr>
      <w:tr>
        <w:trPr>
          <w:trHeight w:val="421" w:hRule="atLeast"/>
        </w:trPr>
        <w:tc>
          <w:tcPr>
            <w:tcW w:w="2555" w:type="dxa"/>
          </w:tcPr>
          <w:p>
            <w:pPr>
              <w:pStyle w:val="TableParagraph"/>
              <w:spacing w:before="63"/>
              <w:ind w:left="125" w:right="124"/>
              <w:rPr>
                <w:sz w:val="24"/>
              </w:rPr>
            </w:pPr>
            <w:r>
              <w:rPr>
                <w:sz w:val="24"/>
              </w:rPr>
              <w:t>Poids relatif</w:t>
            </w:r>
          </w:p>
        </w:tc>
        <w:tc>
          <w:tcPr>
            <w:tcW w:w="1379" w:type="dxa"/>
          </w:tcPr>
          <w:p>
            <w:pPr>
              <w:pStyle w:val="TableParagraph"/>
              <w:spacing w:before="63"/>
              <w:ind w:left="115" w:right="102"/>
              <w:rPr>
                <w:sz w:val="24"/>
              </w:rPr>
            </w:pPr>
            <w:r>
              <w:rPr>
                <w:sz w:val="24"/>
              </w:rPr>
              <w:t>1 - 1.8</w:t>
            </w:r>
          </w:p>
        </w:tc>
        <w:tc>
          <w:tcPr>
            <w:tcW w:w="1384" w:type="dxa"/>
          </w:tcPr>
          <w:p>
            <w:pPr>
              <w:pStyle w:val="TableParagraph"/>
              <w:spacing w:before="63"/>
              <w:ind w:left="206" w:right="196"/>
              <w:rPr>
                <w:sz w:val="24"/>
              </w:rPr>
            </w:pPr>
            <w:r>
              <w:rPr>
                <w:sz w:val="24"/>
              </w:rPr>
              <w:t>1.81 - 2.6</w:t>
            </w:r>
          </w:p>
        </w:tc>
        <w:tc>
          <w:tcPr>
            <w:tcW w:w="1384" w:type="dxa"/>
          </w:tcPr>
          <w:p>
            <w:pPr>
              <w:pStyle w:val="TableParagraph"/>
              <w:spacing w:before="63"/>
              <w:ind w:left="201" w:right="202"/>
              <w:rPr>
                <w:sz w:val="24"/>
              </w:rPr>
            </w:pPr>
            <w:r>
              <w:rPr>
                <w:sz w:val="24"/>
              </w:rPr>
              <w:t>2.61 - 3.4</w:t>
            </w:r>
          </w:p>
        </w:tc>
        <w:tc>
          <w:tcPr>
            <w:tcW w:w="1380" w:type="dxa"/>
          </w:tcPr>
          <w:p>
            <w:pPr>
              <w:pStyle w:val="TableParagraph"/>
              <w:spacing w:before="63"/>
              <w:ind w:left="205" w:right="205"/>
              <w:rPr>
                <w:sz w:val="24"/>
              </w:rPr>
            </w:pPr>
            <w:r>
              <w:rPr>
                <w:sz w:val="24"/>
              </w:rPr>
              <w:t>3.41 - 4.2</w:t>
            </w:r>
          </w:p>
        </w:tc>
        <w:tc>
          <w:tcPr>
            <w:tcW w:w="1384" w:type="dxa"/>
          </w:tcPr>
          <w:p>
            <w:pPr>
              <w:pStyle w:val="TableParagraph"/>
              <w:spacing w:before="63"/>
              <w:ind w:left="297"/>
              <w:jc w:val="left"/>
              <w:rPr>
                <w:sz w:val="24"/>
              </w:rPr>
            </w:pPr>
            <w:r>
              <w:rPr>
                <w:sz w:val="24"/>
              </w:rPr>
              <w:t>4.21 – 5</w:t>
            </w:r>
          </w:p>
        </w:tc>
      </w:tr>
    </w:tbl>
    <w:p>
      <w:pPr>
        <w:pStyle w:val="BodyText"/>
        <w:ind w:left="2414"/>
        <w:jc w:val="both"/>
      </w:pPr>
      <w:r>
        <w:rPr>
          <w:b/>
        </w:rPr>
        <w:t>Source : </w:t>
      </w:r>
      <w:r>
        <w:rPr/>
        <w:t>élaboré par nous-même sur la base des outputs SPSS</w:t>
      </w:r>
    </w:p>
    <w:p>
      <w:pPr>
        <w:pStyle w:val="BodyText"/>
        <w:spacing w:line="362" w:lineRule="auto" w:before="137"/>
        <w:ind w:left="699" w:right="312" w:firstLine="360"/>
        <w:jc w:val="both"/>
      </w:pPr>
      <w:r>
        <w:rPr/>
        <w:t>Le tableau ci-dessus présente </w:t>
      </w:r>
      <w:r>
        <w:rPr>
          <w:spacing w:val="-5"/>
        </w:rPr>
        <w:t>la </w:t>
      </w:r>
      <w:r>
        <w:rPr/>
        <w:t>classification du niveau de vérification des variables issues du questionnaire portant sur l'utilisation de l'application BaridiMob. Chaque variable a été pondérée selon son poids relatif, permettant ainsi de mesurer son importance dans l'analyse des retours utilisateurs. Dans </w:t>
      </w:r>
      <w:r>
        <w:rPr>
          <w:spacing w:val="-3"/>
        </w:rPr>
        <w:t>le </w:t>
      </w:r>
      <w:r>
        <w:rPr/>
        <w:t>cadre de </w:t>
      </w:r>
      <w:r>
        <w:rPr>
          <w:spacing w:val="-3"/>
        </w:rPr>
        <w:t>la </w:t>
      </w:r>
      <w:r>
        <w:rPr/>
        <w:t>méthodologie de vérification, les niveaux de vérification sont répartis</w:t>
      </w:r>
      <w:r>
        <w:rPr>
          <w:spacing w:val="-19"/>
        </w:rPr>
        <w:t> </w:t>
      </w:r>
      <w:r>
        <w:rPr/>
        <w:t>en</w:t>
      </w:r>
      <w:r>
        <w:rPr>
          <w:spacing w:val="-20"/>
        </w:rPr>
        <w:t> </w:t>
      </w:r>
      <w:r>
        <w:rPr/>
        <w:t>cinq</w:t>
      </w:r>
      <w:r>
        <w:rPr>
          <w:spacing w:val="-15"/>
        </w:rPr>
        <w:t> </w:t>
      </w:r>
      <w:r>
        <w:rPr/>
        <w:t>catégories</w:t>
      </w:r>
      <w:r>
        <w:rPr>
          <w:spacing w:val="-19"/>
        </w:rPr>
        <w:t> </w:t>
      </w:r>
      <w:r>
        <w:rPr/>
        <w:t>:</w:t>
      </w:r>
      <w:r>
        <w:rPr>
          <w:spacing w:val="-15"/>
        </w:rPr>
        <w:t> </w:t>
      </w:r>
      <w:r>
        <w:rPr/>
        <w:t>très</w:t>
      </w:r>
      <w:r>
        <w:rPr>
          <w:spacing w:val="-19"/>
        </w:rPr>
        <w:t> </w:t>
      </w:r>
      <w:r>
        <w:rPr/>
        <w:t>faible,</w:t>
      </w:r>
      <w:r>
        <w:rPr>
          <w:spacing w:val="-10"/>
        </w:rPr>
        <w:t> </w:t>
      </w:r>
      <w:r>
        <w:rPr/>
        <w:t>faible,</w:t>
      </w:r>
      <w:r>
        <w:rPr>
          <w:spacing w:val="-9"/>
        </w:rPr>
        <w:t> </w:t>
      </w:r>
      <w:r>
        <w:rPr/>
        <w:t>modéré,</w:t>
      </w:r>
      <w:r>
        <w:rPr>
          <w:spacing w:val="-14"/>
        </w:rPr>
        <w:t> </w:t>
      </w:r>
      <w:r>
        <w:rPr/>
        <w:t>fort</w:t>
      </w:r>
      <w:r>
        <w:rPr>
          <w:spacing w:val="-11"/>
        </w:rPr>
        <w:t> </w:t>
      </w:r>
      <w:r>
        <w:rPr>
          <w:spacing w:val="-3"/>
        </w:rPr>
        <w:t>et</w:t>
      </w:r>
      <w:r>
        <w:rPr>
          <w:spacing w:val="-16"/>
        </w:rPr>
        <w:t> </w:t>
      </w:r>
      <w:r>
        <w:rPr/>
        <w:t>très</w:t>
      </w:r>
      <w:r>
        <w:rPr>
          <w:spacing w:val="-18"/>
        </w:rPr>
        <w:t> </w:t>
      </w:r>
      <w:r>
        <w:rPr/>
        <w:t>fort.</w:t>
      </w:r>
      <w:r>
        <w:rPr>
          <w:spacing w:val="-13"/>
        </w:rPr>
        <w:t> </w:t>
      </w:r>
      <w:r>
        <w:rPr/>
        <w:t>Ces</w:t>
      </w:r>
      <w:r>
        <w:rPr>
          <w:spacing w:val="-19"/>
        </w:rPr>
        <w:t> </w:t>
      </w:r>
      <w:r>
        <w:rPr/>
        <w:t>catégories</w:t>
      </w:r>
      <w:r>
        <w:rPr>
          <w:spacing w:val="-18"/>
        </w:rPr>
        <w:t> </w:t>
      </w:r>
      <w:r>
        <w:rPr/>
        <w:t>correspondent à</w:t>
      </w:r>
      <w:r>
        <w:rPr>
          <w:spacing w:val="-8"/>
        </w:rPr>
        <w:t> </w:t>
      </w:r>
      <w:r>
        <w:rPr/>
        <w:t>des</w:t>
      </w:r>
      <w:r>
        <w:rPr>
          <w:spacing w:val="-9"/>
        </w:rPr>
        <w:t> </w:t>
      </w:r>
      <w:r>
        <w:rPr/>
        <w:t>niveaux</w:t>
      </w:r>
      <w:r>
        <w:rPr>
          <w:spacing w:val="-12"/>
        </w:rPr>
        <w:t> </w:t>
      </w:r>
      <w:r>
        <w:rPr/>
        <w:t>spécifiques</w:t>
      </w:r>
      <w:r>
        <w:rPr>
          <w:spacing w:val="-9"/>
        </w:rPr>
        <w:t> </w:t>
      </w:r>
      <w:r>
        <w:rPr/>
        <w:t>de</w:t>
      </w:r>
      <w:r>
        <w:rPr>
          <w:spacing w:val="-8"/>
        </w:rPr>
        <w:t> </w:t>
      </w:r>
      <w:r>
        <w:rPr/>
        <w:t>poids</w:t>
      </w:r>
      <w:r>
        <w:rPr>
          <w:spacing w:val="-9"/>
        </w:rPr>
        <w:t> </w:t>
      </w:r>
      <w:r>
        <w:rPr/>
        <w:t>relatif.</w:t>
      </w:r>
      <w:r>
        <w:rPr>
          <w:spacing w:val="-5"/>
        </w:rPr>
        <w:t> </w:t>
      </w:r>
      <w:r>
        <w:rPr/>
        <w:t>Cette</w:t>
      </w:r>
      <w:r>
        <w:rPr>
          <w:spacing w:val="-13"/>
        </w:rPr>
        <w:t> </w:t>
      </w:r>
      <w:r>
        <w:rPr/>
        <w:t>pondération</w:t>
      </w:r>
      <w:r>
        <w:rPr>
          <w:spacing w:val="-7"/>
        </w:rPr>
        <w:t> </w:t>
      </w:r>
      <w:r>
        <w:rPr/>
        <w:t>facilite</w:t>
      </w:r>
      <w:r>
        <w:rPr>
          <w:spacing w:val="-3"/>
        </w:rPr>
        <w:t> </w:t>
      </w:r>
      <w:r>
        <w:rPr/>
        <w:t>l'interprétation</w:t>
      </w:r>
      <w:r>
        <w:rPr>
          <w:spacing w:val="-12"/>
        </w:rPr>
        <w:t> </w:t>
      </w:r>
      <w:r>
        <w:rPr/>
        <w:t>des</w:t>
      </w:r>
      <w:r>
        <w:rPr>
          <w:spacing w:val="-9"/>
        </w:rPr>
        <w:t> </w:t>
      </w:r>
      <w:r>
        <w:rPr/>
        <w:t>résultats</w:t>
      </w:r>
      <w:r>
        <w:rPr>
          <w:spacing w:val="-13"/>
        </w:rPr>
        <w:t> </w:t>
      </w:r>
      <w:r>
        <w:rPr/>
        <w:t>en identifiant clairement quelles variables influencent </w:t>
      </w:r>
      <w:r>
        <w:rPr>
          <w:spacing w:val="-3"/>
        </w:rPr>
        <w:t>la </w:t>
      </w:r>
      <w:r>
        <w:rPr/>
        <w:t>satisfaction</w:t>
      </w:r>
      <w:r>
        <w:rPr>
          <w:spacing w:val="20"/>
        </w:rPr>
        <w:t> </w:t>
      </w:r>
      <w:r>
        <w:rPr/>
        <w:t>client.</w:t>
      </w:r>
    </w:p>
    <w:p>
      <w:pPr>
        <w:spacing w:after="0" w:line="362" w:lineRule="auto"/>
        <w:jc w:val="both"/>
        <w:sectPr>
          <w:pgSz w:w="12240" w:h="15840"/>
          <w:pgMar w:header="723" w:footer="850" w:top="1080" w:bottom="1040" w:left="1000" w:right="820"/>
        </w:sectPr>
      </w:pPr>
    </w:p>
    <w:p>
      <w:pPr>
        <w:pStyle w:val="BodyText"/>
        <w:spacing w:before="6"/>
        <w:rPr>
          <w:sz w:val="19"/>
        </w:rPr>
      </w:pPr>
    </w:p>
    <w:p>
      <w:pPr>
        <w:pStyle w:val="BodyText"/>
        <w:spacing w:before="90"/>
        <w:ind w:left="699"/>
      </w:pPr>
      <w:bookmarkStart w:name="_bookmark65" w:id="259"/>
      <w:bookmarkEnd w:id="259"/>
      <w:r>
        <w:rPr/>
      </w:r>
      <w:r>
        <w:rPr>
          <w:b/>
          <w:color w:val="44536A"/>
        </w:rPr>
        <w:t>Tableau 29: </w:t>
      </w:r>
      <w:r>
        <w:rPr>
          <w:color w:val="44536A"/>
        </w:rPr>
        <w:t>Statistiques descriptives sur l’expérience utilisateur de BaridiMob</w:t>
      </w:r>
    </w:p>
    <w:p>
      <w:pPr>
        <w:pStyle w:val="BodyText"/>
        <w:spacing w:before="4" w:after="1"/>
        <w:rPr>
          <w:sz w:val="18"/>
        </w:rPr>
      </w:pPr>
    </w:p>
    <w:tbl>
      <w:tblPr>
        <w:tblW w:w="0" w:type="auto"/>
        <w:jc w:val="left"/>
        <w:tblInd w:w="709"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4960"/>
        <w:gridCol w:w="581"/>
        <w:gridCol w:w="619"/>
        <w:gridCol w:w="720"/>
        <w:gridCol w:w="820"/>
        <w:gridCol w:w="710"/>
        <w:gridCol w:w="1181"/>
      </w:tblGrid>
      <w:tr>
        <w:trPr>
          <w:trHeight w:val="287" w:hRule="atLeast"/>
        </w:trPr>
        <w:tc>
          <w:tcPr>
            <w:tcW w:w="4960" w:type="dxa"/>
            <w:shd w:val="clear" w:color="auto" w:fill="E7E6E6"/>
          </w:tcPr>
          <w:p>
            <w:pPr>
              <w:pStyle w:val="TableParagraph"/>
              <w:jc w:val="left"/>
              <w:rPr>
                <w:sz w:val="20"/>
              </w:rPr>
            </w:pPr>
          </w:p>
        </w:tc>
        <w:tc>
          <w:tcPr>
            <w:tcW w:w="581" w:type="dxa"/>
            <w:shd w:val="clear" w:color="auto" w:fill="E7E6E6"/>
          </w:tcPr>
          <w:p>
            <w:pPr>
              <w:pStyle w:val="TableParagraph"/>
              <w:spacing w:line="249" w:lineRule="exact"/>
              <w:ind w:left="89" w:right="75"/>
              <w:rPr>
                <w:sz w:val="22"/>
              </w:rPr>
            </w:pPr>
            <w:r>
              <w:rPr>
                <w:sz w:val="22"/>
              </w:rPr>
              <w:t>Min</w:t>
            </w:r>
          </w:p>
        </w:tc>
        <w:tc>
          <w:tcPr>
            <w:tcW w:w="619" w:type="dxa"/>
            <w:shd w:val="clear" w:color="auto" w:fill="E7E6E6"/>
          </w:tcPr>
          <w:p>
            <w:pPr>
              <w:pStyle w:val="TableParagraph"/>
              <w:spacing w:line="249" w:lineRule="exact"/>
              <w:ind w:left="92" w:right="72"/>
              <w:rPr>
                <w:sz w:val="22"/>
              </w:rPr>
            </w:pPr>
            <w:r>
              <w:rPr>
                <w:sz w:val="22"/>
              </w:rPr>
              <w:t>Max</w:t>
            </w:r>
          </w:p>
        </w:tc>
        <w:tc>
          <w:tcPr>
            <w:tcW w:w="720" w:type="dxa"/>
            <w:shd w:val="clear" w:color="auto" w:fill="E7E6E6"/>
          </w:tcPr>
          <w:p>
            <w:pPr>
              <w:pStyle w:val="TableParagraph"/>
              <w:spacing w:line="249" w:lineRule="exact"/>
              <w:ind w:left="89" w:right="79"/>
              <w:rPr>
                <w:sz w:val="22"/>
              </w:rPr>
            </w:pPr>
            <w:r>
              <w:rPr>
                <w:sz w:val="22"/>
              </w:rPr>
              <w:t>Mean</w:t>
            </w:r>
          </w:p>
        </w:tc>
        <w:tc>
          <w:tcPr>
            <w:tcW w:w="820" w:type="dxa"/>
            <w:shd w:val="clear" w:color="auto" w:fill="E7E6E6"/>
          </w:tcPr>
          <w:p>
            <w:pPr>
              <w:pStyle w:val="TableParagraph"/>
              <w:spacing w:line="249" w:lineRule="exact"/>
              <w:ind w:left="88" w:right="71"/>
              <w:rPr>
                <w:sz w:val="22"/>
              </w:rPr>
            </w:pPr>
            <w:r>
              <w:rPr>
                <w:sz w:val="22"/>
              </w:rPr>
              <w:t>Std.d</w:t>
            </w:r>
          </w:p>
        </w:tc>
        <w:tc>
          <w:tcPr>
            <w:tcW w:w="710" w:type="dxa"/>
            <w:shd w:val="clear" w:color="auto" w:fill="E7E6E6"/>
          </w:tcPr>
          <w:p>
            <w:pPr>
              <w:pStyle w:val="TableParagraph"/>
              <w:spacing w:line="249" w:lineRule="exact"/>
              <w:ind w:left="86" w:right="71"/>
              <w:rPr>
                <w:sz w:val="22"/>
              </w:rPr>
            </w:pPr>
            <w:r>
              <w:rPr>
                <w:sz w:val="22"/>
              </w:rPr>
              <w:t>Var</w:t>
            </w:r>
          </w:p>
        </w:tc>
        <w:tc>
          <w:tcPr>
            <w:tcW w:w="1181" w:type="dxa"/>
            <w:shd w:val="clear" w:color="auto" w:fill="E7E6E6"/>
          </w:tcPr>
          <w:p>
            <w:pPr>
              <w:pStyle w:val="TableParagraph"/>
              <w:spacing w:line="249" w:lineRule="exact"/>
              <w:ind w:left="73" w:right="104"/>
              <w:rPr>
                <w:sz w:val="22"/>
              </w:rPr>
            </w:pPr>
            <w:r>
              <w:rPr>
                <w:sz w:val="22"/>
              </w:rPr>
              <w:t>Level</w:t>
            </w:r>
          </w:p>
        </w:tc>
      </w:tr>
      <w:tr>
        <w:trPr>
          <w:trHeight w:val="293" w:hRule="atLeast"/>
        </w:trPr>
        <w:tc>
          <w:tcPr>
            <w:tcW w:w="4960" w:type="dxa"/>
          </w:tcPr>
          <w:p>
            <w:pPr>
              <w:pStyle w:val="TableParagraph"/>
              <w:spacing w:line="249" w:lineRule="exact"/>
              <w:ind w:left="110"/>
              <w:jc w:val="left"/>
              <w:rPr>
                <w:sz w:val="22"/>
              </w:rPr>
            </w:pPr>
            <w:r>
              <w:rPr>
                <w:sz w:val="22"/>
              </w:rPr>
              <w:t>Sexe</w:t>
            </w:r>
          </w:p>
        </w:tc>
        <w:tc>
          <w:tcPr>
            <w:tcW w:w="581" w:type="dxa"/>
          </w:tcPr>
          <w:p>
            <w:pPr>
              <w:pStyle w:val="TableParagraph"/>
              <w:spacing w:line="249" w:lineRule="exact"/>
              <w:ind w:left="10"/>
              <w:rPr>
                <w:sz w:val="22"/>
              </w:rPr>
            </w:pPr>
            <w:r>
              <w:rPr>
                <w:w w:val="100"/>
                <w:sz w:val="22"/>
              </w:rPr>
              <w:t>1</w:t>
            </w:r>
          </w:p>
        </w:tc>
        <w:tc>
          <w:tcPr>
            <w:tcW w:w="619" w:type="dxa"/>
          </w:tcPr>
          <w:p>
            <w:pPr>
              <w:pStyle w:val="TableParagraph"/>
              <w:spacing w:line="249" w:lineRule="exact"/>
              <w:ind w:left="10"/>
              <w:rPr>
                <w:sz w:val="22"/>
              </w:rPr>
            </w:pPr>
            <w:r>
              <w:rPr>
                <w:w w:val="100"/>
                <w:sz w:val="22"/>
              </w:rPr>
              <w:t>2</w:t>
            </w:r>
          </w:p>
        </w:tc>
        <w:tc>
          <w:tcPr>
            <w:tcW w:w="720" w:type="dxa"/>
          </w:tcPr>
          <w:p>
            <w:pPr>
              <w:pStyle w:val="TableParagraph"/>
              <w:spacing w:line="249" w:lineRule="exact"/>
              <w:ind w:left="89" w:right="74"/>
              <w:rPr>
                <w:sz w:val="22"/>
              </w:rPr>
            </w:pPr>
            <w:r>
              <w:rPr>
                <w:sz w:val="22"/>
              </w:rPr>
              <w:t>1,38</w:t>
            </w:r>
          </w:p>
        </w:tc>
        <w:tc>
          <w:tcPr>
            <w:tcW w:w="820" w:type="dxa"/>
          </w:tcPr>
          <w:p>
            <w:pPr>
              <w:pStyle w:val="TableParagraph"/>
              <w:spacing w:line="249" w:lineRule="exact"/>
              <w:ind w:left="88" w:right="71"/>
              <w:rPr>
                <w:sz w:val="22"/>
              </w:rPr>
            </w:pPr>
            <w:r>
              <w:rPr>
                <w:sz w:val="22"/>
              </w:rPr>
              <w:t>0,487</w:t>
            </w:r>
          </w:p>
        </w:tc>
        <w:tc>
          <w:tcPr>
            <w:tcW w:w="710" w:type="dxa"/>
          </w:tcPr>
          <w:p>
            <w:pPr>
              <w:pStyle w:val="TableParagraph"/>
              <w:spacing w:line="249" w:lineRule="exact"/>
              <w:ind w:left="94" w:right="71"/>
              <w:rPr>
                <w:sz w:val="22"/>
              </w:rPr>
            </w:pPr>
            <w:r>
              <w:rPr>
                <w:sz w:val="22"/>
              </w:rPr>
              <w:t>0,237</w:t>
            </w:r>
          </w:p>
        </w:tc>
        <w:tc>
          <w:tcPr>
            <w:tcW w:w="1181" w:type="dxa"/>
          </w:tcPr>
          <w:p>
            <w:pPr>
              <w:pStyle w:val="TableParagraph"/>
              <w:spacing w:line="249" w:lineRule="exact"/>
              <w:ind w:left="80" w:right="104"/>
              <w:rPr>
                <w:sz w:val="22"/>
              </w:rPr>
            </w:pPr>
            <w:r>
              <w:rPr>
                <w:sz w:val="22"/>
              </w:rPr>
              <w:t>Très faible</w:t>
            </w:r>
          </w:p>
        </w:tc>
      </w:tr>
      <w:tr>
        <w:trPr>
          <w:trHeight w:val="292" w:hRule="atLeast"/>
        </w:trPr>
        <w:tc>
          <w:tcPr>
            <w:tcW w:w="4960" w:type="dxa"/>
          </w:tcPr>
          <w:p>
            <w:pPr>
              <w:pStyle w:val="TableParagraph"/>
              <w:spacing w:line="249" w:lineRule="exact"/>
              <w:ind w:left="110"/>
              <w:jc w:val="left"/>
              <w:rPr>
                <w:sz w:val="22"/>
              </w:rPr>
            </w:pPr>
            <w:r>
              <w:rPr>
                <w:sz w:val="22"/>
              </w:rPr>
              <w:t>Age</w:t>
            </w:r>
          </w:p>
        </w:tc>
        <w:tc>
          <w:tcPr>
            <w:tcW w:w="581" w:type="dxa"/>
          </w:tcPr>
          <w:p>
            <w:pPr>
              <w:pStyle w:val="TableParagraph"/>
              <w:spacing w:line="249" w:lineRule="exact"/>
              <w:ind w:left="10"/>
              <w:rPr>
                <w:sz w:val="22"/>
              </w:rPr>
            </w:pPr>
            <w:r>
              <w:rPr>
                <w:w w:val="100"/>
                <w:sz w:val="22"/>
              </w:rPr>
              <w:t>1</w:t>
            </w:r>
          </w:p>
        </w:tc>
        <w:tc>
          <w:tcPr>
            <w:tcW w:w="619" w:type="dxa"/>
          </w:tcPr>
          <w:p>
            <w:pPr>
              <w:pStyle w:val="TableParagraph"/>
              <w:spacing w:line="249" w:lineRule="exact"/>
              <w:ind w:left="10"/>
              <w:rPr>
                <w:sz w:val="22"/>
              </w:rPr>
            </w:pPr>
            <w:r>
              <w:rPr>
                <w:w w:val="100"/>
                <w:sz w:val="22"/>
              </w:rPr>
              <w:t>4</w:t>
            </w:r>
          </w:p>
        </w:tc>
        <w:tc>
          <w:tcPr>
            <w:tcW w:w="720" w:type="dxa"/>
          </w:tcPr>
          <w:p>
            <w:pPr>
              <w:pStyle w:val="TableParagraph"/>
              <w:spacing w:line="249" w:lineRule="exact"/>
              <w:ind w:left="89" w:right="74"/>
              <w:rPr>
                <w:sz w:val="22"/>
              </w:rPr>
            </w:pPr>
            <w:r>
              <w:rPr>
                <w:sz w:val="22"/>
              </w:rPr>
              <w:t>1,76</w:t>
            </w:r>
          </w:p>
        </w:tc>
        <w:tc>
          <w:tcPr>
            <w:tcW w:w="820" w:type="dxa"/>
          </w:tcPr>
          <w:p>
            <w:pPr>
              <w:pStyle w:val="TableParagraph"/>
              <w:spacing w:line="249" w:lineRule="exact"/>
              <w:ind w:left="88" w:right="71"/>
              <w:rPr>
                <w:sz w:val="22"/>
              </w:rPr>
            </w:pPr>
            <w:r>
              <w:rPr>
                <w:sz w:val="22"/>
              </w:rPr>
              <w:t>0,908</w:t>
            </w:r>
          </w:p>
        </w:tc>
        <w:tc>
          <w:tcPr>
            <w:tcW w:w="710" w:type="dxa"/>
          </w:tcPr>
          <w:p>
            <w:pPr>
              <w:pStyle w:val="TableParagraph"/>
              <w:spacing w:line="249" w:lineRule="exact"/>
              <w:ind w:left="94" w:right="71"/>
              <w:rPr>
                <w:sz w:val="22"/>
              </w:rPr>
            </w:pPr>
            <w:r>
              <w:rPr>
                <w:sz w:val="22"/>
              </w:rPr>
              <w:t>0,824</w:t>
            </w:r>
          </w:p>
        </w:tc>
        <w:tc>
          <w:tcPr>
            <w:tcW w:w="1181" w:type="dxa"/>
          </w:tcPr>
          <w:p>
            <w:pPr>
              <w:pStyle w:val="TableParagraph"/>
              <w:spacing w:line="249" w:lineRule="exact"/>
              <w:ind w:left="80" w:right="104"/>
              <w:rPr>
                <w:sz w:val="22"/>
              </w:rPr>
            </w:pPr>
            <w:r>
              <w:rPr>
                <w:sz w:val="22"/>
              </w:rPr>
              <w:t>Très faible</w:t>
            </w:r>
          </w:p>
        </w:tc>
      </w:tr>
      <w:tr>
        <w:trPr>
          <w:trHeight w:val="287" w:hRule="atLeast"/>
        </w:trPr>
        <w:tc>
          <w:tcPr>
            <w:tcW w:w="4960" w:type="dxa"/>
          </w:tcPr>
          <w:p>
            <w:pPr>
              <w:pStyle w:val="TableParagraph"/>
              <w:spacing w:line="249" w:lineRule="exact"/>
              <w:ind w:left="110"/>
              <w:jc w:val="left"/>
              <w:rPr>
                <w:sz w:val="22"/>
              </w:rPr>
            </w:pPr>
            <w:r>
              <w:rPr>
                <w:sz w:val="22"/>
              </w:rPr>
              <w:t>Situation Professionnelle :</w:t>
            </w:r>
          </w:p>
        </w:tc>
        <w:tc>
          <w:tcPr>
            <w:tcW w:w="581" w:type="dxa"/>
          </w:tcPr>
          <w:p>
            <w:pPr>
              <w:pStyle w:val="TableParagraph"/>
              <w:spacing w:line="249" w:lineRule="exact"/>
              <w:ind w:left="10"/>
              <w:rPr>
                <w:sz w:val="22"/>
              </w:rPr>
            </w:pPr>
            <w:r>
              <w:rPr>
                <w:w w:val="100"/>
                <w:sz w:val="22"/>
              </w:rPr>
              <w:t>1</w:t>
            </w:r>
          </w:p>
        </w:tc>
        <w:tc>
          <w:tcPr>
            <w:tcW w:w="619" w:type="dxa"/>
          </w:tcPr>
          <w:p>
            <w:pPr>
              <w:pStyle w:val="TableParagraph"/>
              <w:spacing w:line="249" w:lineRule="exact"/>
              <w:ind w:left="10"/>
              <w:rPr>
                <w:sz w:val="22"/>
              </w:rPr>
            </w:pPr>
            <w:r>
              <w:rPr>
                <w:w w:val="100"/>
                <w:sz w:val="22"/>
              </w:rPr>
              <w:t>6</w:t>
            </w:r>
          </w:p>
        </w:tc>
        <w:tc>
          <w:tcPr>
            <w:tcW w:w="720" w:type="dxa"/>
          </w:tcPr>
          <w:p>
            <w:pPr>
              <w:pStyle w:val="TableParagraph"/>
              <w:spacing w:line="249" w:lineRule="exact"/>
              <w:ind w:left="89" w:right="74"/>
              <w:rPr>
                <w:sz w:val="22"/>
              </w:rPr>
            </w:pPr>
            <w:r>
              <w:rPr>
                <w:sz w:val="22"/>
              </w:rPr>
              <w:t>1,79</w:t>
            </w:r>
          </w:p>
        </w:tc>
        <w:tc>
          <w:tcPr>
            <w:tcW w:w="820" w:type="dxa"/>
          </w:tcPr>
          <w:p>
            <w:pPr>
              <w:pStyle w:val="TableParagraph"/>
              <w:spacing w:line="249" w:lineRule="exact"/>
              <w:ind w:left="88" w:right="71"/>
              <w:rPr>
                <w:sz w:val="22"/>
              </w:rPr>
            </w:pPr>
            <w:r>
              <w:rPr>
                <w:sz w:val="22"/>
              </w:rPr>
              <w:t>0,959</w:t>
            </w:r>
          </w:p>
        </w:tc>
        <w:tc>
          <w:tcPr>
            <w:tcW w:w="710" w:type="dxa"/>
          </w:tcPr>
          <w:p>
            <w:pPr>
              <w:pStyle w:val="TableParagraph"/>
              <w:spacing w:line="249" w:lineRule="exact"/>
              <w:ind w:left="89" w:right="71"/>
              <w:rPr>
                <w:sz w:val="22"/>
              </w:rPr>
            </w:pPr>
            <w:r>
              <w:rPr>
                <w:sz w:val="22"/>
              </w:rPr>
              <w:t>0,92</w:t>
            </w:r>
          </w:p>
        </w:tc>
        <w:tc>
          <w:tcPr>
            <w:tcW w:w="1181" w:type="dxa"/>
          </w:tcPr>
          <w:p>
            <w:pPr>
              <w:pStyle w:val="TableParagraph"/>
              <w:spacing w:line="249" w:lineRule="exact"/>
              <w:ind w:left="80" w:right="104"/>
              <w:rPr>
                <w:sz w:val="22"/>
              </w:rPr>
            </w:pPr>
            <w:r>
              <w:rPr>
                <w:sz w:val="22"/>
              </w:rPr>
              <w:t>Très faible</w:t>
            </w:r>
          </w:p>
        </w:tc>
      </w:tr>
      <w:tr>
        <w:trPr>
          <w:trHeight w:val="292" w:hRule="atLeast"/>
        </w:trPr>
        <w:tc>
          <w:tcPr>
            <w:tcW w:w="4960" w:type="dxa"/>
          </w:tcPr>
          <w:p>
            <w:pPr>
              <w:pStyle w:val="TableParagraph"/>
              <w:spacing w:line="249" w:lineRule="exact"/>
              <w:ind w:left="110"/>
              <w:jc w:val="left"/>
              <w:rPr>
                <w:sz w:val="22"/>
              </w:rPr>
            </w:pPr>
            <w:r>
              <w:rPr>
                <w:sz w:val="22"/>
              </w:rPr>
              <w:t>Revenu mensuel</w:t>
            </w:r>
          </w:p>
        </w:tc>
        <w:tc>
          <w:tcPr>
            <w:tcW w:w="581" w:type="dxa"/>
          </w:tcPr>
          <w:p>
            <w:pPr>
              <w:pStyle w:val="TableParagraph"/>
              <w:spacing w:line="249" w:lineRule="exact"/>
              <w:ind w:left="10"/>
              <w:rPr>
                <w:sz w:val="22"/>
              </w:rPr>
            </w:pPr>
            <w:r>
              <w:rPr>
                <w:w w:val="100"/>
                <w:sz w:val="22"/>
              </w:rPr>
              <w:t>1</w:t>
            </w:r>
          </w:p>
        </w:tc>
        <w:tc>
          <w:tcPr>
            <w:tcW w:w="619" w:type="dxa"/>
          </w:tcPr>
          <w:p>
            <w:pPr>
              <w:pStyle w:val="TableParagraph"/>
              <w:spacing w:line="249" w:lineRule="exact"/>
              <w:ind w:left="10"/>
              <w:rPr>
                <w:sz w:val="22"/>
              </w:rPr>
            </w:pPr>
            <w:r>
              <w:rPr>
                <w:w w:val="100"/>
                <w:sz w:val="22"/>
              </w:rPr>
              <w:t>4</w:t>
            </w:r>
          </w:p>
        </w:tc>
        <w:tc>
          <w:tcPr>
            <w:tcW w:w="720" w:type="dxa"/>
          </w:tcPr>
          <w:p>
            <w:pPr>
              <w:pStyle w:val="TableParagraph"/>
              <w:spacing w:line="249" w:lineRule="exact"/>
              <w:ind w:left="89" w:right="74"/>
              <w:rPr>
                <w:sz w:val="22"/>
              </w:rPr>
            </w:pPr>
            <w:r>
              <w:rPr>
                <w:sz w:val="22"/>
              </w:rPr>
              <w:t>2,27</w:t>
            </w:r>
          </w:p>
        </w:tc>
        <w:tc>
          <w:tcPr>
            <w:tcW w:w="820" w:type="dxa"/>
          </w:tcPr>
          <w:p>
            <w:pPr>
              <w:pStyle w:val="TableParagraph"/>
              <w:spacing w:line="249" w:lineRule="exact"/>
              <w:ind w:left="88" w:right="71"/>
              <w:rPr>
                <w:sz w:val="22"/>
              </w:rPr>
            </w:pPr>
            <w:r>
              <w:rPr>
                <w:sz w:val="22"/>
              </w:rPr>
              <w:t>1,257</w:t>
            </w:r>
          </w:p>
        </w:tc>
        <w:tc>
          <w:tcPr>
            <w:tcW w:w="710" w:type="dxa"/>
          </w:tcPr>
          <w:p>
            <w:pPr>
              <w:pStyle w:val="TableParagraph"/>
              <w:spacing w:line="249" w:lineRule="exact"/>
              <w:ind w:left="89" w:right="71"/>
              <w:rPr>
                <w:sz w:val="22"/>
              </w:rPr>
            </w:pPr>
            <w:r>
              <w:rPr>
                <w:sz w:val="22"/>
              </w:rPr>
              <w:t>1,58</w:t>
            </w:r>
          </w:p>
        </w:tc>
        <w:tc>
          <w:tcPr>
            <w:tcW w:w="1181" w:type="dxa"/>
          </w:tcPr>
          <w:p>
            <w:pPr>
              <w:pStyle w:val="TableParagraph"/>
              <w:spacing w:line="249" w:lineRule="exact"/>
              <w:ind w:left="80" w:right="104"/>
              <w:rPr>
                <w:sz w:val="22"/>
              </w:rPr>
            </w:pPr>
            <w:r>
              <w:rPr>
                <w:sz w:val="22"/>
              </w:rPr>
              <w:t>Faible</w:t>
            </w:r>
          </w:p>
        </w:tc>
      </w:tr>
      <w:tr>
        <w:trPr>
          <w:trHeight w:val="580" w:hRule="atLeast"/>
        </w:trPr>
        <w:tc>
          <w:tcPr>
            <w:tcW w:w="4960" w:type="dxa"/>
          </w:tcPr>
          <w:p>
            <w:pPr>
              <w:pStyle w:val="TableParagraph"/>
              <w:spacing w:line="249" w:lineRule="exact"/>
              <w:ind w:left="110"/>
              <w:jc w:val="left"/>
              <w:rPr>
                <w:sz w:val="22"/>
              </w:rPr>
            </w:pPr>
            <w:r>
              <w:rPr>
                <w:sz w:val="22"/>
              </w:rPr>
              <w:t>Avez-vous l'habitude d'utiliser l'application</w:t>
            </w:r>
          </w:p>
          <w:p>
            <w:pPr>
              <w:pStyle w:val="TableParagraph"/>
              <w:spacing w:before="40"/>
              <w:ind w:left="110"/>
              <w:jc w:val="left"/>
              <w:rPr>
                <w:sz w:val="22"/>
              </w:rPr>
            </w:pPr>
            <w:r>
              <w:rPr>
                <w:sz w:val="22"/>
              </w:rPr>
              <w:t>BaridMob ?</w:t>
            </w:r>
          </w:p>
        </w:tc>
        <w:tc>
          <w:tcPr>
            <w:tcW w:w="581" w:type="dxa"/>
          </w:tcPr>
          <w:p>
            <w:pPr>
              <w:pStyle w:val="TableParagraph"/>
              <w:spacing w:before="140"/>
              <w:ind w:left="10"/>
              <w:rPr>
                <w:sz w:val="22"/>
              </w:rPr>
            </w:pPr>
            <w:r>
              <w:rPr>
                <w:w w:val="100"/>
                <w:sz w:val="22"/>
              </w:rPr>
              <w:t>1</w:t>
            </w:r>
          </w:p>
        </w:tc>
        <w:tc>
          <w:tcPr>
            <w:tcW w:w="619" w:type="dxa"/>
          </w:tcPr>
          <w:p>
            <w:pPr>
              <w:pStyle w:val="TableParagraph"/>
              <w:spacing w:before="140"/>
              <w:ind w:left="10"/>
              <w:rPr>
                <w:sz w:val="22"/>
              </w:rPr>
            </w:pPr>
            <w:r>
              <w:rPr>
                <w:w w:val="100"/>
                <w:sz w:val="22"/>
              </w:rPr>
              <w:t>2</w:t>
            </w:r>
          </w:p>
        </w:tc>
        <w:tc>
          <w:tcPr>
            <w:tcW w:w="720" w:type="dxa"/>
          </w:tcPr>
          <w:p>
            <w:pPr>
              <w:pStyle w:val="TableParagraph"/>
              <w:spacing w:before="140"/>
              <w:ind w:left="89" w:right="74"/>
              <w:rPr>
                <w:sz w:val="22"/>
              </w:rPr>
            </w:pPr>
            <w:r>
              <w:rPr>
                <w:sz w:val="22"/>
              </w:rPr>
              <w:t>1,09</w:t>
            </w:r>
          </w:p>
        </w:tc>
        <w:tc>
          <w:tcPr>
            <w:tcW w:w="820" w:type="dxa"/>
          </w:tcPr>
          <w:p>
            <w:pPr>
              <w:pStyle w:val="TableParagraph"/>
              <w:spacing w:before="140"/>
              <w:ind w:left="88" w:right="71"/>
              <w:rPr>
                <w:sz w:val="22"/>
              </w:rPr>
            </w:pPr>
            <w:r>
              <w:rPr>
                <w:sz w:val="22"/>
              </w:rPr>
              <w:t>0,283</w:t>
            </w:r>
          </w:p>
        </w:tc>
        <w:tc>
          <w:tcPr>
            <w:tcW w:w="710" w:type="dxa"/>
          </w:tcPr>
          <w:p>
            <w:pPr>
              <w:pStyle w:val="TableParagraph"/>
              <w:spacing w:before="140"/>
              <w:ind w:left="89" w:right="71"/>
              <w:rPr>
                <w:sz w:val="22"/>
              </w:rPr>
            </w:pPr>
            <w:r>
              <w:rPr>
                <w:sz w:val="22"/>
              </w:rPr>
              <w:t>0,08</w:t>
            </w:r>
          </w:p>
        </w:tc>
        <w:tc>
          <w:tcPr>
            <w:tcW w:w="1181" w:type="dxa"/>
          </w:tcPr>
          <w:p>
            <w:pPr>
              <w:pStyle w:val="TableParagraph"/>
              <w:spacing w:before="140"/>
              <w:ind w:left="80" w:right="104"/>
              <w:rPr>
                <w:sz w:val="22"/>
              </w:rPr>
            </w:pPr>
            <w:r>
              <w:rPr>
                <w:sz w:val="22"/>
              </w:rPr>
              <w:t>Très faible</w:t>
            </w:r>
          </w:p>
        </w:tc>
      </w:tr>
      <w:tr>
        <w:trPr>
          <w:trHeight w:val="585" w:hRule="atLeast"/>
        </w:trPr>
        <w:tc>
          <w:tcPr>
            <w:tcW w:w="4960" w:type="dxa"/>
          </w:tcPr>
          <w:p>
            <w:pPr>
              <w:pStyle w:val="TableParagraph"/>
              <w:spacing w:line="249" w:lineRule="exact"/>
              <w:ind w:left="110"/>
              <w:jc w:val="left"/>
              <w:rPr>
                <w:sz w:val="22"/>
              </w:rPr>
            </w:pPr>
            <w:r>
              <w:rPr>
                <w:sz w:val="22"/>
              </w:rPr>
              <w:t>Si oui, sur quelle fréquence utilisez-vous</w:t>
            </w:r>
          </w:p>
          <w:p>
            <w:pPr>
              <w:pStyle w:val="TableParagraph"/>
              <w:spacing w:before="40"/>
              <w:ind w:left="110"/>
              <w:jc w:val="left"/>
              <w:rPr>
                <w:sz w:val="22"/>
              </w:rPr>
            </w:pPr>
            <w:r>
              <w:rPr>
                <w:sz w:val="22"/>
              </w:rPr>
              <w:t>l’application BaridiMob ?</w:t>
            </w:r>
          </w:p>
        </w:tc>
        <w:tc>
          <w:tcPr>
            <w:tcW w:w="581" w:type="dxa"/>
          </w:tcPr>
          <w:p>
            <w:pPr>
              <w:pStyle w:val="TableParagraph"/>
              <w:spacing w:before="145"/>
              <w:ind w:left="10"/>
              <w:rPr>
                <w:sz w:val="22"/>
              </w:rPr>
            </w:pPr>
            <w:r>
              <w:rPr>
                <w:w w:val="100"/>
                <w:sz w:val="22"/>
              </w:rPr>
              <w:t>1</w:t>
            </w:r>
          </w:p>
        </w:tc>
        <w:tc>
          <w:tcPr>
            <w:tcW w:w="619" w:type="dxa"/>
          </w:tcPr>
          <w:p>
            <w:pPr>
              <w:pStyle w:val="TableParagraph"/>
              <w:spacing w:before="145"/>
              <w:ind w:left="10"/>
              <w:rPr>
                <w:sz w:val="22"/>
              </w:rPr>
            </w:pPr>
            <w:r>
              <w:rPr>
                <w:w w:val="100"/>
                <w:sz w:val="22"/>
              </w:rPr>
              <w:t>6</w:t>
            </w:r>
          </w:p>
        </w:tc>
        <w:tc>
          <w:tcPr>
            <w:tcW w:w="720" w:type="dxa"/>
          </w:tcPr>
          <w:p>
            <w:pPr>
              <w:pStyle w:val="TableParagraph"/>
              <w:spacing w:before="145"/>
              <w:ind w:left="89" w:right="74"/>
              <w:rPr>
                <w:sz w:val="22"/>
              </w:rPr>
            </w:pPr>
            <w:r>
              <w:rPr>
                <w:sz w:val="22"/>
              </w:rPr>
              <w:t>2,31</w:t>
            </w:r>
          </w:p>
        </w:tc>
        <w:tc>
          <w:tcPr>
            <w:tcW w:w="820" w:type="dxa"/>
          </w:tcPr>
          <w:p>
            <w:pPr>
              <w:pStyle w:val="TableParagraph"/>
              <w:spacing w:before="145"/>
              <w:ind w:left="88" w:right="71"/>
              <w:rPr>
                <w:sz w:val="22"/>
              </w:rPr>
            </w:pPr>
            <w:r>
              <w:rPr>
                <w:sz w:val="22"/>
              </w:rPr>
              <w:t>1,389</w:t>
            </w:r>
          </w:p>
        </w:tc>
        <w:tc>
          <w:tcPr>
            <w:tcW w:w="710" w:type="dxa"/>
          </w:tcPr>
          <w:p>
            <w:pPr>
              <w:pStyle w:val="TableParagraph"/>
              <w:spacing w:before="145"/>
              <w:ind w:left="89" w:right="71"/>
              <w:rPr>
                <w:sz w:val="22"/>
              </w:rPr>
            </w:pPr>
            <w:r>
              <w:rPr>
                <w:sz w:val="22"/>
              </w:rPr>
              <w:t>1,93</w:t>
            </w:r>
          </w:p>
        </w:tc>
        <w:tc>
          <w:tcPr>
            <w:tcW w:w="1181" w:type="dxa"/>
          </w:tcPr>
          <w:p>
            <w:pPr>
              <w:pStyle w:val="TableParagraph"/>
              <w:spacing w:before="145"/>
              <w:ind w:left="80" w:right="104"/>
              <w:rPr>
                <w:sz w:val="22"/>
              </w:rPr>
            </w:pPr>
            <w:r>
              <w:rPr>
                <w:sz w:val="22"/>
              </w:rPr>
              <w:t>Faible</w:t>
            </w:r>
          </w:p>
        </w:tc>
      </w:tr>
      <w:tr>
        <w:trPr>
          <w:trHeight w:val="580" w:hRule="atLeast"/>
        </w:trPr>
        <w:tc>
          <w:tcPr>
            <w:tcW w:w="4960" w:type="dxa"/>
          </w:tcPr>
          <w:p>
            <w:pPr>
              <w:pStyle w:val="TableParagraph"/>
              <w:spacing w:line="249" w:lineRule="exact"/>
              <w:ind w:left="110"/>
              <w:jc w:val="left"/>
              <w:rPr>
                <w:sz w:val="22"/>
              </w:rPr>
            </w:pPr>
            <w:r>
              <w:rPr>
                <w:sz w:val="22"/>
              </w:rPr>
              <w:t>Comment évaluez-vous votre expérience d'utilisation</w:t>
            </w:r>
          </w:p>
          <w:p>
            <w:pPr>
              <w:pStyle w:val="TableParagraph"/>
              <w:spacing w:before="35"/>
              <w:ind w:left="110"/>
              <w:jc w:val="left"/>
              <w:rPr>
                <w:sz w:val="22"/>
              </w:rPr>
            </w:pPr>
            <w:r>
              <w:rPr>
                <w:sz w:val="22"/>
              </w:rPr>
              <w:t>de l'application Barid Mob</w:t>
            </w:r>
          </w:p>
        </w:tc>
        <w:tc>
          <w:tcPr>
            <w:tcW w:w="581" w:type="dxa"/>
          </w:tcPr>
          <w:p>
            <w:pPr>
              <w:pStyle w:val="TableParagraph"/>
              <w:spacing w:before="140"/>
              <w:ind w:left="10"/>
              <w:rPr>
                <w:sz w:val="22"/>
              </w:rPr>
            </w:pPr>
            <w:r>
              <w:rPr>
                <w:w w:val="100"/>
                <w:sz w:val="22"/>
              </w:rPr>
              <w:t>1</w:t>
            </w:r>
          </w:p>
        </w:tc>
        <w:tc>
          <w:tcPr>
            <w:tcW w:w="619" w:type="dxa"/>
          </w:tcPr>
          <w:p>
            <w:pPr>
              <w:pStyle w:val="TableParagraph"/>
              <w:spacing w:before="140"/>
              <w:ind w:left="10"/>
              <w:rPr>
                <w:sz w:val="22"/>
              </w:rPr>
            </w:pPr>
            <w:r>
              <w:rPr>
                <w:w w:val="100"/>
                <w:sz w:val="22"/>
              </w:rPr>
              <w:t>5</w:t>
            </w:r>
          </w:p>
        </w:tc>
        <w:tc>
          <w:tcPr>
            <w:tcW w:w="720" w:type="dxa"/>
          </w:tcPr>
          <w:p>
            <w:pPr>
              <w:pStyle w:val="TableParagraph"/>
              <w:spacing w:before="140"/>
              <w:ind w:left="89" w:right="79"/>
              <w:rPr>
                <w:sz w:val="22"/>
              </w:rPr>
            </w:pPr>
            <w:r>
              <w:rPr>
                <w:sz w:val="22"/>
              </w:rPr>
              <w:t>3,359</w:t>
            </w:r>
          </w:p>
        </w:tc>
        <w:tc>
          <w:tcPr>
            <w:tcW w:w="820" w:type="dxa"/>
          </w:tcPr>
          <w:p>
            <w:pPr>
              <w:pStyle w:val="TableParagraph"/>
              <w:spacing w:before="140"/>
              <w:ind w:left="93" w:right="71"/>
              <w:rPr>
                <w:sz w:val="22"/>
              </w:rPr>
            </w:pPr>
            <w:r>
              <w:rPr>
                <w:sz w:val="22"/>
              </w:rPr>
              <w:t>1,0386</w:t>
            </w:r>
          </w:p>
        </w:tc>
        <w:tc>
          <w:tcPr>
            <w:tcW w:w="710" w:type="dxa"/>
          </w:tcPr>
          <w:p>
            <w:pPr>
              <w:pStyle w:val="TableParagraph"/>
              <w:spacing w:before="140"/>
              <w:ind w:left="94" w:right="71"/>
              <w:rPr>
                <w:sz w:val="22"/>
              </w:rPr>
            </w:pPr>
            <w:r>
              <w:rPr>
                <w:sz w:val="22"/>
              </w:rPr>
              <w:t>1,079</w:t>
            </w:r>
          </w:p>
        </w:tc>
        <w:tc>
          <w:tcPr>
            <w:tcW w:w="1181" w:type="dxa"/>
          </w:tcPr>
          <w:p>
            <w:pPr>
              <w:pStyle w:val="TableParagraph"/>
              <w:spacing w:before="140"/>
              <w:ind w:left="80" w:right="104"/>
              <w:rPr>
                <w:sz w:val="22"/>
              </w:rPr>
            </w:pPr>
            <w:r>
              <w:rPr>
                <w:sz w:val="22"/>
              </w:rPr>
              <w:t>Modéré</w:t>
            </w:r>
          </w:p>
        </w:tc>
      </w:tr>
      <w:tr>
        <w:trPr>
          <w:trHeight w:val="580" w:hRule="atLeast"/>
        </w:trPr>
        <w:tc>
          <w:tcPr>
            <w:tcW w:w="4960" w:type="dxa"/>
          </w:tcPr>
          <w:p>
            <w:pPr>
              <w:pStyle w:val="TableParagraph"/>
              <w:spacing w:line="249" w:lineRule="exact"/>
              <w:ind w:left="110"/>
              <w:jc w:val="left"/>
              <w:rPr>
                <w:sz w:val="22"/>
              </w:rPr>
            </w:pPr>
            <w:r>
              <w:rPr>
                <w:sz w:val="22"/>
              </w:rPr>
              <w:t>Sentez-vous en sécurité lorsque vous utilisez</w:t>
            </w:r>
          </w:p>
          <w:p>
            <w:pPr>
              <w:pStyle w:val="TableParagraph"/>
              <w:spacing w:before="40"/>
              <w:ind w:left="110"/>
              <w:jc w:val="left"/>
              <w:rPr>
                <w:sz w:val="22"/>
              </w:rPr>
            </w:pPr>
            <w:r>
              <w:rPr>
                <w:sz w:val="22"/>
              </w:rPr>
              <w:t>l'application BaridiMob ?</w:t>
            </w:r>
          </w:p>
        </w:tc>
        <w:tc>
          <w:tcPr>
            <w:tcW w:w="581" w:type="dxa"/>
          </w:tcPr>
          <w:p>
            <w:pPr>
              <w:pStyle w:val="TableParagraph"/>
              <w:spacing w:before="140"/>
              <w:ind w:left="10"/>
              <w:rPr>
                <w:sz w:val="22"/>
              </w:rPr>
            </w:pPr>
            <w:r>
              <w:rPr>
                <w:w w:val="100"/>
                <w:sz w:val="22"/>
              </w:rPr>
              <w:t>1</w:t>
            </w:r>
          </w:p>
        </w:tc>
        <w:tc>
          <w:tcPr>
            <w:tcW w:w="619" w:type="dxa"/>
          </w:tcPr>
          <w:p>
            <w:pPr>
              <w:pStyle w:val="TableParagraph"/>
              <w:spacing w:before="140"/>
              <w:ind w:left="10"/>
              <w:rPr>
                <w:sz w:val="22"/>
              </w:rPr>
            </w:pPr>
            <w:r>
              <w:rPr>
                <w:w w:val="100"/>
                <w:sz w:val="22"/>
              </w:rPr>
              <w:t>5</w:t>
            </w:r>
          </w:p>
        </w:tc>
        <w:tc>
          <w:tcPr>
            <w:tcW w:w="720" w:type="dxa"/>
          </w:tcPr>
          <w:p>
            <w:pPr>
              <w:pStyle w:val="TableParagraph"/>
              <w:spacing w:before="140"/>
              <w:ind w:left="89" w:right="79"/>
              <w:rPr>
                <w:sz w:val="22"/>
              </w:rPr>
            </w:pPr>
            <w:r>
              <w:rPr>
                <w:sz w:val="22"/>
              </w:rPr>
              <w:t>3,521</w:t>
            </w:r>
          </w:p>
        </w:tc>
        <w:tc>
          <w:tcPr>
            <w:tcW w:w="820" w:type="dxa"/>
          </w:tcPr>
          <w:p>
            <w:pPr>
              <w:pStyle w:val="TableParagraph"/>
              <w:spacing w:before="140"/>
              <w:ind w:left="93" w:right="71"/>
              <w:rPr>
                <w:sz w:val="22"/>
              </w:rPr>
            </w:pPr>
            <w:r>
              <w:rPr>
                <w:sz w:val="22"/>
              </w:rPr>
              <w:t>1,1476</w:t>
            </w:r>
          </w:p>
        </w:tc>
        <w:tc>
          <w:tcPr>
            <w:tcW w:w="710" w:type="dxa"/>
          </w:tcPr>
          <w:p>
            <w:pPr>
              <w:pStyle w:val="TableParagraph"/>
              <w:spacing w:before="140"/>
              <w:ind w:left="94" w:right="71"/>
              <w:rPr>
                <w:sz w:val="22"/>
              </w:rPr>
            </w:pPr>
            <w:r>
              <w:rPr>
                <w:sz w:val="22"/>
              </w:rPr>
              <w:t>1,317</w:t>
            </w:r>
          </w:p>
        </w:tc>
        <w:tc>
          <w:tcPr>
            <w:tcW w:w="1181" w:type="dxa"/>
          </w:tcPr>
          <w:p>
            <w:pPr>
              <w:pStyle w:val="TableParagraph"/>
              <w:spacing w:before="140"/>
              <w:ind w:left="77" w:right="104"/>
              <w:rPr>
                <w:sz w:val="22"/>
              </w:rPr>
            </w:pPr>
            <w:r>
              <w:rPr>
                <w:sz w:val="22"/>
              </w:rPr>
              <w:t>Fort</w:t>
            </w:r>
          </w:p>
        </w:tc>
      </w:tr>
      <w:tr>
        <w:trPr>
          <w:trHeight w:val="585" w:hRule="atLeast"/>
        </w:trPr>
        <w:tc>
          <w:tcPr>
            <w:tcW w:w="4960" w:type="dxa"/>
          </w:tcPr>
          <w:p>
            <w:pPr>
              <w:pStyle w:val="TableParagraph"/>
              <w:spacing w:line="250" w:lineRule="exact"/>
              <w:ind w:left="221"/>
              <w:jc w:val="left"/>
              <w:rPr>
                <w:sz w:val="22"/>
              </w:rPr>
            </w:pPr>
            <w:r>
              <w:rPr>
                <w:sz w:val="22"/>
              </w:rPr>
              <w:t>Si vous aviez des doutes sur la sécurité de vos</w:t>
            </w:r>
          </w:p>
          <w:p>
            <w:pPr>
              <w:pStyle w:val="TableParagraph"/>
              <w:spacing w:before="40"/>
              <w:ind w:left="110"/>
              <w:jc w:val="left"/>
              <w:rPr>
                <w:sz w:val="22"/>
              </w:rPr>
            </w:pPr>
            <w:r>
              <w:rPr>
                <w:sz w:val="22"/>
              </w:rPr>
              <w:t>données, que feriez-vous ?</w:t>
            </w:r>
          </w:p>
        </w:tc>
        <w:tc>
          <w:tcPr>
            <w:tcW w:w="581" w:type="dxa"/>
          </w:tcPr>
          <w:p>
            <w:pPr>
              <w:pStyle w:val="TableParagraph"/>
              <w:spacing w:before="145"/>
              <w:ind w:left="10"/>
              <w:rPr>
                <w:sz w:val="22"/>
              </w:rPr>
            </w:pPr>
            <w:r>
              <w:rPr>
                <w:w w:val="100"/>
                <w:sz w:val="22"/>
              </w:rPr>
              <w:t>1</w:t>
            </w:r>
          </w:p>
        </w:tc>
        <w:tc>
          <w:tcPr>
            <w:tcW w:w="619" w:type="dxa"/>
          </w:tcPr>
          <w:p>
            <w:pPr>
              <w:pStyle w:val="TableParagraph"/>
              <w:spacing w:before="145"/>
              <w:ind w:left="10"/>
              <w:rPr>
                <w:sz w:val="22"/>
              </w:rPr>
            </w:pPr>
            <w:r>
              <w:rPr>
                <w:w w:val="100"/>
                <w:sz w:val="22"/>
              </w:rPr>
              <w:t>5</w:t>
            </w:r>
          </w:p>
        </w:tc>
        <w:tc>
          <w:tcPr>
            <w:tcW w:w="720" w:type="dxa"/>
          </w:tcPr>
          <w:p>
            <w:pPr>
              <w:pStyle w:val="TableParagraph"/>
              <w:spacing w:before="145"/>
              <w:ind w:left="89" w:right="74"/>
              <w:rPr>
                <w:sz w:val="22"/>
              </w:rPr>
            </w:pPr>
            <w:r>
              <w:rPr>
                <w:sz w:val="22"/>
              </w:rPr>
              <w:t>2,72</w:t>
            </w:r>
          </w:p>
        </w:tc>
        <w:tc>
          <w:tcPr>
            <w:tcW w:w="820" w:type="dxa"/>
          </w:tcPr>
          <w:p>
            <w:pPr>
              <w:pStyle w:val="TableParagraph"/>
              <w:spacing w:before="145"/>
              <w:ind w:left="88" w:right="71"/>
              <w:rPr>
                <w:sz w:val="22"/>
              </w:rPr>
            </w:pPr>
            <w:r>
              <w:rPr>
                <w:sz w:val="22"/>
              </w:rPr>
              <w:t>1,279</w:t>
            </w:r>
          </w:p>
        </w:tc>
        <w:tc>
          <w:tcPr>
            <w:tcW w:w="710" w:type="dxa"/>
          </w:tcPr>
          <w:p>
            <w:pPr>
              <w:pStyle w:val="TableParagraph"/>
              <w:spacing w:before="145"/>
              <w:ind w:left="94" w:right="71"/>
              <w:rPr>
                <w:sz w:val="22"/>
              </w:rPr>
            </w:pPr>
            <w:r>
              <w:rPr>
                <w:sz w:val="22"/>
              </w:rPr>
              <w:t>1,635</w:t>
            </w:r>
          </w:p>
        </w:tc>
        <w:tc>
          <w:tcPr>
            <w:tcW w:w="1181" w:type="dxa"/>
          </w:tcPr>
          <w:p>
            <w:pPr>
              <w:pStyle w:val="TableParagraph"/>
              <w:spacing w:before="145"/>
              <w:ind w:left="80" w:right="104"/>
              <w:rPr>
                <w:sz w:val="22"/>
              </w:rPr>
            </w:pPr>
            <w:r>
              <w:rPr>
                <w:sz w:val="22"/>
              </w:rPr>
              <w:t>Modéré</w:t>
            </w:r>
          </w:p>
        </w:tc>
      </w:tr>
      <w:tr>
        <w:trPr>
          <w:trHeight w:val="868" w:hRule="atLeast"/>
        </w:trPr>
        <w:tc>
          <w:tcPr>
            <w:tcW w:w="4960" w:type="dxa"/>
          </w:tcPr>
          <w:p>
            <w:pPr>
              <w:pStyle w:val="TableParagraph"/>
              <w:spacing w:line="273" w:lineRule="auto"/>
              <w:ind w:left="110" w:right="172"/>
              <w:jc w:val="left"/>
              <w:rPr>
                <w:sz w:val="22"/>
              </w:rPr>
            </w:pPr>
            <w:r>
              <w:rPr>
                <w:sz w:val="22"/>
              </w:rPr>
              <w:t>Avez-vous déjà été victime d’un problème de sécurité (piratage, fraude, vol de données) sur</w:t>
            </w:r>
          </w:p>
          <w:p>
            <w:pPr>
              <w:pStyle w:val="TableParagraph"/>
              <w:ind w:left="110"/>
              <w:jc w:val="left"/>
              <w:rPr>
                <w:sz w:val="22"/>
              </w:rPr>
            </w:pPr>
            <w:r>
              <w:rPr>
                <w:sz w:val="22"/>
              </w:rPr>
              <w:t>BaridiMob ?</w:t>
            </w:r>
          </w:p>
        </w:tc>
        <w:tc>
          <w:tcPr>
            <w:tcW w:w="581" w:type="dxa"/>
          </w:tcPr>
          <w:p>
            <w:pPr>
              <w:pStyle w:val="TableParagraph"/>
              <w:spacing w:before="8"/>
              <w:jc w:val="left"/>
              <w:rPr>
                <w:sz w:val="24"/>
              </w:rPr>
            </w:pPr>
          </w:p>
          <w:p>
            <w:pPr>
              <w:pStyle w:val="TableParagraph"/>
              <w:ind w:left="10"/>
              <w:rPr>
                <w:sz w:val="22"/>
              </w:rPr>
            </w:pPr>
            <w:r>
              <w:rPr>
                <w:w w:val="100"/>
                <w:sz w:val="22"/>
              </w:rPr>
              <w:t>1</w:t>
            </w:r>
          </w:p>
        </w:tc>
        <w:tc>
          <w:tcPr>
            <w:tcW w:w="619" w:type="dxa"/>
          </w:tcPr>
          <w:p>
            <w:pPr>
              <w:pStyle w:val="TableParagraph"/>
              <w:spacing w:before="8"/>
              <w:jc w:val="left"/>
              <w:rPr>
                <w:sz w:val="24"/>
              </w:rPr>
            </w:pPr>
          </w:p>
          <w:p>
            <w:pPr>
              <w:pStyle w:val="TableParagraph"/>
              <w:ind w:left="10"/>
              <w:rPr>
                <w:sz w:val="22"/>
              </w:rPr>
            </w:pPr>
            <w:r>
              <w:rPr>
                <w:w w:val="100"/>
                <w:sz w:val="22"/>
              </w:rPr>
              <w:t>2</w:t>
            </w:r>
          </w:p>
        </w:tc>
        <w:tc>
          <w:tcPr>
            <w:tcW w:w="720" w:type="dxa"/>
          </w:tcPr>
          <w:p>
            <w:pPr>
              <w:pStyle w:val="TableParagraph"/>
              <w:spacing w:before="8"/>
              <w:jc w:val="left"/>
              <w:rPr>
                <w:sz w:val="24"/>
              </w:rPr>
            </w:pPr>
          </w:p>
          <w:p>
            <w:pPr>
              <w:pStyle w:val="TableParagraph"/>
              <w:ind w:left="89" w:right="74"/>
              <w:rPr>
                <w:sz w:val="22"/>
              </w:rPr>
            </w:pPr>
            <w:r>
              <w:rPr>
                <w:sz w:val="22"/>
              </w:rPr>
              <w:t>1,04</w:t>
            </w:r>
          </w:p>
        </w:tc>
        <w:tc>
          <w:tcPr>
            <w:tcW w:w="820" w:type="dxa"/>
          </w:tcPr>
          <w:p>
            <w:pPr>
              <w:pStyle w:val="TableParagraph"/>
              <w:spacing w:before="8"/>
              <w:jc w:val="left"/>
              <w:rPr>
                <w:sz w:val="24"/>
              </w:rPr>
            </w:pPr>
          </w:p>
          <w:p>
            <w:pPr>
              <w:pStyle w:val="TableParagraph"/>
              <w:ind w:left="88" w:right="71"/>
              <w:rPr>
                <w:sz w:val="22"/>
              </w:rPr>
            </w:pPr>
            <w:r>
              <w:rPr>
                <w:sz w:val="22"/>
              </w:rPr>
              <w:t>0,202</w:t>
            </w:r>
          </w:p>
        </w:tc>
        <w:tc>
          <w:tcPr>
            <w:tcW w:w="710" w:type="dxa"/>
          </w:tcPr>
          <w:p>
            <w:pPr>
              <w:pStyle w:val="TableParagraph"/>
              <w:spacing w:before="8"/>
              <w:jc w:val="left"/>
              <w:rPr>
                <w:sz w:val="24"/>
              </w:rPr>
            </w:pPr>
          </w:p>
          <w:p>
            <w:pPr>
              <w:pStyle w:val="TableParagraph"/>
              <w:ind w:left="94" w:right="71"/>
              <w:rPr>
                <w:sz w:val="22"/>
              </w:rPr>
            </w:pPr>
            <w:r>
              <w:rPr>
                <w:sz w:val="22"/>
              </w:rPr>
              <w:t>0,041</w:t>
            </w:r>
          </w:p>
        </w:tc>
        <w:tc>
          <w:tcPr>
            <w:tcW w:w="1181" w:type="dxa"/>
          </w:tcPr>
          <w:p>
            <w:pPr>
              <w:pStyle w:val="TableParagraph"/>
              <w:spacing w:before="8"/>
              <w:jc w:val="left"/>
              <w:rPr>
                <w:sz w:val="24"/>
              </w:rPr>
            </w:pPr>
          </w:p>
          <w:p>
            <w:pPr>
              <w:pStyle w:val="TableParagraph"/>
              <w:ind w:left="80" w:right="104"/>
              <w:rPr>
                <w:sz w:val="22"/>
              </w:rPr>
            </w:pPr>
            <w:r>
              <w:rPr>
                <w:sz w:val="22"/>
              </w:rPr>
              <w:t>Très faible</w:t>
            </w:r>
          </w:p>
        </w:tc>
      </w:tr>
      <w:tr>
        <w:trPr>
          <w:trHeight w:val="873" w:hRule="atLeast"/>
        </w:trPr>
        <w:tc>
          <w:tcPr>
            <w:tcW w:w="4960" w:type="dxa"/>
          </w:tcPr>
          <w:p>
            <w:pPr>
              <w:pStyle w:val="TableParagraph"/>
              <w:spacing w:line="273" w:lineRule="auto" w:before="1"/>
              <w:ind w:left="110" w:right="172"/>
              <w:jc w:val="left"/>
              <w:rPr>
                <w:sz w:val="22"/>
              </w:rPr>
            </w:pPr>
            <w:r>
              <w:rPr>
                <w:sz w:val="22"/>
              </w:rPr>
              <w:t>Si vous considérez que BaridMob n’est pas sécurisé, seriez-vous prêt(e) à utiliser une autre solution de</w:t>
            </w:r>
          </w:p>
          <w:p>
            <w:pPr>
              <w:pStyle w:val="TableParagraph"/>
              <w:spacing w:before="4"/>
              <w:ind w:left="110"/>
              <w:jc w:val="left"/>
              <w:rPr>
                <w:sz w:val="22"/>
              </w:rPr>
            </w:pPr>
            <w:r>
              <w:rPr>
                <w:sz w:val="22"/>
              </w:rPr>
              <w:t>paiement ?</w:t>
            </w:r>
          </w:p>
        </w:tc>
        <w:tc>
          <w:tcPr>
            <w:tcW w:w="581" w:type="dxa"/>
          </w:tcPr>
          <w:p>
            <w:pPr>
              <w:pStyle w:val="TableParagraph"/>
              <w:spacing w:before="1"/>
              <w:jc w:val="left"/>
              <w:rPr>
                <w:sz w:val="25"/>
              </w:rPr>
            </w:pPr>
          </w:p>
          <w:p>
            <w:pPr>
              <w:pStyle w:val="TableParagraph"/>
              <w:ind w:left="10"/>
              <w:rPr>
                <w:sz w:val="22"/>
              </w:rPr>
            </w:pPr>
            <w:r>
              <w:rPr>
                <w:w w:val="100"/>
                <w:sz w:val="22"/>
              </w:rPr>
              <w:t>1</w:t>
            </w:r>
          </w:p>
        </w:tc>
        <w:tc>
          <w:tcPr>
            <w:tcW w:w="619" w:type="dxa"/>
          </w:tcPr>
          <w:p>
            <w:pPr>
              <w:pStyle w:val="TableParagraph"/>
              <w:spacing w:before="1"/>
              <w:jc w:val="left"/>
              <w:rPr>
                <w:sz w:val="25"/>
              </w:rPr>
            </w:pPr>
          </w:p>
          <w:p>
            <w:pPr>
              <w:pStyle w:val="TableParagraph"/>
              <w:ind w:left="10"/>
              <w:rPr>
                <w:sz w:val="22"/>
              </w:rPr>
            </w:pPr>
            <w:r>
              <w:rPr>
                <w:w w:val="100"/>
                <w:sz w:val="22"/>
              </w:rPr>
              <w:t>3</w:t>
            </w:r>
          </w:p>
        </w:tc>
        <w:tc>
          <w:tcPr>
            <w:tcW w:w="720" w:type="dxa"/>
          </w:tcPr>
          <w:p>
            <w:pPr>
              <w:pStyle w:val="TableParagraph"/>
              <w:spacing w:before="1"/>
              <w:jc w:val="left"/>
              <w:rPr>
                <w:sz w:val="25"/>
              </w:rPr>
            </w:pPr>
          </w:p>
          <w:p>
            <w:pPr>
              <w:pStyle w:val="TableParagraph"/>
              <w:ind w:left="89" w:right="79"/>
              <w:rPr>
                <w:sz w:val="22"/>
              </w:rPr>
            </w:pPr>
            <w:r>
              <w:rPr>
                <w:sz w:val="22"/>
              </w:rPr>
              <w:t>1,6</w:t>
            </w:r>
          </w:p>
        </w:tc>
        <w:tc>
          <w:tcPr>
            <w:tcW w:w="820" w:type="dxa"/>
          </w:tcPr>
          <w:p>
            <w:pPr>
              <w:pStyle w:val="TableParagraph"/>
              <w:spacing w:before="1"/>
              <w:jc w:val="left"/>
              <w:rPr>
                <w:sz w:val="25"/>
              </w:rPr>
            </w:pPr>
          </w:p>
          <w:p>
            <w:pPr>
              <w:pStyle w:val="TableParagraph"/>
              <w:ind w:left="93" w:right="71"/>
              <w:rPr>
                <w:sz w:val="22"/>
              </w:rPr>
            </w:pPr>
            <w:r>
              <w:rPr>
                <w:sz w:val="22"/>
              </w:rPr>
              <w:t>0,58</w:t>
            </w:r>
          </w:p>
        </w:tc>
        <w:tc>
          <w:tcPr>
            <w:tcW w:w="710" w:type="dxa"/>
          </w:tcPr>
          <w:p>
            <w:pPr>
              <w:pStyle w:val="TableParagraph"/>
              <w:spacing w:before="1"/>
              <w:jc w:val="left"/>
              <w:rPr>
                <w:sz w:val="25"/>
              </w:rPr>
            </w:pPr>
          </w:p>
          <w:p>
            <w:pPr>
              <w:pStyle w:val="TableParagraph"/>
              <w:ind w:left="94" w:right="71"/>
              <w:rPr>
                <w:sz w:val="22"/>
              </w:rPr>
            </w:pPr>
            <w:r>
              <w:rPr>
                <w:sz w:val="22"/>
              </w:rPr>
              <w:t>0,336</w:t>
            </w:r>
          </w:p>
        </w:tc>
        <w:tc>
          <w:tcPr>
            <w:tcW w:w="1181" w:type="dxa"/>
          </w:tcPr>
          <w:p>
            <w:pPr>
              <w:pStyle w:val="TableParagraph"/>
              <w:spacing w:before="1"/>
              <w:jc w:val="left"/>
              <w:rPr>
                <w:sz w:val="25"/>
              </w:rPr>
            </w:pPr>
          </w:p>
          <w:p>
            <w:pPr>
              <w:pStyle w:val="TableParagraph"/>
              <w:ind w:left="80" w:right="104"/>
              <w:rPr>
                <w:sz w:val="22"/>
              </w:rPr>
            </w:pPr>
            <w:r>
              <w:rPr>
                <w:sz w:val="22"/>
              </w:rPr>
              <w:t>Très faible</w:t>
            </w:r>
          </w:p>
        </w:tc>
      </w:tr>
      <w:tr>
        <w:trPr>
          <w:trHeight w:val="585" w:hRule="atLeast"/>
        </w:trPr>
        <w:tc>
          <w:tcPr>
            <w:tcW w:w="4960" w:type="dxa"/>
          </w:tcPr>
          <w:p>
            <w:pPr>
              <w:pStyle w:val="TableParagraph"/>
              <w:spacing w:line="249" w:lineRule="exact"/>
              <w:ind w:left="110"/>
              <w:jc w:val="left"/>
              <w:rPr>
                <w:sz w:val="22"/>
              </w:rPr>
            </w:pPr>
            <w:r>
              <w:rPr>
                <w:sz w:val="22"/>
              </w:rPr>
              <w:t>Lorsque vous rencontrez un problème technique,</w:t>
            </w:r>
          </w:p>
          <w:p>
            <w:pPr>
              <w:pStyle w:val="TableParagraph"/>
              <w:spacing w:before="40"/>
              <w:ind w:left="110"/>
              <w:jc w:val="left"/>
              <w:rPr>
                <w:sz w:val="22"/>
              </w:rPr>
            </w:pPr>
            <w:r>
              <w:rPr>
                <w:sz w:val="22"/>
              </w:rPr>
              <w:t>comment réagissez-vous ?</w:t>
            </w:r>
          </w:p>
        </w:tc>
        <w:tc>
          <w:tcPr>
            <w:tcW w:w="581" w:type="dxa"/>
          </w:tcPr>
          <w:p>
            <w:pPr>
              <w:pStyle w:val="TableParagraph"/>
              <w:spacing w:before="145"/>
              <w:ind w:left="10"/>
              <w:rPr>
                <w:sz w:val="22"/>
              </w:rPr>
            </w:pPr>
            <w:r>
              <w:rPr>
                <w:w w:val="100"/>
                <w:sz w:val="22"/>
              </w:rPr>
              <w:t>1</w:t>
            </w:r>
          </w:p>
        </w:tc>
        <w:tc>
          <w:tcPr>
            <w:tcW w:w="619" w:type="dxa"/>
          </w:tcPr>
          <w:p>
            <w:pPr>
              <w:pStyle w:val="TableParagraph"/>
              <w:spacing w:before="145"/>
              <w:ind w:left="10"/>
              <w:rPr>
                <w:sz w:val="22"/>
              </w:rPr>
            </w:pPr>
            <w:r>
              <w:rPr>
                <w:w w:val="100"/>
                <w:sz w:val="22"/>
              </w:rPr>
              <w:t>4</w:t>
            </w:r>
          </w:p>
        </w:tc>
        <w:tc>
          <w:tcPr>
            <w:tcW w:w="720" w:type="dxa"/>
          </w:tcPr>
          <w:p>
            <w:pPr>
              <w:pStyle w:val="TableParagraph"/>
              <w:spacing w:before="145"/>
              <w:ind w:left="89" w:right="74"/>
              <w:rPr>
                <w:sz w:val="22"/>
              </w:rPr>
            </w:pPr>
            <w:r>
              <w:rPr>
                <w:sz w:val="22"/>
              </w:rPr>
              <w:t>1,78</w:t>
            </w:r>
          </w:p>
        </w:tc>
        <w:tc>
          <w:tcPr>
            <w:tcW w:w="820" w:type="dxa"/>
          </w:tcPr>
          <w:p>
            <w:pPr>
              <w:pStyle w:val="TableParagraph"/>
              <w:spacing w:before="145"/>
              <w:ind w:left="88" w:right="71"/>
              <w:rPr>
                <w:sz w:val="22"/>
              </w:rPr>
            </w:pPr>
            <w:r>
              <w:rPr>
                <w:sz w:val="22"/>
              </w:rPr>
              <w:t>0,765</w:t>
            </w:r>
          </w:p>
        </w:tc>
        <w:tc>
          <w:tcPr>
            <w:tcW w:w="710" w:type="dxa"/>
          </w:tcPr>
          <w:p>
            <w:pPr>
              <w:pStyle w:val="TableParagraph"/>
              <w:spacing w:before="145"/>
              <w:ind w:left="94" w:right="71"/>
              <w:rPr>
                <w:sz w:val="22"/>
              </w:rPr>
            </w:pPr>
            <w:r>
              <w:rPr>
                <w:sz w:val="22"/>
              </w:rPr>
              <w:t>0,585</w:t>
            </w:r>
          </w:p>
        </w:tc>
        <w:tc>
          <w:tcPr>
            <w:tcW w:w="1181" w:type="dxa"/>
          </w:tcPr>
          <w:p>
            <w:pPr>
              <w:pStyle w:val="TableParagraph"/>
              <w:spacing w:before="145"/>
              <w:ind w:left="80" w:right="104"/>
              <w:rPr>
                <w:sz w:val="22"/>
              </w:rPr>
            </w:pPr>
            <w:r>
              <w:rPr>
                <w:sz w:val="22"/>
              </w:rPr>
              <w:t>Très faible</w:t>
            </w:r>
          </w:p>
        </w:tc>
      </w:tr>
      <w:tr>
        <w:trPr>
          <w:trHeight w:val="580" w:hRule="atLeast"/>
        </w:trPr>
        <w:tc>
          <w:tcPr>
            <w:tcW w:w="4960" w:type="dxa"/>
          </w:tcPr>
          <w:p>
            <w:pPr>
              <w:pStyle w:val="TableParagraph"/>
              <w:spacing w:line="249" w:lineRule="exact"/>
              <w:ind w:left="110"/>
              <w:jc w:val="left"/>
              <w:rPr>
                <w:sz w:val="22"/>
              </w:rPr>
            </w:pPr>
            <w:r>
              <w:rPr>
                <w:sz w:val="22"/>
              </w:rPr>
              <w:t>À quel point ces bugs influencent-ils votre utilisation</w:t>
            </w:r>
          </w:p>
          <w:p>
            <w:pPr>
              <w:pStyle w:val="TableParagraph"/>
              <w:spacing w:before="35"/>
              <w:ind w:left="110"/>
              <w:jc w:val="left"/>
              <w:rPr>
                <w:sz w:val="22"/>
              </w:rPr>
            </w:pPr>
            <w:r>
              <w:rPr>
                <w:sz w:val="22"/>
              </w:rPr>
              <w:t>de BaridiMob ?</w:t>
            </w:r>
          </w:p>
        </w:tc>
        <w:tc>
          <w:tcPr>
            <w:tcW w:w="581" w:type="dxa"/>
          </w:tcPr>
          <w:p>
            <w:pPr>
              <w:pStyle w:val="TableParagraph"/>
              <w:spacing w:before="140"/>
              <w:ind w:left="10"/>
              <w:rPr>
                <w:sz w:val="22"/>
              </w:rPr>
            </w:pPr>
            <w:r>
              <w:rPr>
                <w:w w:val="100"/>
                <w:sz w:val="22"/>
              </w:rPr>
              <w:t>1</w:t>
            </w:r>
          </w:p>
        </w:tc>
        <w:tc>
          <w:tcPr>
            <w:tcW w:w="619" w:type="dxa"/>
          </w:tcPr>
          <w:p>
            <w:pPr>
              <w:pStyle w:val="TableParagraph"/>
              <w:spacing w:before="140"/>
              <w:ind w:left="10"/>
              <w:rPr>
                <w:sz w:val="22"/>
              </w:rPr>
            </w:pPr>
            <w:r>
              <w:rPr>
                <w:w w:val="100"/>
                <w:sz w:val="22"/>
              </w:rPr>
              <w:t>4</w:t>
            </w:r>
          </w:p>
        </w:tc>
        <w:tc>
          <w:tcPr>
            <w:tcW w:w="720" w:type="dxa"/>
          </w:tcPr>
          <w:p>
            <w:pPr>
              <w:pStyle w:val="TableParagraph"/>
              <w:spacing w:before="140"/>
              <w:ind w:left="89" w:right="74"/>
              <w:rPr>
                <w:sz w:val="22"/>
              </w:rPr>
            </w:pPr>
            <w:r>
              <w:rPr>
                <w:sz w:val="22"/>
              </w:rPr>
              <w:t>2,29</w:t>
            </w:r>
          </w:p>
        </w:tc>
        <w:tc>
          <w:tcPr>
            <w:tcW w:w="820" w:type="dxa"/>
          </w:tcPr>
          <w:p>
            <w:pPr>
              <w:pStyle w:val="TableParagraph"/>
              <w:spacing w:before="140"/>
              <w:ind w:left="88" w:right="71"/>
              <w:rPr>
                <w:sz w:val="22"/>
              </w:rPr>
            </w:pPr>
            <w:r>
              <w:rPr>
                <w:sz w:val="22"/>
              </w:rPr>
              <w:t>0,607</w:t>
            </w:r>
          </w:p>
        </w:tc>
        <w:tc>
          <w:tcPr>
            <w:tcW w:w="710" w:type="dxa"/>
          </w:tcPr>
          <w:p>
            <w:pPr>
              <w:pStyle w:val="TableParagraph"/>
              <w:spacing w:before="140"/>
              <w:ind w:left="94" w:right="71"/>
              <w:rPr>
                <w:sz w:val="22"/>
              </w:rPr>
            </w:pPr>
            <w:r>
              <w:rPr>
                <w:sz w:val="22"/>
              </w:rPr>
              <w:t>0,368</w:t>
            </w:r>
          </w:p>
        </w:tc>
        <w:tc>
          <w:tcPr>
            <w:tcW w:w="1181" w:type="dxa"/>
          </w:tcPr>
          <w:p>
            <w:pPr>
              <w:pStyle w:val="TableParagraph"/>
              <w:spacing w:before="140"/>
              <w:ind w:left="80" w:right="104"/>
              <w:rPr>
                <w:sz w:val="22"/>
              </w:rPr>
            </w:pPr>
            <w:r>
              <w:rPr>
                <w:sz w:val="22"/>
              </w:rPr>
              <w:t>Faible</w:t>
            </w:r>
          </w:p>
        </w:tc>
      </w:tr>
      <w:tr>
        <w:trPr>
          <w:trHeight w:val="580" w:hRule="atLeast"/>
        </w:trPr>
        <w:tc>
          <w:tcPr>
            <w:tcW w:w="4960" w:type="dxa"/>
          </w:tcPr>
          <w:p>
            <w:pPr>
              <w:pStyle w:val="TableParagraph"/>
              <w:spacing w:line="249" w:lineRule="exact"/>
              <w:ind w:left="110"/>
              <w:jc w:val="left"/>
              <w:rPr>
                <w:sz w:val="22"/>
              </w:rPr>
            </w:pPr>
            <w:r>
              <w:rPr>
                <w:sz w:val="22"/>
              </w:rPr>
              <w:t>Avez-vous déjà rencontré des indisponibilités de</w:t>
            </w:r>
          </w:p>
          <w:p>
            <w:pPr>
              <w:pStyle w:val="TableParagraph"/>
              <w:spacing w:before="40"/>
              <w:ind w:left="110"/>
              <w:jc w:val="left"/>
              <w:rPr>
                <w:sz w:val="22"/>
              </w:rPr>
            </w:pPr>
            <w:r>
              <w:rPr>
                <w:sz w:val="22"/>
              </w:rPr>
              <w:t>BaridiMob à certaines heures ?</w:t>
            </w:r>
          </w:p>
        </w:tc>
        <w:tc>
          <w:tcPr>
            <w:tcW w:w="581" w:type="dxa"/>
          </w:tcPr>
          <w:p>
            <w:pPr>
              <w:pStyle w:val="TableParagraph"/>
              <w:spacing w:before="140"/>
              <w:ind w:left="10"/>
              <w:rPr>
                <w:sz w:val="22"/>
              </w:rPr>
            </w:pPr>
            <w:r>
              <w:rPr>
                <w:w w:val="100"/>
                <w:sz w:val="22"/>
              </w:rPr>
              <w:t>1</w:t>
            </w:r>
          </w:p>
        </w:tc>
        <w:tc>
          <w:tcPr>
            <w:tcW w:w="619" w:type="dxa"/>
          </w:tcPr>
          <w:p>
            <w:pPr>
              <w:pStyle w:val="TableParagraph"/>
              <w:spacing w:before="140"/>
              <w:ind w:left="10"/>
              <w:rPr>
                <w:sz w:val="22"/>
              </w:rPr>
            </w:pPr>
            <w:r>
              <w:rPr>
                <w:w w:val="100"/>
                <w:sz w:val="22"/>
              </w:rPr>
              <w:t>3</w:t>
            </w:r>
          </w:p>
        </w:tc>
        <w:tc>
          <w:tcPr>
            <w:tcW w:w="720" w:type="dxa"/>
          </w:tcPr>
          <w:p>
            <w:pPr>
              <w:pStyle w:val="TableParagraph"/>
              <w:spacing w:before="140"/>
              <w:ind w:left="89" w:right="74"/>
              <w:rPr>
                <w:sz w:val="22"/>
              </w:rPr>
            </w:pPr>
            <w:r>
              <w:rPr>
                <w:sz w:val="22"/>
              </w:rPr>
              <w:t>1,88</w:t>
            </w:r>
          </w:p>
        </w:tc>
        <w:tc>
          <w:tcPr>
            <w:tcW w:w="820" w:type="dxa"/>
          </w:tcPr>
          <w:p>
            <w:pPr>
              <w:pStyle w:val="TableParagraph"/>
              <w:spacing w:before="140"/>
              <w:ind w:left="88" w:right="71"/>
              <w:rPr>
                <w:sz w:val="22"/>
              </w:rPr>
            </w:pPr>
            <w:r>
              <w:rPr>
                <w:sz w:val="22"/>
              </w:rPr>
              <w:t>0,636</w:t>
            </w:r>
          </w:p>
        </w:tc>
        <w:tc>
          <w:tcPr>
            <w:tcW w:w="710" w:type="dxa"/>
          </w:tcPr>
          <w:p>
            <w:pPr>
              <w:pStyle w:val="TableParagraph"/>
              <w:spacing w:before="140"/>
              <w:ind w:left="94" w:right="71"/>
              <w:rPr>
                <w:sz w:val="22"/>
              </w:rPr>
            </w:pPr>
            <w:r>
              <w:rPr>
                <w:sz w:val="22"/>
              </w:rPr>
              <w:t>0,404</w:t>
            </w:r>
          </w:p>
        </w:tc>
        <w:tc>
          <w:tcPr>
            <w:tcW w:w="1181" w:type="dxa"/>
          </w:tcPr>
          <w:p>
            <w:pPr>
              <w:pStyle w:val="TableParagraph"/>
              <w:spacing w:before="140"/>
              <w:ind w:left="80" w:right="104"/>
              <w:rPr>
                <w:sz w:val="22"/>
              </w:rPr>
            </w:pPr>
            <w:r>
              <w:rPr>
                <w:sz w:val="22"/>
              </w:rPr>
              <w:t>Faible</w:t>
            </w:r>
          </w:p>
        </w:tc>
      </w:tr>
      <w:tr>
        <w:trPr>
          <w:trHeight w:val="585" w:hRule="atLeast"/>
        </w:trPr>
        <w:tc>
          <w:tcPr>
            <w:tcW w:w="4960" w:type="dxa"/>
          </w:tcPr>
          <w:p>
            <w:pPr>
              <w:pStyle w:val="TableParagraph"/>
              <w:spacing w:line="249" w:lineRule="exact"/>
              <w:ind w:left="225"/>
              <w:jc w:val="left"/>
              <w:rPr>
                <w:sz w:val="22"/>
              </w:rPr>
            </w:pPr>
            <w:r>
              <w:rPr>
                <w:sz w:val="22"/>
              </w:rPr>
              <w:t>Lorsque le service est indisponible, quelle est votre</w:t>
            </w:r>
          </w:p>
          <w:p>
            <w:pPr>
              <w:pStyle w:val="TableParagraph"/>
              <w:spacing w:before="40"/>
              <w:ind w:left="110"/>
              <w:jc w:val="left"/>
              <w:rPr>
                <w:sz w:val="22"/>
              </w:rPr>
            </w:pPr>
            <w:r>
              <w:rPr>
                <w:sz w:val="22"/>
              </w:rPr>
              <w:t>principale réaction ?</w:t>
            </w:r>
          </w:p>
        </w:tc>
        <w:tc>
          <w:tcPr>
            <w:tcW w:w="581" w:type="dxa"/>
          </w:tcPr>
          <w:p>
            <w:pPr>
              <w:pStyle w:val="TableParagraph"/>
              <w:spacing w:before="145"/>
              <w:ind w:left="10"/>
              <w:rPr>
                <w:sz w:val="22"/>
              </w:rPr>
            </w:pPr>
            <w:r>
              <w:rPr>
                <w:w w:val="100"/>
                <w:sz w:val="22"/>
              </w:rPr>
              <w:t>1</w:t>
            </w:r>
          </w:p>
        </w:tc>
        <w:tc>
          <w:tcPr>
            <w:tcW w:w="619" w:type="dxa"/>
          </w:tcPr>
          <w:p>
            <w:pPr>
              <w:pStyle w:val="TableParagraph"/>
              <w:spacing w:before="145"/>
              <w:ind w:left="10"/>
              <w:rPr>
                <w:sz w:val="22"/>
              </w:rPr>
            </w:pPr>
            <w:r>
              <w:rPr>
                <w:w w:val="100"/>
                <w:sz w:val="22"/>
              </w:rPr>
              <w:t>3</w:t>
            </w:r>
          </w:p>
        </w:tc>
        <w:tc>
          <w:tcPr>
            <w:tcW w:w="720" w:type="dxa"/>
          </w:tcPr>
          <w:p>
            <w:pPr>
              <w:pStyle w:val="TableParagraph"/>
              <w:spacing w:before="145"/>
              <w:ind w:left="89" w:right="74"/>
              <w:rPr>
                <w:sz w:val="22"/>
              </w:rPr>
            </w:pPr>
            <w:r>
              <w:rPr>
                <w:sz w:val="22"/>
              </w:rPr>
              <w:t>1,35</w:t>
            </w:r>
          </w:p>
        </w:tc>
        <w:tc>
          <w:tcPr>
            <w:tcW w:w="820" w:type="dxa"/>
          </w:tcPr>
          <w:p>
            <w:pPr>
              <w:pStyle w:val="TableParagraph"/>
              <w:spacing w:before="145"/>
              <w:ind w:left="88" w:right="71"/>
              <w:rPr>
                <w:sz w:val="22"/>
              </w:rPr>
            </w:pPr>
            <w:r>
              <w:rPr>
                <w:sz w:val="22"/>
              </w:rPr>
              <w:t>0,504</w:t>
            </w:r>
          </w:p>
        </w:tc>
        <w:tc>
          <w:tcPr>
            <w:tcW w:w="710" w:type="dxa"/>
          </w:tcPr>
          <w:p>
            <w:pPr>
              <w:pStyle w:val="TableParagraph"/>
              <w:spacing w:before="145"/>
              <w:ind w:left="94" w:right="71"/>
              <w:rPr>
                <w:sz w:val="22"/>
              </w:rPr>
            </w:pPr>
            <w:r>
              <w:rPr>
                <w:sz w:val="22"/>
              </w:rPr>
              <w:t>0,254</w:t>
            </w:r>
          </w:p>
        </w:tc>
        <w:tc>
          <w:tcPr>
            <w:tcW w:w="1181" w:type="dxa"/>
          </w:tcPr>
          <w:p>
            <w:pPr>
              <w:pStyle w:val="TableParagraph"/>
              <w:spacing w:before="145"/>
              <w:ind w:left="80" w:right="104"/>
              <w:rPr>
                <w:sz w:val="22"/>
              </w:rPr>
            </w:pPr>
            <w:r>
              <w:rPr>
                <w:sz w:val="22"/>
              </w:rPr>
              <w:t>Très faible</w:t>
            </w:r>
          </w:p>
        </w:tc>
      </w:tr>
      <w:tr>
        <w:trPr>
          <w:trHeight w:val="581" w:hRule="atLeast"/>
        </w:trPr>
        <w:tc>
          <w:tcPr>
            <w:tcW w:w="4960" w:type="dxa"/>
          </w:tcPr>
          <w:p>
            <w:pPr>
              <w:pStyle w:val="TableParagraph"/>
              <w:spacing w:line="249" w:lineRule="exact"/>
              <w:ind w:left="225"/>
              <w:jc w:val="left"/>
              <w:rPr>
                <w:sz w:val="22"/>
              </w:rPr>
            </w:pPr>
            <w:r>
              <w:rPr>
                <w:sz w:val="22"/>
              </w:rPr>
              <w:t>L’indisponibilité du service affecte-t-elle votre</w:t>
            </w:r>
          </w:p>
          <w:p>
            <w:pPr>
              <w:pStyle w:val="TableParagraph"/>
              <w:spacing w:before="35"/>
              <w:ind w:left="110"/>
              <w:jc w:val="left"/>
              <w:rPr>
                <w:sz w:val="22"/>
              </w:rPr>
            </w:pPr>
            <w:r>
              <w:rPr>
                <w:sz w:val="22"/>
              </w:rPr>
              <w:t>confiance envers BaridiMob ?</w:t>
            </w:r>
          </w:p>
        </w:tc>
        <w:tc>
          <w:tcPr>
            <w:tcW w:w="581" w:type="dxa"/>
          </w:tcPr>
          <w:p>
            <w:pPr>
              <w:pStyle w:val="TableParagraph"/>
              <w:spacing w:before="140"/>
              <w:ind w:left="10"/>
              <w:rPr>
                <w:sz w:val="22"/>
              </w:rPr>
            </w:pPr>
            <w:r>
              <w:rPr>
                <w:w w:val="100"/>
                <w:sz w:val="22"/>
              </w:rPr>
              <w:t>1</w:t>
            </w:r>
          </w:p>
        </w:tc>
        <w:tc>
          <w:tcPr>
            <w:tcW w:w="619" w:type="dxa"/>
          </w:tcPr>
          <w:p>
            <w:pPr>
              <w:pStyle w:val="TableParagraph"/>
              <w:spacing w:before="140"/>
              <w:ind w:left="10"/>
              <w:rPr>
                <w:sz w:val="22"/>
              </w:rPr>
            </w:pPr>
            <w:r>
              <w:rPr>
                <w:w w:val="100"/>
                <w:sz w:val="22"/>
              </w:rPr>
              <w:t>3</w:t>
            </w:r>
          </w:p>
        </w:tc>
        <w:tc>
          <w:tcPr>
            <w:tcW w:w="720" w:type="dxa"/>
          </w:tcPr>
          <w:p>
            <w:pPr>
              <w:pStyle w:val="TableParagraph"/>
              <w:spacing w:before="140"/>
              <w:ind w:left="89" w:right="74"/>
              <w:rPr>
                <w:sz w:val="22"/>
              </w:rPr>
            </w:pPr>
            <w:r>
              <w:rPr>
                <w:sz w:val="22"/>
              </w:rPr>
              <w:t>1,82</w:t>
            </w:r>
          </w:p>
        </w:tc>
        <w:tc>
          <w:tcPr>
            <w:tcW w:w="820" w:type="dxa"/>
          </w:tcPr>
          <w:p>
            <w:pPr>
              <w:pStyle w:val="TableParagraph"/>
              <w:spacing w:before="140"/>
              <w:ind w:left="88" w:right="71"/>
              <w:rPr>
                <w:sz w:val="22"/>
              </w:rPr>
            </w:pPr>
            <w:r>
              <w:rPr>
                <w:sz w:val="22"/>
              </w:rPr>
              <w:t>0,653</w:t>
            </w:r>
          </w:p>
        </w:tc>
        <w:tc>
          <w:tcPr>
            <w:tcW w:w="710" w:type="dxa"/>
          </w:tcPr>
          <w:p>
            <w:pPr>
              <w:pStyle w:val="TableParagraph"/>
              <w:spacing w:before="140"/>
              <w:ind w:left="94" w:right="71"/>
              <w:rPr>
                <w:sz w:val="22"/>
              </w:rPr>
            </w:pPr>
            <w:r>
              <w:rPr>
                <w:sz w:val="22"/>
              </w:rPr>
              <w:t>0,426</w:t>
            </w:r>
          </w:p>
        </w:tc>
        <w:tc>
          <w:tcPr>
            <w:tcW w:w="1181" w:type="dxa"/>
          </w:tcPr>
          <w:p>
            <w:pPr>
              <w:pStyle w:val="TableParagraph"/>
              <w:spacing w:before="140"/>
              <w:ind w:left="80" w:right="104"/>
              <w:rPr>
                <w:sz w:val="22"/>
              </w:rPr>
            </w:pPr>
            <w:r>
              <w:rPr>
                <w:sz w:val="22"/>
              </w:rPr>
              <w:t>Faible</w:t>
            </w:r>
          </w:p>
        </w:tc>
      </w:tr>
      <w:tr>
        <w:trPr>
          <w:trHeight w:val="580" w:hRule="atLeast"/>
        </w:trPr>
        <w:tc>
          <w:tcPr>
            <w:tcW w:w="4960" w:type="dxa"/>
          </w:tcPr>
          <w:p>
            <w:pPr>
              <w:pStyle w:val="TableParagraph"/>
              <w:spacing w:line="249" w:lineRule="exact"/>
              <w:ind w:left="225"/>
              <w:jc w:val="left"/>
              <w:rPr>
                <w:sz w:val="22"/>
              </w:rPr>
            </w:pPr>
            <w:r>
              <w:rPr>
                <w:sz w:val="22"/>
              </w:rPr>
              <w:t>Avez-vous déjà contacté le service client de</w:t>
            </w:r>
          </w:p>
          <w:p>
            <w:pPr>
              <w:pStyle w:val="TableParagraph"/>
              <w:spacing w:before="40"/>
              <w:ind w:left="110"/>
              <w:jc w:val="left"/>
              <w:rPr>
                <w:sz w:val="22"/>
              </w:rPr>
            </w:pPr>
            <w:r>
              <w:rPr>
                <w:sz w:val="22"/>
              </w:rPr>
              <w:t>BaridiMob ?</w:t>
            </w:r>
          </w:p>
        </w:tc>
        <w:tc>
          <w:tcPr>
            <w:tcW w:w="581" w:type="dxa"/>
          </w:tcPr>
          <w:p>
            <w:pPr>
              <w:pStyle w:val="TableParagraph"/>
              <w:spacing w:before="140"/>
              <w:ind w:left="10"/>
              <w:rPr>
                <w:sz w:val="22"/>
              </w:rPr>
            </w:pPr>
            <w:r>
              <w:rPr>
                <w:w w:val="100"/>
                <w:sz w:val="22"/>
              </w:rPr>
              <w:t>1</w:t>
            </w:r>
          </w:p>
        </w:tc>
        <w:tc>
          <w:tcPr>
            <w:tcW w:w="619" w:type="dxa"/>
          </w:tcPr>
          <w:p>
            <w:pPr>
              <w:pStyle w:val="TableParagraph"/>
              <w:spacing w:before="140"/>
              <w:ind w:left="10"/>
              <w:rPr>
                <w:sz w:val="22"/>
              </w:rPr>
            </w:pPr>
            <w:r>
              <w:rPr>
                <w:w w:val="100"/>
                <w:sz w:val="22"/>
              </w:rPr>
              <w:t>2</w:t>
            </w:r>
          </w:p>
        </w:tc>
        <w:tc>
          <w:tcPr>
            <w:tcW w:w="720" w:type="dxa"/>
          </w:tcPr>
          <w:p>
            <w:pPr>
              <w:pStyle w:val="TableParagraph"/>
              <w:spacing w:before="140"/>
              <w:ind w:left="89" w:right="74"/>
              <w:rPr>
                <w:sz w:val="22"/>
              </w:rPr>
            </w:pPr>
            <w:r>
              <w:rPr>
                <w:sz w:val="22"/>
              </w:rPr>
              <w:t>1,19</w:t>
            </w:r>
          </w:p>
        </w:tc>
        <w:tc>
          <w:tcPr>
            <w:tcW w:w="820" w:type="dxa"/>
          </w:tcPr>
          <w:p>
            <w:pPr>
              <w:pStyle w:val="TableParagraph"/>
              <w:spacing w:before="140"/>
              <w:ind w:left="93" w:right="71"/>
              <w:rPr>
                <w:sz w:val="22"/>
              </w:rPr>
            </w:pPr>
            <w:r>
              <w:rPr>
                <w:sz w:val="22"/>
              </w:rPr>
              <w:t>0,39</w:t>
            </w:r>
          </w:p>
        </w:tc>
        <w:tc>
          <w:tcPr>
            <w:tcW w:w="710" w:type="dxa"/>
          </w:tcPr>
          <w:p>
            <w:pPr>
              <w:pStyle w:val="TableParagraph"/>
              <w:spacing w:before="140"/>
              <w:ind w:left="94" w:right="71"/>
              <w:rPr>
                <w:sz w:val="22"/>
              </w:rPr>
            </w:pPr>
            <w:r>
              <w:rPr>
                <w:sz w:val="22"/>
              </w:rPr>
              <w:t>0,152</w:t>
            </w:r>
          </w:p>
        </w:tc>
        <w:tc>
          <w:tcPr>
            <w:tcW w:w="1181" w:type="dxa"/>
          </w:tcPr>
          <w:p>
            <w:pPr>
              <w:pStyle w:val="TableParagraph"/>
              <w:spacing w:before="140"/>
              <w:ind w:left="80" w:right="104"/>
              <w:rPr>
                <w:sz w:val="22"/>
              </w:rPr>
            </w:pPr>
            <w:r>
              <w:rPr>
                <w:sz w:val="22"/>
              </w:rPr>
              <w:t>Très faible</w:t>
            </w:r>
          </w:p>
        </w:tc>
      </w:tr>
      <w:tr>
        <w:trPr>
          <w:trHeight w:val="585" w:hRule="atLeast"/>
        </w:trPr>
        <w:tc>
          <w:tcPr>
            <w:tcW w:w="4960" w:type="dxa"/>
          </w:tcPr>
          <w:p>
            <w:pPr>
              <w:pStyle w:val="TableParagraph"/>
              <w:spacing w:line="249" w:lineRule="exact"/>
              <w:ind w:left="221"/>
              <w:jc w:val="left"/>
              <w:rPr>
                <w:sz w:val="22"/>
              </w:rPr>
            </w:pPr>
            <w:r>
              <w:rPr>
                <w:sz w:val="22"/>
              </w:rPr>
              <w:t>Si oui, comment évaluez-vous (de 1 à 5) la rapidité</w:t>
            </w:r>
          </w:p>
          <w:p>
            <w:pPr>
              <w:pStyle w:val="TableParagraph"/>
              <w:spacing w:before="40"/>
              <w:ind w:left="110"/>
              <w:jc w:val="left"/>
              <w:rPr>
                <w:sz w:val="22"/>
              </w:rPr>
            </w:pPr>
            <w:r>
              <w:rPr>
                <w:sz w:val="22"/>
              </w:rPr>
              <w:t>de réponse ?</w:t>
            </w:r>
          </w:p>
        </w:tc>
        <w:tc>
          <w:tcPr>
            <w:tcW w:w="581" w:type="dxa"/>
          </w:tcPr>
          <w:p>
            <w:pPr>
              <w:pStyle w:val="TableParagraph"/>
              <w:spacing w:before="145"/>
              <w:ind w:left="10"/>
              <w:rPr>
                <w:sz w:val="22"/>
              </w:rPr>
            </w:pPr>
            <w:r>
              <w:rPr>
                <w:w w:val="100"/>
                <w:sz w:val="22"/>
              </w:rPr>
              <w:t>1</w:t>
            </w:r>
          </w:p>
        </w:tc>
        <w:tc>
          <w:tcPr>
            <w:tcW w:w="619" w:type="dxa"/>
          </w:tcPr>
          <w:p>
            <w:pPr>
              <w:pStyle w:val="TableParagraph"/>
              <w:spacing w:before="145"/>
              <w:ind w:left="10"/>
              <w:rPr>
                <w:sz w:val="22"/>
              </w:rPr>
            </w:pPr>
            <w:r>
              <w:rPr>
                <w:w w:val="100"/>
                <w:sz w:val="22"/>
              </w:rPr>
              <w:t>5</w:t>
            </w:r>
          </w:p>
        </w:tc>
        <w:tc>
          <w:tcPr>
            <w:tcW w:w="720" w:type="dxa"/>
          </w:tcPr>
          <w:p>
            <w:pPr>
              <w:pStyle w:val="TableParagraph"/>
              <w:spacing w:before="145"/>
              <w:ind w:left="89" w:right="79"/>
              <w:rPr>
                <w:sz w:val="22"/>
              </w:rPr>
            </w:pPr>
            <w:r>
              <w:rPr>
                <w:sz w:val="22"/>
              </w:rPr>
              <w:t>2,544</w:t>
            </w:r>
          </w:p>
        </w:tc>
        <w:tc>
          <w:tcPr>
            <w:tcW w:w="820" w:type="dxa"/>
          </w:tcPr>
          <w:p>
            <w:pPr>
              <w:pStyle w:val="TableParagraph"/>
              <w:spacing w:before="145"/>
              <w:ind w:left="93" w:right="71"/>
              <w:rPr>
                <w:sz w:val="22"/>
              </w:rPr>
            </w:pPr>
            <w:r>
              <w:rPr>
                <w:sz w:val="22"/>
              </w:rPr>
              <w:t>1,3542</w:t>
            </w:r>
          </w:p>
        </w:tc>
        <w:tc>
          <w:tcPr>
            <w:tcW w:w="710" w:type="dxa"/>
          </w:tcPr>
          <w:p>
            <w:pPr>
              <w:pStyle w:val="TableParagraph"/>
              <w:spacing w:before="145"/>
              <w:ind w:left="94" w:right="71"/>
              <w:rPr>
                <w:sz w:val="22"/>
              </w:rPr>
            </w:pPr>
            <w:r>
              <w:rPr>
                <w:sz w:val="22"/>
              </w:rPr>
              <w:t>1,834</w:t>
            </w:r>
          </w:p>
        </w:tc>
        <w:tc>
          <w:tcPr>
            <w:tcW w:w="1181" w:type="dxa"/>
          </w:tcPr>
          <w:p>
            <w:pPr>
              <w:pStyle w:val="TableParagraph"/>
              <w:spacing w:before="145"/>
              <w:ind w:left="80" w:right="104"/>
              <w:rPr>
                <w:sz w:val="22"/>
              </w:rPr>
            </w:pPr>
            <w:r>
              <w:rPr>
                <w:sz w:val="22"/>
              </w:rPr>
              <w:t>Faible</w:t>
            </w:r>
          </w:p>
        </w:tc>
      </w:tr>
      <w:tr>
        <w:trPr>
          <w:trHeight w:val="580" w:hRule="atLeast"/>
        </w:trPr>
        <w:tc>
          <w:tcPr>
            <w:tcW w:w="4960" w:type="dxa"/>
          </w:tcPr>
          <w:p>
            <w:pPr>
              <w:pStyle w:val="TableParagraph"/>
              <w:spacing w:line="249" w:lineRule="exact"/>
              <w:ind w:left="110"/>
              <w:jc w:val="left"/>
              <w:rPr>
                <w:sz w:val="22"/>
              </w:rPr>
            </w:pPr>
            <w:r>
              <w:rPr>
                <w:sz w:val="22"/>
              </w:rPr>
              <w:t>Avez-vous déjà rencontré des bugs ou erreurs en</w:t>
            </w:r>
          </w:p>
          <w:p>
            <w:pPr>
              <w:pStyle w:val="TableParagraph"/>
              <w:spacing w:before="35"/>
              <w:ind w:left="110"/>
              <w:jc w:val="left"/>
              <w:rPr>
                <w:sz w:val="22"/>
              </w:rPr>
            </w:pPr>
            <w:r>
              <w:rPr>
                <w:sz w:val="22"/>
              </w:rPr>
              <w:t>utilisant BaridiMob ?</w:t>
            </w:r>
          </w:p>
        </w:tc>
        <w:tc>
          <w:tcPr>
            <w:tcW w:w="581" w:type="dxa"/>
          </w:tcPr>
          <w:p>
            <w:pPr>
              <w:pStyle w:val="TableParagraph"/>
              <w:spacing w:before="140"/>
              <w:ind w:left="10"/>
              <w:rPr>
                <w:sz w:val="22"/>
              </w:rPr>
            </w:pPr>
            <w:r>
              <w:rPr>
                <w:w w:val="100"/>
                <w:sz w:val="22"/>
              </w:rPr>
              <w:t>1</w:t>
            </w:r>
          </w:p>
        </w:tc>
        <w:tc>
          <w:tcPr>
            <w:tcW w:w="619" w:type="dxa"/>
          </w:tcPr>
          <w:p>
            <w:pPr>
              <w:pStyle w:val="TableParagraph"/>
              <w:spacing w:before="140"/>
              <w:ind w:left="10"/>
              <w:rPr>
                <w:sz w:val="22"/>
              </w:rPr>
            </w:pPr>
            <w:r>
              <w:rPr>
                <w:w w:val="100"/>
                <w:sz w:val="22"/>
              </w:rPr>
              <w:t>3</w:t>
            </w:r>
          </w:p>
        </w:tc>
        <w:tc>
          <w:tcPr>
            <w:tcW w:w="720" w:type="dxa"/>
          </w:tcPr>
          <w:p>
            <w:pPr>
              <w:pStyle w:val="TableParagraph"/>
              <w:spacing w:before="140"/>
              <w:ind w:left="89" w:right="74"/>
              <w:rPr>
                <w:sz w:val="22"/>
              </w:rPr>
            </w:pPr>
            <w:r>
              <w:rPr>
                <w:sz w:val="22"/>
              </w:rPr>
              <w:t>1,92</w:t>
            </w:r>
          </w:p>
        </w:tc>
        <w:tc>
          <w:tcPr>
            <w:tcW w:w="820" w:type="dxa"/>
          </w:tcPr>
          <w:p>
            <w:pPr>
              <w:pStyle w:val="TableParagraph"/>
              <w:spacing w:before="140"/>
              <w:ind w:left="88" w:right="71"/>
              <w:rPr>
                <w:sz w:val="22"/>
              </w:rPr>
            </w:pPr>
            <w:r>
              <w:rPr>
                <w:sz w:val="22"/>
              </w:rPr>
              <w:t>0,615</w:t>
            </w:r>
          </w:p>
        </w:tc>
        <w:tc>
          <w:tcPr>
            <w:tcW w:w="710" w:type="dxa"/>
          </w:tcPr>
          <w:p>
            <w:pPr>
              <w:pStyle w:val="TableParagraph"/>
              <w:spacing w:before="140"/>
              <w:ind w:left="94" w:right="71"/>
              <w:rPr>
                <w:sz w:val="22"/>
              </w:rPr>
            </w:pPr>
            <w:r>
              <w:rPr>
                <w:sz w:val="22"/>
              </w:rPr>
              <w:t>0,378</w:t>
            </w:r>
          </w:p>
        </w:tc>
        <w:tc>
          <w:tcPr>
            <w:tcW w:w="1181" w:type="dxa"/>
          </w:tcPr>
          <w:p>
            <w:pPr>
              <w:pStyle w:val="TableParagraph"/>
              <w:spacing w:before="140"/>
              <w:ind w:left="80" w:right="104"/>
              <w:rPr>
                <w:sz w:val="22"/>
              </w:rPr>
            </w:pPr>
            <w:r>
              <w:rPr>
                <w:sz w:val="22"/>
              </w:rPr>
              <w:t>Faible</w:t>
            </w:r>
          </w:p>
        </w:tc>
      </w:tr>
      <w:tr>
        <w:trPr>
          <w:trHeight w:val="292" w:hRule="atLeast"/>
        </w:trPr>
        <w:tc>
          <w:tcPr>
            <w:tcW w:w="4960" w:type="dxa"/>
          </w:tcPr>
          <w:p>
            <w:pPr>
              <w:pStyle w:val="TableParagraph"/>
              <w:spacing w:line="249" w:lineRule="exact"/>
              <w:ind w:left="110"/>
              <w:jc w:val="left"/>
              <w:rPr>
                <w:sz w:val="22"/>
              </w:rPr>
            </w:pPr>
            <w:r>
              <w:rPr>
                <w:sz w:val="22"/>
              </w:rPr>
              <w:t>Valid N (listwise)</w:t>
            </w:r>
          </w:p>
        </w:tc>
        <w:tc>
          <w:tcPr>
            <w:tcW w:w="581" w:type="dxa"/>
          </w:tcPr>
          <w:p>
            <w:pPr>
              <w:pStyle w:val="TableParagraph"/>
              <w:jc w:val="left"/>
              <w:rPr>
                <w:sz w:val="20"/>
              </w:rPr>
            </w:pPr>
          </w:p>
        </w:tc>
        <w:tc>
          <w:tcPr>
            <w:tcW w:w="619" w:type="dxa"/>
          </w:tcPr>
          <w:p>
            <w:pPr>
              <w:pStyle w:val="TableParagraph"/>
              <w:jc w:val="left"/>
              <w:rPr>
                <w:sz w:val="20"/>
              </w:rPr>
            </w:pPr>
          </w:p>
        </w:tc>
        <w:tc>
          <w:tcPr>
            <w:tcW w:w="720" w:type="dxa"/>
          </w:tcPr>
          <w:p>
            <w:pPr>
              <w:pStyle w:val="TableParagraph"/>
              <w:jc w:val="left"/>
              <w:rPr>
                <w:sz w:val="20"/>
              </w:rPr>
            </w:pPr>
          </w:p>
        </w:tc>
        <w:tc>
          <w:tcPr>
            <w:tcW w:w="820" w:type="dxa"/>
          </w:tcPr>
          <w:p>
            <w:pPr>
              <w:pStyle w:val="TableParagraph"/>
              <w:jc w:val="left"/>
              <w:rPr>
                <w:sz w:val="20"/>
              </w:rPr>
            </w:pPr>
          </w:p>
        </w:tc>
        <w:tc>
          <w:tcPr>
            <w:tcW w:w="710" w:type="dxa"/>
          </w:tcPr>
          <w:p>
            <w:pPr>
              <w:pStyle w:val="TableParagraph"/>
              <w:jc w:val="left"/>
              <w:rPr>
                <w:sz w:val="20"/>
              </w:rPr>
            </w:pPr>
          </w:p>
        </w:tc>
        <w:tc>
          <w:tcPr>
            <w:tcW w:w="1181" w:type="dxa"/>
          </w:tcPr>
          <w:p>
            <w:pPr>
              <w:pStyle w:val="TableParagraph"/>
              <w:jc w:val="left"/>
              <w:rPr>
                <w:sz w:val="20"/>
              </w:rPr>
            </w:pPr>
          </w:p>
        </w:tc>
      </w:tr>
    </w:tbl>
    <w:p>
      <w:pPr>
        <w:spacing w:before="0"/>
        <w:ind w:left="825" w:right="445" w:firstLine="0"/>
        <w:jc w:val="center"/>
        <w:rPr>
          <w:sz w:val="22"/>
        </w:rPr>
      </w:pPr>
      <w:r>
        <w:rPr>
          <w:b/>
          <w:sz w:val="22"/>
        </w:rPr>
        <w:t>Source : </w:t>
      </w:r>
      <w:r>
        <w:rPr>
          <w:sz w:val="22"/>
        </w:rPr>
        <w:t>élaboré par nous-même sur la base des outputs SPSS</w:t>
      </w:r>
    </w:p>
    <w:p>
      <w:pPr>
        <w:pStyle w:val="BodyText"/>
        <w:spacing w:before="4"/>
      </w:pPr>
    </w:p>
    <w:p>
      <w:pPr>
        <w:pStyle w:val="BodyText"/>
        <w:spacing w:line="360" w:lineRule="auto"/>
        <w:ind w:left="699" w:right="238" w:firstLine="360"/>
      </w:pPr>
      <w:r>
        <w:rPr/>
        <w:t>Ce tableau présente une analyse statistique descriptive portant sur un échantillon de 412 utilisateurs de l’application BaridiMob. Il met en évidence les tendances générales à travers des</w:t>
      </w:r>
    </w:p>
    <w:p>
      <w:pPr>
        <w:spacing w:after="0" w:line="360" w:lineRule="auto"/>
        <w:sectPr>
          <w:pgSz w:w="12240" w:h="15840"/>
          <w:pgMar w:header="723" w:footer="850" w:top="1080" w:bottom="1040" w:left="1000" w:right="820"/>
        </w:sectPr>
      </w:pPr>
    </w:p>
    <w:p>
      <w:pPr>
        <w:pStyle w:val="BodyText"/>
        <w:spacing w:before="6"/>
        <w:rPr>
          <w:sz w:val="19"/>
        </w:rPr>
      </w:pPr>
    </w:p>
    <w:p>
      <w:pPr>
        <w:pStyle w:val="BodyText"/>
        <w:spacing w:line="367" w:lineRule="auto" w:before="90"/>
        <w:ind w:left="699" w:right="315"/>
        <w:jc w:val="both"/>
      </w:pPr>
      <w:r>
        <w:rPr/>
        <w:t>indicateurs comme </w:t>
      </w:r>
      <w:r>
        <w:rPr>
          <w:spacing w:val="-5"/>
        </w:rPr>
        <w:t>la </w:t>
      </w:r>
      <w:r>
        <w:rPr/>
        <w:t>moyenne, l’écart-type, </w:t>
      </w:r>
      <w:r>
        <w:rPr>
          <w:spacing w:val="-5"/>
        </w:rPr>
        <w:t>la </w:t>
      </w:r>
      <w:r>
        <w:rPr/>
        <w:t>variance et une évaluation du niveau de dispersion (très faible, faible, modéré, fort, très fort).</w:t>
      </w:r>
    </w:p>
    <w:p>
      <w:pPr>
        <w:pStyle w:val="BodyText"/>
        <w:spacing w:line="360" w:lineRule="auto" w:before="144"/>
        <w:ind w:left="699" w:right="316" w:firstLine="360"/>
        <w:jc w:val="both"/>
      </w:pPr>
      <w:r>
        <w:rPr/>
        <w:t>Les données sociodémographiques révèlent que les utilisateurs sont majoritairement jeunes, avec</w:t>
      </w:r>
      <w:r>
        <w:rPr>
          <w:spacing w:val="-7"/>
        </w:rPr>
        <w:t> </w:t>
      </w:r>
      <w:r>
        <w:rPr/>
        <w:t>un</w:t>
      </w:r>
      <w:r>
        <w:rPr>
          <w:spacing w:val="-10"/>
        </w:rPr>
        <w:t> </w:t>
      </w:r>
      <w:r>
        <w:rPr/>
        <w:t>âge</w:t>
      </w:r>
      <w:r>
        <w:rPr>
          <w:spacing w:val="-6"/>
        </w:rPr>
        <w:t> </w:t>
      </w:r>
      <w:r>
        <w:rPr/>
        <w:t>moyen</w:t>
      </w:r>
      <w:r>
        <w:rPr>
          <w:spacing w:val="-10"/>
        </w:rPr>
        <w:t> </w:t>
      </w:r>
      <w:r>
        <w:rPr/>
        <w:t>de</w:t>
      </w:r>
      <w:r>
        <w:rPr>
          <w:spacing w:val="-6"/>
        </w:rPr>
        <w:t> </w:t>
      </w:r>
      <w:r>
        <w:rPr/>
        <w:t>1,76</w:t>
      </w:r>
      <w:r>
        <w:rPr>
          <w:spacing w:val="-10"/>
        </w:rPr>
        <w:t> </w:t>
      </w:r>
      <w:r>
        <w:rPr/>
        <w:t>sur</w:t>
      </w:r>
      <w:r>
        <w:rPr>
          <w:spacing w:val="-9"/>
        </w:rPr>
        <w:t> </w:t>
      </w:r>
      <w:r>
        <w:rPr/>
        <w:t>une</w:t>
      </w:r>
      <w:r>
        <w:rPr>
          <w:spacing w:val="-6"/>
        </w:rPr>
        <w:t> </w:t>
      </w:r>
      <w:r>
        <w:rPr/>
        <w:t>échelle</w:t>
      </w:r>
      <w:r>
        <w:rPr>
          <w:spacing w:val="-6"/>
        </w:rPr>
        <w:t> </w:t>
      </w:r>
      <w:r>
        <w:rPr/>
        <w:t>de</w:t>
      </w:r>
      <w:r>
        <w:rPr>
          <w:spacing w:val="-6"/>
        </w:rPr>
        <w:t> </w:t>
      </w:r>
      <w:r>
        <w:rPr/>
        <w:t>1</w:t>
      </w:r>
      <w:r>
        <w:rPr>
          <w:spacing w:val="-10"/>
        </w:rPr>
        <w:t> </w:t>
      </w:r>
      <w:r>
        <w:rPr/>
        <w:t>à</w:t>
      </w:r>
      <w:r>
        <w:rPr>
          <w:spacing w:val="-7"/>
        </w:rPr>
        <w:t> </w:t>
      </w:r>
      <w:r>
        <w:rPr>
          <w:spacing w:val="-3"/>
        </w:rPr>
        <w:t>4,</w:t>
      </w:r>
      <w:r>
        <w:rPr>
          <w:spacing w:val="-7"/>
        </w:rPr>
        <w:t> </w:t>
      </w:r>
      <w:r>
        <w:rPr>
          <w:spacing w:val="-3"/>
        </w:rPr>
        <w:t>et</w:t>
      </w:r>
      <w:r>
        <w:rPr>
          <w:spacing w:val="-4"/>
        </w:rPr>
        <w:t> </w:t>
      </w:r>
      <w:r>
        <w:rPr/>
        <w:t>sont</w:t>
      </w:r>
      <w:r>
        <w:rPr>
          <w:spacing w:val="-4"/>
        </w:rPr>
        <w:t> </w:t>
      </w:r>
      <w:r>
        <w:rPr/>
        <w:t>en</w:t>
      </w:r>
      <w:r>
        <w:rPr>
          <w:spacing w:val="-11"/>
        </w:rPr>
        <w:t> </w:t>
      </w:r>
      <w:r>
        <w:rPr/>
        <w:t>majorité</w:t>
      </w:r>
      <w:r>
        <w:rPr>
          <w:spacing w:val="-6"/>
        </w:rPr>
        <w:t> </w:t>
      </w:r>
      <w:r>
        <w:rPr/>
        <w:t>de</w:t>
      </w:r>
      <w:r>
        <w:rPr>
          <w:spacing w:val="-6"/>
        </w:rPr>
        <w:t> </w:t>
      </w:r>
      <w:r>
        <w:rPr>
          <w:spacing w:val="-3"/>
        </w:rPr>
        <w:t>sexe</w:t>
      </w:r>
      <w:r>
        <w:rPr>
          <w:spacing w:val="-6"/>
        </w:rPr>
        <w:t> </w:t>
      </w:r>
      <w:r>
        <w:rPr/>
        <w:t>masculin</w:t>
      </w:r>
      <w:r>
        <w:rPr>
          <w:spacing w:val="-10"/>
        </w:rPr>
        <w:t> </w:t>
      </w:r>
      <w:r>
        <w:rPr/>
        <w:t>(moyenne</w:t>
      </w:r>
    </w:p>
    <w:p>
      <w:pPr>
        <w:pStyle w:val="BodyText"/>
        <w:spacing w:line="362" w:lineRule="auto" w:before="3"/>
        <w:ind w:left="699" w:right="319"/>
        <w:jc w:val="both"/>
      </w:pPr>
      <w:r>
        <w:rPr/>
        <w:t>=</w:t>
      </w:r>
      <w:r>
        <w:rPr>
          <w:spacing w:val="-7"/>
        </w:rPr>
        <w:t> </w:t>
      </w:r>
      <w:r>
        <w:rPr/>
        <w:t>1,38).</w:t>
      </w:r>
      <w:r>
        <w:rPr>
          <w:spacing w:val="-4"/>
        </w:rPr>
        <w:t> </w:t>
      </w:r>
      <w:r>
        <w:rPr/>
        <w:t>Leur</w:t>
      </w:r>
      <w:r>
        <w:rPr>
          <w:spacing w:val="-4"/>
        </w:rPr>
        <w:t> </w:t>
      </w:r>
      <w:r>
        <w:rPr/>
        <w:t>situation</w:t>
      </w:r>
      <w:r>
        <w:rPr>
          <w:spacing w:val="-11"/>
        </w:rPr>
        <w:t> </w:t>
      </w:r>
      <w:r>
        <w:rPr/>
        <w:t>professionnelle</w:t>
      </w:r>
      <w:r>
        <w:rPr>
          <w:spacing w:val="-6"/>
        </w:rPr>
        <w:t> </w:t>
      </w:r>
      <w:r>
        <w:rPr/>
        <w:t>(moyenne</w:t>
      </w:r>
      <w:r>
        <w:rPr>
          <w:spacing w:val="-7"/>
        </w:rPr>
        <w:t> </w:t>
      </w:r>
      <w:r>
        <w:rPr/>
        <w:t>=</w:t>
      </w:r>
      <w:r>
        <w:rPr>
          <w:spacing w:val="-2"/>
        </w:rPr>
        <w:t> </w:t>
      </w:r>
      <w:r>
        <w:rPr/>
        <w:t>1,79)</w:t>
      </w:r>
      <w:r>
        <w:rPr>
          <w:spacing w:val="-9"/>
        </w:rPr>
        <w:t> </w:t>
      </w:r>
      <w:r>
        <w:rPr>
          <w:spacing w:val="-3"/>
        </w:rPr>
        <w:t>et</w:t>
      </w:r>
      <w:r>
        <w:rPr>
          <w:spacing w:val="-1"/>
        </w:rPr>
        <w:t> </w:t>
      </w:r>
      <w:r>
        <w:rPr>
          <w:spacing w:val="-3"/>
        </w:rPr>
        <w:t>leur</w:t>
      </w:r>
      <w:r>
        <w:rPr>
          <w:spacing w:val="-4"/>
        </w:rPr>
        <w:t> </w:t>
      </w:r>
      <w:r>
        <w:rPr/>
        <w:t>revenu</w:t>
      </w:r>
      <w:r>
        <w:rPr>
          <w:spacing w:val="-1"/>
        </w:rPr>
        <w:t> </w:t>
      </w:r>
      <w:r>
        <w:rPr/>
        <w:t>mensuel</w:t>
      </w:r>
      <w:r>
        <w:rPr>
          <w:spacing w:val="-10"/>
        </w:rPr>
        <w:t> </w:t>
      </w:r>
      <w:r>
        <w:rPr/>
        <w:t>(moyenne</w:t>
      </w:r>
      <w:r>
        <w:rPr>
          <w:spacing w:val="-6"/>
        </w:rPr>
        <w:t> </w:t>
      </w:r>
      <w:r>
        <w:rPr/>
        <w:t>=</w:t>
      </w:r>
      <w:r>
        <w:rPr>
          <w:spacing w:val="-7"/>
        </w:rPr>
        <w:t> </w:t>
      </w:r>
      <w:r>
        <w:rPr/>
        <w:t>2,27) indiquent un profil relativement modeste. Le faible niveau de dispersion (variance &lt; 1 pour </w:t>
      </w:r>
      <w:r>
        <w:rPr>
          <w:spacing w:val="-5"/>
        </w:rPr>
        <w:t>la </w:t>
      </w:r>
      <w:r>
        <w:rPr/>
        <w:t>plupart de ces variables) montre une homogénéité des</w:t>
      </w:r>
      <w:r>
        <w:rPr>
          <w:spacing w:val="19"/>
        </w:rPr>
        <w:t> </w:t>
      </w:r>
      <w:r>
        <w:rPr/>
        <w:t>répondants.</w:t>
      </w:r>
    </w:p>
    <w:p>
      <w:pPr>
        <w:pStyle w:val="BodyText"/>
        <w:spacing w:line="360" w:lineRule="auto" w:before="152"/>
        <w:ind w:left="699" w:right="322" w:firstLine="360"/>
        <w:jc w:val="both"/>
      </w:pPr>
      <w:r>
        <w:rPr/>
        <w:t>Concernant l’usage de l’application, </w:t>
      </w:r>
      <w:r>
        <w:rPr>
          <w:spacing w:val="-5"/>
        </w:rPr>
        <w:t>la </w:t>
      </w:r>
      <w:r>
        <w:rPr/>
        <w:t>majorité déclare l’utiliser régulièrement (moyenne = 1,09</w:t>
      </w:r>
      <w:r>
        <w:rPr>
          <w:spacing w:val="-5"/>
        </w:rPr>
        <w:t> </w:t>
      </w:r>
      <w:r>
        <w:rPr/>
        <w:t>sur</w:t>
      </w:r>
      <w:r>
        <w:rPr>
          <w:spacing w:val="-3"/>
        </w:rPr>
        <w:t> </w:t>
      </w:r>
      <w:r>
        <w:rPr/>
        <w:t>une</w:t>
      </w:r>
      <w:r>
        <w:rPr>
          <w:spacing w:val="-6"/>
        </w:rPr>
        <w:t> </w:t>
      </w:r>
      <w:r>
        <w:rPr/>
        <w:t>échelle</w:t>
      </w:r>
      <w:r>
        <w:rPr>
          <w:spacing w:val="-6"/>
        </w:rPr>
        <w:t> </w:t>
      </w:r>
      <w:r>
        <w:rPr/>
        <w:t>de</w:t>
      </w:r>
      <w:r>
        <w:rPr>
          <w:spacing w:val="-6"/>
        </w:rPr>
        <w:t> </w:t>
      </w:r>
      <w:r>
        <w:rPr/>
        <w:t>1</w:t>
      </w:r>
      <w:r>
        <w:rPr>
          <w:spacing w:val="-5"/>
        </w:rPr>
        <w:t> </w:t>
      </w:r>
      <w:r>
        <w:rPr/>
        <w:t>à</w:t>
      </w:r>
      <w:r>
        <w:rPr>
          <w:spacing w:val="-6"/>
        </w:rPr>
        <w:t> </w:t>
      </w:r>
      <w:r>
        <w:rPr/>
        <w:t>2),</w:t>
      </w:r>
      <w:r>
        <w:rPr>
          <w:spacing w:val="-2"/>
        </w:rPr>
        <w:t> </w:t>
      </w:r>
      <w:r>
        <w:rPr>
          <w:spacing w:val="-3"/>
        </w:rPr>
        <w:t>mais la</w:t>
      </w:r>
      <w:r>
        <w:rPr>
          <w:spacing w:val="-1"/>
        </w:rPr>
        <w:t> </w:t>
      </w:r>
      <w:r>
        <w:rPr/>
        <w:t>fréquence</w:t>
      </w:r>
      <w:r>
        <w:rPr>
          <w:spacing w:val="-6"/>
        </w:rPr>
        <w:t> </w:t>
      </w:r>
      <w:r>
        <w:rPr/>
        <w:t>d’utilisation</w:t>
      </w:r>
      <w:r>
        <w:rPr>
          <w:spacing w:val="-5"/>
        </w:rPr>
        <w:t> </w:t>
      </w:r>
      <w:r>
        <w:rPr/>
        <w:t>varie</w:t>
      </w:r>
      <w:r>
        <w:rPr>
          <w:spacing w:val="-6"/>
        </w:rPr>
        <w:t> </w:t>
      </w:r>
      <w:r>
        <w:rPr/>
        <w:t>davantage</w:t>
      </w:r>
      <w:r>
        <w:rPr>
          <w:spacing w:val="-6"/>
        </w:rPr>
        <w:t> </w:t>
      </w:r>
      <w:r>
        <w:rPr/>
        <w:t>(moyenne</w:t>
      </w:r>
      <w:r>
        <w:rPr>
          <w:spacing w:val="-6"/>
        </w:rPr>
        <w:t> </w:t>
      </w:r>
      <w:r>
        <w:rPr/>
        <w:t>=</w:t>
      </w:r>
      <w:r>
        <w:rPr>
          <w:spacing w:val="-5"/>
        </w:rPr>
        <w:t> </w:t>
      </w:r>
      <w:r>
        <w:rPr/>
        <w:t>2,31</w:t>
      </w:r>
      <w:r>
        <w:rPr>
          <w:spacing w:val="-5"/>
        </w:rPr>
        <w:t> </w:t>
      </w:r>
      <w:r>
        <w:rPr/>
        <w:t>sur 6, avec une variance de 1,93), ce qui traduit des comportements d’utilisation</w:t>
      </w:r>
      <w:r>
        <w:rPr>
          <w:spacing w:val="-4"/>
        </w:rPr>
        <w:t> </w:t>
      </w:r>
      <w:r>
        <w:rPr/>
        <w:t>hétérogènes.</w:t>
      </w:r>
    </w:p>
    <w:p>
      <w:pPr>
        <w:pStyle w:val="BodyText"/>
        <w:spacing w:line="362" w:lineRule="auto" w:before="160"/>
        <w:ind w:left="699" w:right="318" w:firstLine="360"/>
        <w:jc w:val="both"/>
      </w:pPr>
      <w:r>
        <w:rPr/>
        <w:t>Du </w:t>
      </w:r>
      <w:r>
        <w:rPr>
          <w:spacing w:val="-3"/>
        </w:rPr>
        <w:t>point </w:t>
      </w:r>
      <w:r>
        <w:rPr/>
        <w:t>de vue de l’expérience utilisateur, </w:t>
      </w:r>
      <w:r>
        <w:rPr>
          <w:spacing w:val="-5"/>
        </w:rPr>
        <w:t>la </w:t>
      </w:r>
      <w:r>
        <w:rPr/>
        <w:t>satisfaction globale atteint une moyenne de</w:t>
      </w:r>
      <w:r>
        <w:rPr>
          <w:spacing w:val="-33"/>
        </w:rPr>
        <w:t> </w:t>
      </w:r>
      <w:r>
        <w:rPr/>
        <w:t>3,36 sur</w:t>
      </w:r>
      <w:r>
        <w:rPr>
          <w:spacing w:val="-12"/>
        </w:rPr>
        <w:t> </w:t>
      </w:r>
      <w:r>
        <w:rPr/>
        <w:t>5,</w:t>
      </w:r>
      <w:r>
        <w:rPr>
          <w:spacing w:val="-12"/>
        </w:rPr>
        <w:t> </w:t>
      </w:r>
      <w:r>
        <w:rPr/>
        <w:t>indiquant</w:t>
      </w:r>
      <w:r>
        <w:rPr>
          <w:spacing w:val="-10"/>
        </w:rPr>
        <w:t> </w:t>
      </w:r>
      <w:r>
        <w:rPr/>
        <w:t>une</w:t>
      </w:r>
      <w:r>
        <w:rPr>
          <w:spacing w:val="-14"/>
        </w:rPr>
        <w:t> </w:t>
      </w:r>
      <w:r>
        <w:rPr/>
        <w:t>appréciation</w:t>
      </w:r>
      <w:r>
        <w:rPr>
          <w:spacing w:val="-14"/>
        </w:rPr>
        <w:t> </w:t>
      </w:r>
      <w:r>
        <w:rPr/>
        <w:t>modérée.</w:t>
      </w:r>
      <w:r>
        <w:rPr>
          <w:spacing w:val="-12"/>
        </w:rPr>
        <w:t> </w:t>
      </w:r>
      <w:r>
        <w:rPr/>
        <w:t>Le</w:t>
      </w:r>
      <w:r>
        <w:rPr>
          <w:spacing w:val="-15"/>
        </w:rPr>
        <w:t> </w:t>
      </w:r>
      <w:r>
        <w:rPr/>
        <w:t>sentiment</w:t>
      </w:r>
      <w:r>
        <w:rPr>
          <w:spacing w:val="-9"/>
        </w:rPr>
        <w:t> </w:t>
      </w:r>
      <w:r>
        <w:rPr/>
        <w:t>de</w:t>
      </w:r>
      <w:r>
        <w:rPr>
          <w:spacing w:val="-15"/>
        </w:rPr>
        <w:t> </w:t>
      </w:r>
      <w:r>
        <w:rPr/>
        <w:t>sécurité</w:t>
      </w:r>
      <w:r>
        <w:rPr>
          <w:spacing w:val="-15"/>
        </w:rPr>
        <w:t> </w:t>
      </w:r>
      <w:r>
        <w:rPr/>
        <w:t>est</w:t>
      </w:r>
      <w:r>
        <w:rPr>
          <w:spacing w:val="-12"/>
        </w:rPr>
        <w:t> </w:t>
      </w:r>
      <w:r>
        <w:rPr/>
        <w:t>légèrement</w:t>
      </w:r>
      <w:r>
        <w:rPr>
          <w:spacing w:val="-10"/>
        </w:rPr>
        <w:t> </w:t>
      </w:r>
      <w:r>
        <w:rPr/>
        <w:t>plus</w:t>
      </w:r>
      <w:r>
        <w:rPr>
          <w:spacing w:val="-15"/>
        </w:rPr>
        <w:t> </w:t>
      </w:r>
      <w:r>
        <w:rPr/>
        <w:t>élevé,</w:t>
      </w:r>
      <w:r>
        <w:rPr>
          <w:spacing w:val="-12"/>
        </w:rPr>
        <w:t> </w:t>
      </w:r>
      <w:r>
        <w:rPr/>
        <w:t>avec une moyenne de 3,52, ce qui reflète une perception globalement positive de </w:t>
      </w:r>
      <w:r>
        <w:rPr>
          <w:spacing w:val="-5"/>
        </w:rPr>
        <w:t>la </w:t>
      </w:r>
      <w:r>
        <w:rPr/>
        <w:t>fiabilité de l’application.</w:t>
      </w:r>
    </w:p>
    <w:p>
      <w:pPr>
        <w:pStyle w:val="BodyText"/>
        <w:spacing w:line="362" w:lineRule="auto" w:before="148"/>
        <w:ind w:left="699" w:right="317" w:firstLine="360"/>
        <w:jc w:val="both"/>
      </w:pPr>
      <w:r>
        <w:rPr/>
        <w:t>En revanche, lorsque des doutes sur </w:t>
      </w:r>
      <w:r>
        <w:rPr>
          <w:spacing w:val="-3"/>
        </w:rPr>
        <w:t>la </w:t>
      </w:r>
      <w:r>
        <w:rPr/>
        <w:t>sécurité apparaissent, </w:t>
      </w:r>
      <w:r>
        <w:rPr>
          <w:spacing w:val="-3"/>
        </w:rPr>
        <w:t>les </w:t>
      </w:r>
      <w:r>
        <w:rPr/>
        <w:t>utilisateurs ont une réaction plutôt réservée ou incertaine (moyenne = 2,72), </w:t>
      </w:r>
      <w:r>
        <w:rPr>
          <w:spacing w:val="-3"/>
        </w:rPr>
        <w:t>et </w:t>
      </w:r>
      <w:r>
        <w:rPr/>
        <w:t>peu déclarent avoir </w:t>
      </w:r>
      <w:r>
        <w:rPr>
          <w:spacing w:val="5"/>
        </w:rPr>
        <w:t>été </w:t>
      </w:r>
      <w:r>
        <w:rPr/>
        <w:t>victimes de problèmes de sécurité (moyenne = 1,04), ce qui est</w:t>
      </w:r>
      <w:r>
        <w:rPr>
          <w:spacing w:val="6"/>
        </w:rPr>
        <w:t> </w:t>
      </w:r>
      <w:r>
        <w:rPr/>
        <w:t>rassurant.</w:t>
      </w:r>
    </w:p>
    <w:p>
      <w:pPr>
        <w:pStyle w:val="BodyText"/>
        <w:spacing w:line="362" w:lineRule="auto" w:before="152"/>
        <w:ind w:left="699" w:right="316" w:firstLine="360"/>
        <w:jc w:val="both"/>
      </w:pPr>
      <w:r>
        <w:rPr/>
        <w:t>Face aux problèmes techniques, </w:t>
      </w:r>
      <w:r>
        <w:rPr>
          <w:spacing w:val="-3"/>
        </w:rPr>
        <w:t>les </w:t>
      </w:r>
      <w:r>
        <w:rPr/>
        <w:t>réponses sont plutôt passives (moyenne = 1,78), </w:t>
      </w:r>
      <w:r>
        <w:rPr>
          <w:spacing w:val="-3"/>
        </w:rPr>
        <w:t>et même </w:t>
      </w:r>
      <w:r>
        <w:rPr/>
        <w:t>si ces bugs influencent l’utilisation (moyenne = 2,29), </w:t>
      </w:r>
      <w:r>
        <w:rPr>
          <w:spacing w:val="-5"/>
        </w:rPr>
        <w:t>la </w:t>
      </w:r>
      <w:r>
        <w:rPr/>
        <w:t>confiance générale dans BaridiMob </w:t>
      </w:r>
      <w:r>
        <w:rPr>
          <w:spacing w:val="-3"/>
        </w:rPr>
        <w:t>ne </w:t>
      </w:r>
      <w:r>
        <w:rPr/>
        <w:t>semble pas fortement impactée (moyenne =</w:t>
      </w:r>
      <w:r>
        <w:rPr>
          <w:spacing w:val="12"/>
        </w:rPr>
        <w:t> </w:t>
      </w:r>
      <w:r>
        <w:rPr/>
        <w:t>1,82).</w:t>
      </w:r>
    </w:p>
    <w:p>
      <w:pPr>
        <w:pStyle w:val="BodyText"/>
        <w:spacing w:line="362" w:lineRule="auto" w:before="152"/>
        <w:ind w:left="699" w:right="322" w:firstLine="360"/>
        <w:jc w:val="both"/>
      </w:pPr>
      <w:r>
        <w:rPr/>
        <w:t>Enfin, le service client est peu sollicité (moyenne = 1,19), et sa réactivité est jugée moyenne à lente par ceux qui y ont eu recours (moyenne = 2,54 sur 5). Les bugs ou erreurs restent présents (moyenne = 1,92 sur 3), ce qui constitue un axe d’amélioration important.</w:t>
      </w:r>
    </w:p>
    <w:p>
      <w:pPr>
        <w:spacing w:after="0" w:line="362" w:lineRule="auto"/>
        <w:jc w:val="both"/>
        <w:sectPr>
          <w:pgSz w:w="12240" w:h="15840"/>
          <w:pgMar w:header="723" w:footer="850" w:top="1080" w:bottom="1040" w:left="1000" w:right="820"/>
        </w:sectPr>
      </w:pPr>
    </w:p>
    <w:p>
      <w:pPr>
        <w:pStyle w:val="BodyText"/>
        <w:spacing w:before="7"/>
        <w:rPr>
          <w:sz w:val="19"/>
        </w:rPr>
      </w:pPr>
    </w:p>
    <w:p>
      <w:pPr>
        <w:pStyle w:val="Heading5"/>
        <w:numPr>
          <w:ilvl w:val="0"/>
          <w:numId w:val="25"/>
        </w:numPr>
        <w:tabs>
          <w:tab w:pos="1420" w:val="left" w:leader="none"/>
          <w:tab w:pos="1421" w:val="left" w:leader="none"/>
        </w:tabs>
        <w:spacing w:line="240" w:lineRule="auto" w:before="100" w:after="0"/>
        <w:ind w:left="1420" w:right="0" w:hanging="361"/>
        <w:jc w:val="left"/>
        <w:rPr>
          <w:rFonts w:ascii="Symbol" w:hAnsi="Symbol"/>
        </w:rPr>
      </w:pPr>
      <w:r>
        <w:rPr/>
        <w:t>Analyse des Tableaux croisés</w:t>
      </w:r>
      <w:r>
        <w:rPr>
          <w:spacing w:val="-1"/>
        </w:rPr>
        <w:t> </w:t>
      </w:r>
      <w:r>
        <w:rPr/>
        <w:t>:</w:t>
      </w:r>
    </w:p>
    <w:p>
      <w:pPr>
        <w:spacing w:before="203"/>
        <w:ind w:left="699" w:right="0" w:firstLine="0"/>
        <w:jc w:val="left"/>
        <w:rPr>
          <w:b/>
          <w:sz w:val="24"/>
        </w:rPr>
      </w:pPr>
      <w:r>
        <w:rPr>
          <w:b/>
          <w:sz w:val="24"/>
        </w:rPr>
        <w:t>Q8_Évaluation de l’expérience des utilisateurs*Q9_Évaluation sécurité :</w:t>
      </w:r>
    </w:p>
    <w:p>
      <w:pPr>
        <w:spacing w:before="199"/>
        <w:ind w:left="699" w:right="0" w:firstLine="0"/>
        <w:jc w:val="left"/>
        <w:rPr>
          <w:sz w:val="20"/>
        </w:rPr>
      </w:pPr>
      <w:bookmarkStart w:name="_bookmark66" w:id="260"/>
      <w:bookmarkEnd w:id="260"/>
      <w:r>
        <w:rPr/>
      </w:r>
      <w:r>
        <w:rPr>
          <w:b/>
          <w:color w:val="44536A"/>
          <w:sz w:val="20"/>
        </w:rPr>
        <w:t>Tableau 30 </w:t>
      </w:r>
      <w:r>
        <w:rPr>
          <w:color w:val="44536A"/>
          <w:sz w:val="20"/>
        </w:rPr>
        <w:t>: Évaluation de l’expérience des utilisateurs par rapport à la sécurité</w:t>
      </w:r>
    </w:p>
    <w:p>
      <w:pPr>
        <w:pStyle w:val="BodyText"/>
        <w:rPr>
          <w:sz w:val="20"/>
        </w:rPr>
      </w:pPr>
    </w:p>
    <w:p>
      <w:pPr>
        <w:pStyle w:val="BodyText"/>
        <w:spacing w:before="9"/>
        <w:rPr>
          <w:sz w:val="18"/>
        </w:rPr>
      </w:pPr>
    </w:p>
    <w:tbl>
      <w:tblPr>
        <w:tblW w:w="0" w:type="auto"/>
        <w:jc w:val="left"/>
        <w:tblInd w:w="7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8"/>
        <w:gridCol w:w="1642"/>
        <w:gridCol w:w="1340"/>
        <w:gridCol w:w="1335"/>
        <w:gridCol w:w="1330"/>
        <w:gridCol w:w="1138"/>
        <w:gridCol w:w="1140"/>
        <w:gridCol w:w="934"/>
      </w:tblGrid>
      <w:tr>
        <w:trPr>
          <w:trHeight w:val="240" w:hRule="atLeast"/>
        </w:trPr>
        <w:tc>
          <w:tcPr>
            <w:tcW w:w="2240" w:type="dxa"/>
            <w:gridSpan w:val="2"/>
            <w:vMerge w:val="restart"/>
            <w:tcBorders>
              <w:top w:val="nil"/>
              <w:left w:val="nil"/>
            </w:tcBorders>
          </w:tcPr>
          <w:p>
            <w:pPr>
              <w:pStyle w:val="TableParagraph"/>
              <w:jc w:val="left"/>
              <w:rPr>
                <w:sz w:val="22"/>
              </w:rPr>
            </w:pPr>
          </w:p>
        </w:tc>
        <w:tc>
          <w:tcPr>
            <w:tcW w:w="6283" w:type="dxa"/>
            <w:gridSpan w:val="5"/>
            <w:tcBorders>
              <w:bottom w:val="single" w:sz="18" w:space="0" w:color="FFFFFF"/>
              <w:right w:val="single" w:sz="8" w:space="0" w:color="000000"/>
            </w:tcBorders>
          </w:tcPr>
          <w:p>
            <w:pPr>
              <w:pStyle w:val="TableParagraph"/>
              <w:spacing w:line="221" w:lineRule="exact"/>
              <w:ind w:left="2768" w:right="2720"/>
              <w:rPr>
                <w:sz w:val="22"/>
              </w:rPr>
            </w:pPr>
            <w:r>
              <w:rPr>
                <w:sz w:val="22"/>
              </w:rPr>
              <w:t>Sécurité</w:t>
            </w:r>
          </w:p>
        </w:tc>
        <w:tc>
          <w:tcPr>
            <w:tcW w:w="934" w:type="dxa"/>
            <w:vMerge w:val="restart"/>
            <w:tcBorders>
              <w:left w:val="single" w:sz="8" w:space="0" w:color="000000"/>
            </w:tcBorders>
          </w:tcPr>
          <w:p>
            <w:pPr>
              <w:pStyle w:val="TableParagraph"/>
              <w:spacing w:before="2"/>
              <w:jc w:val="left"/>
              <w:rPr>
                <w:sz w:val="20"/>
              </w:rPr>
            </w:pPr>
          </w:p>
          <w:p>
            <w:pPr>
              <w:pStyle w:val="TableParagraph"/>
              <w:spacing w:before="1"/>
              <w:ind w:left="220"/>
              <w:jc w:val="left"/>
              <w:rPr>
                <w:b/>
                <w:sz w:val="22"/>
              </w:rPr>
            </w:pPr>
            <w:r>
              <w:rPr>
                <w:b/>
                <w:sz w:val="22"/>
              </w:rPr>
              <w:t>Total</w:t>
            </w:r>
          </w:p>
        </w:tc>
      </w:tr>
      <w:tr>
        <w:trPr>
          <w:trHeight w:val="451" w:hRule="atLeast"/>
        </w:trPr>
        <w:tc>
          <w:tcPr>
            <w:tcW w:w="2240" w:type="dxa"/>
            <w:gridSpan w:val="2"/>
            <w:vMerge/>
            <w:tcBorders>
              <w:top w:val="nil"/>
              <w:left w:val="nil"/>
            </w:tcBorders>
          </w:tcPr>
          <w:p>
            <w:pPr>
              <w:rPr>
                <w:sz w:val="2"/>
                <w:szCs w:val="2"/>
              </w:rPr>
            </w:pPr>
          </w:p>
        </w:tc>
        <w:tc>
          <w:tcPr>
            <w:tcW w:w="1340" w:type="dxa"/>
            <w:tcBorders>
              <w:top w:val="single" w:sz="18" w:space="0" w:color="FFFFFF"/>
              <w:right w:val="single" w:sz="8" w:space="0" w:color="000000"/>
            </w:tcBorders>
          </w:tcPr>
          <w:p>
            <w:pPr>
              <w:pStyle w:val="TableParagraph"/>
              <w:spacing w:line="213" w:lineRule="exact"/>
              <w:ind w:left="191"/>
              <w:jc w:val="left"/>
              <w:rPr>
                <w:sz w:val="22"/>
              </w:rPr>
            </w:pPr>
            <w:r>
              <w:rPr>
                <w:sz w:val="22"/>
              </w:rPr>
              <w:t>Pas </w:t>
            </w:r>
            <w:r>
              <w:rPr>
                <w:spacing w:val="-3"/>
                <w:sz w:val="22"/>
              </w:rPr>
              <w:t>du</w:t>
            </w:r>
            <w:r>
              <w:rPr>
                <w:spacing w:val="2"/>
                <w:sz w:val="22"/>
              </w:rPr>
              <w:t> </w:t>
            </w:r>
            <w:r>
              <w:rPr>
                <w:sz w:val="22"/>
              </w:rPr>
              <w:t>tout</w:t>
            </w:r>
          </w:p>
          <w:p>
            <w:pPr>
              <w:pStyle w:val="TableParagraph"/>
              <w:spacing w:line="219" w:lineRule="exact"/>
              <w:ind w:left="205"/>
              <w:jc w:val="left"/>
              <w:rPr>
                <w:sz w:val="22"/>
              </w:rPr>
            </w:pPr>
            <w:r>
              <w:rPr>
                <w:sz w:val="22"/>
              </w:rPr>
              <w:t>sécurisé(e)</w:t>
            </w:r>
          </w:p>
        </w:tc>
        <w:tc>
          <w:tcPr>
            <w:tcW w:w="1335" w:type="dxa"/>
            <w:tcBorders>
              <w:top w:val="single" w:sz="18" w:space="0" w:color="FFFFFF"/>
              <w:left w:val="single" w:sz="8" w:space="0" w:color="000000"/>
              <w:right w:val="single" w:sz="8" w:space="0" w:color="000000"/>
            </w:tcBorders>
          </w:tcPr>
          <w:p>
            <w:pPr>
              <w:pStyle w:val="TableParagraph"/>
              <w:spacing w:line="213" w:lineRule="exact"/>
              <w:ind w:left="180" w:right="138"/>
              <w:rPr>
                <w:sz w:val="22"/>
              </w:rPr>
            </w:pPr>
            <w:r>
              <w:rPr>
                <w:sz w:val="22"/>
              </w:rPr>
              <w:t>Peu</w:t>
            </w:r>
          </w:p>
          <w:p>
            <w:pPr>
              <w:pStyle w:val="TableParagraph"/>
              <w:spacing w:line="219" w:lineRule="exact"/>
              <w:ind w:left="180" w:right="141"/>
              <w:rPr>
                <w:sz w:val="22"/>
              </w:rPr>
            </w:pPr>
            <w:r>
              <w:rPr>
                <w:sz w:val="22"/>
              </w:rPr>
              <w:t>sécurisé(e)</w:t>
            </w:r>
          </w:p>
        </w:tc>
        <w:tc>
          <w:tcPr>
            <w:tcW w:w="1330" w:type="dxa"/>
            <w:tcBorders>
              <w:top w:val="single" w:sz="18" w:space="0" w:color="FFFFFF"/>
              <w:left w:val="single" w:sz="8" w:space="0" w:color="000000"/>
              <w:right w:val="single" w:sz="8" w:space="0" w:color="000000"/>
            </w:tcBorders>
          </w:tcPr>
          <w:p>
            <w:pPr>
              <w:pStyle w:val="TableParagraph"/>
              <w:spacing w:line="213" w:lineRule="exact"/>
              <w:ind w:left="126"/>
              <w:jc w:val="left"/>
              <w:rPr>
                <w:sz w:val="22"/>
              </w:rPr>
            </w:pPr>
            <w:r>
              <w:rPr>
                <w:sz w:val="22"/>
              </w:rPr>
              <w:t>Moyenneme</w:t>
            </w:r>
          </w:p>
          <w:p>
            <w:pPr>
              <w:pStyle w:val="TableParagraph"/>
              <w:spacing w:line="219" w:lineRule="exact"/>
              <w:ind w:left="88"/>
              <w:jc w:val="left"/>
              <w:rPr>
                <w:sz w:val="22"/>
              </w:rPr>
            </w:pPr>
            <w:r>
              <w:rPr>
                <w:sz w:val="22"/>
              </w:rPr>
              <w:t>nt sécurisé(e)</w:t>
            </w:r>
          </w:p>
        </w:tc>
        <w:tc>
          <w:tcPr>
            <w:tcW w:w="1138" w:type="dxa"/>
            <w:tcBorders>
              <w:top w:val="single" w:sz="8" w:space="0" w:color="000000"/>
              <w:left w:val="single" w:sz="8" w:space="0" w:color="000000"/>
              <w:right w:val="single" w:sz="8" w:space="0" w:color="000000"/>
            </w:tcBorders>
          </w:tcPr>
          <w:p>
            <w:pPr>
              <w:pStyle w:val="TableParagraph"/>
              <w:spacing w:before="86"/>
              <w:ind w:left="65" w:right="23"/>
              <w:rPr>
                <w:sz w:val="22"/>
              </w:rPr>
            </w:pPr>
            <w:r>
              <w:rPr>
                <w:sz w:val="22"/>
              </w:rPr>
              <w:t>Sécurisé(e)</w:t>
            </w:r>
          </w:p>
        </w:tc>
        <w:tc>
          <w:tcPr>
            <w:tcW w:w="1140" w:type="dxa"/>
            <w:tcBorders>
              <w:top w:val="single" w:sz="18" w:space="0" w:color="FFFFFF"/>
              <w:left w:val="single" w:sz="8" w:space="0" w:color="000000"/>
              <w:right w:val="single" w:sz="8" w:space="0" w:color="000000"/>
            </w:tcBorders>
          </w:tcPr>
          <w:p>
            <w:pPr>
              <w:pStyle w:val="TableParagraph"/>
              <w:spacing w:line="213" w:lineRule="exact"/>
              <w:ind w:left="299" w:right="250"/>
              <w:rPr>
                <w:sz w:val="22"/>
              </w:rPr>
            </w:pPr>
            <w:r>
              <w:rPr>
                <w:sz w:val="22"/>
              </w:rPr>
              <w:t>Très</w:t>
            </w:r>
          </w:p>
          <w:p>
            <w:pPr>
              <w:pStyle w:val="TableParagraph"/>
              <w:spacing w:line="219" w:lineRule="exact"/>
              <w:ind w:left="59" w:right="18"/>
              <w:rPr>
                <w:sz w:val="22"/>
              </w:rPr>
            </w:pPr>
            <w:r>
              <w:rPr>
                <w:sz w:val="22"/>
              </w:rPr>
              <w:t>sécurisé(e)</w:t>
            </w:r>
          </w:p>
        </w:tc>
        <w:tc>
          <w:tcPr>
            <w:tcW w:w="934" w:type="dxa"/>
            <w:vMerge/>
            <w:tcBorders>
              <w:top w:val="nil"/>
              <w:left w:val="single" w:sz="8" w:space="0" w:color="000000"/>
            </w:tcBorders>
          </w:tcPr>
          <w:p>
            <w:pPr>
              <w:rPr>
                <w:sz w:val="2"/>
                <w:szCs w:val="2"/>
              </w:rPr>
            </w:pPr>
          </w:p>
        </w:tc>
      </w:tr>
      <w:tr>
        <w:trPr>
          <w:trHeight w:val="495" w:hRule="atLeast"/>
        </w:trPr>
        <w:tc>
          <w:tcPr>
            <w:tcW w:w="598" w:type="dxa"/>
            <w:tcBorders>
              <w:bottom w:val="nil"/>
              <w:right w:val="nil"/>
            </w:tcBorders>
          </w:tcPr>
          <w:p>
            <w:pPr>
              <w:pStyle w:val="TableParagraph"/>
              <w:jc w:val="left"/>
              <w:rPr>
                <w:sz w:val="22"/>
              </w:rPr>
            </w:pPr>
          </w:p>
        </w:tc>
        <w:tc>
          <w:tcPr>
            <w:tcW w:w="1642" w:type="dxa"/>
            <w:tcBorders>
              <w:left w:val="nil"/>
              <w:bottom w:val="single" w:sz="18" w:space="0" w:color="FFFFFF"/>
            </w:tcBorders>
          </w:tcPr>
          <w:p>
            <w:pPr>
              <w:pStyle w:val="TableParagraph"/>
              <w:spacing w:line="218" w:lineRule="auto" w:before="11"/>
              <w:ind w:left="84" w:right="537"/>
              <w:jc w:val="left"/>
              <w:rPr>
                <w:sz w:val="22"/>
              </w:rPr>
            </w:pPr>
            <w:r>
              <w:rPr>
                <w:sz w:val="22"/>
              </w:rPr>
              <w:t>Pas du tout satisfait(e)</w:t>
            </w:r>
          </w:p>
        </w:tc>
        <w:tc>
          <w:tcPr>
            <w:tcW w:w="1340" w:type="dxa"/>
            <w:tcBorders>
              <w:bottom w:val="single" w:sz="18" w:space="0" w:color="FFFFFF"/>
              <w:right w:val="single" w:sz="8" w:space="0" w:color="000000"/>
            </w:tcBorders>
          </w:tcPr>
          <w:p>
            <w:pPr>
              <w:pStyle w:val="TableParagraph"/>
              <w:spacing w:before="108"/>
              <w:ind w:left="551" w:right="496"/>
              <w:rPr>
                <w:sz w:val="22"/>
              </w:rPr>
            </w:pPr>
            <w:r>
              <w:rPr>
                <w:sz w:val="22"/>
              </w:rPr>
              <w:t>10</w:t>
            </w:r>
          </w:p>
        </w:tc>
        <w:tc>
          <w:tcPr>
            <w:tcW w:w="1335" w:type="dxa"/>
            <w:tcBorders>
              <w:left w:val="single" w:sz="8" w:space="0" w:color="000000"/>
              <w:bottom w:val="single" w:sz="18" w:space="0" w:color="FFFFFF"/>
              <w:right w:val="single" w:sz="8" w:space="0" w:color="000000"/>
            </w:tcBorders>
          </w:tcPr>
          <w:p>
            <w:pPr>
              <w:pStyle w:val="TableParagraph"/>
              <w:spacing w:before="108"/>
              <w:ind w:left="38"/>
              <w:rPr>
                <w:sz w:val="22"/>
              </w:rPr>
            </w:pPr>
            <w:r>
              <w:rPr>
                <w:w w:val="100"/>
                <w:sz w:val="22"/>
              </w:rPr>
              <w:t>4</w:t>
            </w:r>
          </w:p>
        </w:tc>
        <w:tc>
          <w:tcPr>
            <w:tcW w:w="1330" w:type="dxa"/>
            <w:tcBorders>
              <w:left w:val="single" w:sz="8" w:space="0" w:color="000000"/>
              <w:bottom w:val="single" w:sz="18" w:space="0" w:color="FFFFFF"/>
              <w:right w:val="single" w:sz="8" w:space="0" w:color="000000"/>
            </w:tcBorders>
          </w:tcPr>
          <w:p>
            <w:pPr>
              <w:pStyle w:val="TableParagraph"/>
              <w:spacing w:before="108"/>
              <w:ind w:left="43"/>
              <w:rPr>
                <w:sz w:val="22"/>
              </w:rPr>
            </w:pPr>
            <w:r>
              <w:rPr>
                <w:w w:val="100"/>
                <w:sz w:val="22"/>
              </w:rPr>
              <w:t>5</w:t>
            </w:r>
          </w:p>
        </w:tc>
        <w:tc>
          <w:tcPr>
            <w:tcW w:w="1138" w:type="dxa"/>
            <w:tcBorders>
              <w:left w:val="single" w:sz="8" w:space="0" w:color="000000"/>
              <w:bottom w:val="single" w:sz="18" w:space="0" w:color="FFFFFF"/>
              <w:right w:val="single" w:sz="8" w:space="0" w:color="000000"/>
            </w:tcBorders>
          </w:tcPr>
          <w:p>
            <w:pPr>
              <w:pStyle w:val="TableParagraph"/>
              <w:spacing w:before="108"/>
              <w:ind w:left="53"/>
              <w:rPr>
                <w:sz w:val="22"/>
              </w:rPr>
            </w:pPr>
            <w:r>
              <w:rPr>
                <w:w w:val="100"/>
                <w:sz w:val="22"/>
              </w:rPr>
              <w:t>2</w:t>
            </w:r>
          </w:p>
        </w:tc>
        <w:tc>
          <w:tcPr>
            <w:tcW w:w="1140" w:type="dxa"/>
            <w:tcBorders>
              <w:left w:val="single" w:sz="8" w:space="0" w:color="000000"/>
              <w:bottom w:val="single" w:sz="18" w:space="0" w:color="FFFFFF"/>
              <w:right w:val="single" w:sz="8" w:space="0" w:color="000000"/>
            </w:tcBorders>
          </w:tcPr>
          <w:p>
            <w:pPr>
              <w:pStyle w:val="TableParagraph"/>
              <w:spacing w:before="108"/>
              <w:ind w:left="529"/>
              <w:jc w:val="left"/>
              <w:rPr>
                <w:sz w:val="22"/>
              </w:rPr>
            </w:pPr>
            <w:r>
              <w:rPr>
                <w:w w:val="100"/>
                <w:sz w:val="22"/>
              </w:rPr>
              <w:t>6</w:t>
            </w:r>
          </w:p>
        </w:tc>
        <w:tc>
          <w:tcPr>
            <w:tcW w:w="934" w:type="dxa"/>
            <w:tcBorders>
              <w:left w:val="single" w:sz="8" w:space="0" w:color="000000"/>
              <w:bottom w:val="single" w:sz="18" w:space="0" w:color="FFFFFF"/>
            </w:tcBorders>
          </w:tcPr>
          <w:p>
            <w:pPr>
              <w:pStyle w:val="TableParagraph"/>
              <w:spacing w:before="113"/>
              <w:ind w:left="283" w:right="244"/>
              <w:rPr>
                <w:b/>
                <w:sz w:val="22"/>
              </w:rPr>
            </w:pPr>
            <w:r>
              <w:rPr>
                <w:b/>
                <w:sz w:val="22"/>
              </w:rPr>
              <w:t>27</w:t>
            </w:r>
          </w:p>
        </w:tc>
      </w:tr>
      <w:tr>
        <w:trPr>
          <w:trHeight w:val="223" w:hRule="atLeast"/>
        </w:trPr>
        <w:tc>
          <w:tcPr>
            <w:tcW w:w="598" w:type="dxa"/>
            <w:vMerge w:val="restart"/>
            <w:tcBorders>
              <w:top w:val="nil"/>
              <w:bottom w:val="nil"/>
              <w:right w:val="nil"/>
            </w:tcBorders>
            <w:textDirection w:val="btLr"/>
          </w:tcPr>
          <w:p>
            <w:pPr>
              <w:pStyle w:val="TableParagraph"/>
              <w:spacing w:before="9"/>
              <w:jc w:val="left"/>
              <w:rPr>
                <w:sz w:val="16"/>
              </w:rPr>
            </w:pPr>
          </w:p>
          <w:p>
            <w:pPr>
              <w:pStyle w:val="TableParagraph"/>
              <w:spacing w:before="1"/>
              <w:ind w:left="-64" w:right="-72"/>
              <w:jc w:val="left"/>
              <w:rPr>
                <w:sz w:val="18"/>
              </w:rPr>
            </w:pPr>
            <w:r>
              <w:rPr>
                <w:sz w:val="18"/>
              </w:rPr>
              <w:t>Satisfaction</w:t>
            </w:r>
          </w:p>
        </w:tc>
        <w:tc>
          <w:tcPr>
            <w:tcW w:w="1642" w:type="dxa"/>
            <w:tcBorders>
              <w:top w:val="single" w:sz="18" w:space="0" w:color="FFFFFF"/>
              <w:left w:val="nil"/>
              <w:bottom w:val="single" w:sz="18" w:space="0" w:color="FFFFFF"/>
            </w:tcBorders>
          </w:tcPr>
          <w:p>
            <w:pPr>
              <w:pStyle w:val="TableParagraph"/>
              <w:spacing w:line="204" w:lineRule="exact"/>
              <w:ind w:left="84"/>
              <w:jc w:val="left"/>
              <w:rPr>
                <w:sz w:val="22"/>
              </w:rPr>
            </w:pPr>
            <w:r>
              <w:rPr>
                <w:sz w:val="22"/>
              </w:rPr>
              <w:t>Peu satisfait(e)</w:t>
            </w:r>
          </w:p>
        </w:tc>
        <w:tc>
          <w:tcPr>
            <w:tcW w:w="1340" w:type="dxa"/>
            <w:tcBorders>
              <w:top w:val="single" w:sz="18" w:space="0" w:color="FFFFFF"/>
              <w:bottom w:val="nil"/>
              <w:right w:val="single" w:sz="8" w:space="0" w:color="000000"/>
            </w:tcBorders>
          </w:tcPr>
          <w:p>
            <w:pPr>
              <w:pStyle w:val="TableParagraph"/>
              <w:spacing w:line="204" w:lineRule="exact"/>
              <w:ind w:left="50"/>
              <w:rPr>
                <w:sz w:val="22"/>
              </w:rPr>
            </w:pPr>
            <w:r>
              <w:rPr>
                <w:w w:val="100"/>
                <w:sz w:val="22"/>
              </w:rPr>
              <w:t>5</w:t>
            </w:r>
          </w:p>
        </w:tc>
        <w:tc>
          <w:tcPr>
            <w:tcW w:w="1335" w:type="dxa"/>
            <w:tcBorders>
              <w:top w:val="single" w:sz="18" w:space="0" w:color="FFFFFF"/>
              <w:left w:val="single" w:sz="8" w:space="0" w:color="000000"/>
              <w:bottom w:val="nil"/>
              <w:right w:val="single" w:sz="8" w:space="0" w:color="000000"/>
            </w:tcBorders>
          </w:tcPr>
          <w:p>
            <w:pPr>
              <w:pStyle w:val="TableParagraph"/>
              <w:spacing w:line="204" w:lineRule="exact"/>
              <w:ind w:left="38"/>
              <w:rPr>
                <w:sz w:val="22"/>
              </w:rPr>
            </w:pPr>
            <w:r>
              <w:rPr>
                <w:w w:val="100"/>
                <w:sz w:val="22"/>
              </w:rPr>
              <w:t>8</w:t>
            </w:r>
          </w:p>
        </w:tc>
        <w:tc>
          <w:tcPr>
            <w:tcW w:w="1330" w:type="dxa"/>
            <w:tcBorders>
              <w:top w:val="single" w:sz="18" w:space="0" w:color="FFFFFF"/>
              <w:left w:val="single" w:sz="8" w:space="0" w:color="000000"/>
              <w:bottom w:val="nil"/>
              <w:right w:val="single" w:sz="8" w:space="0" w:color="000000"/>
            </w:tcBorders>
          </w:tcPr>
          <w:p>
            <w:pPr>
              <w:pStyle w:val="TableParagraph"/>
              <w:spacing w:line="204" w:lineRule="exact"/>
              <w:ind w:left="330" w:right="283"/>
              <w:rPr>
                <w:sz w:val="22"/>
              </w:rPr>
            </w:pPr>
            <w:r>
              <w:rPr>
                <w:sz w:val="22"/>
              </w:rPr>
              <w:t>12</w:t>
            </w:r>
          </w:p>
        </w:tc>
        <w:tc>
          <w:tcPr>
            <w:tcW w:w="1138" w:type="dxa"/>
            <w:tcBorders>
              <w:top w:val="single" w:sz="18" w:space="0" w:color="FFFFFF"/>
              <w:left w:val="single" w:sz="8" w:space="0" w:color="000000"/>
              <w:bottom w:val="nil"/>
              <w:right w:val="single" w:sz="8" w:space="0" w:color="000000"/>
            </w:tcBorders>
          </w:tcPr>
          <w:p>
            <w:pPr>
              <w:pStyle w:val="TableParagraph"/>
              <w:spacing w:line="204" w:lineRule="exact"/>
              <w:ind w:left="53"/>
              <w:rPr>
                <w:sz w:val="22"/>
              </w:rPr>
            </w:pPr>
            <w:r>
              <w:rPr>
                <w:w w:val="100"/>
                <w:sz w:val="22"/>
              </w:rPr>
              <w:t>6</w:t>
            </w:r>
          </w:p>
        </w:tc>
        <w:tc>
          <w:tcPr>
            <w:tcW w:w="1140" w:type="dxa"/>
            <w:tcBorders>
              <w:top w:val="single" w:sz="18" w:space="0" w:color="FFFFFF"/>
              <w:left w:val="single" w:sz="8" w:space="0" w:color="000000"/>
              <w:bottom w:val="nil"/>
              <w:right w:val="single" w:sz="8" w:space="0" w:color="000000"/>
            </w:tcBorders>
          </w:tcPr>
          <w:p>
            <w:pPr>
              <w:pStyle w:val="TableParagraph"/>
              <w:spacing w:line="204" w:lineRule="exact"/>
              <w:ind w:left="529"/>
              <w:jc w:val="left"/>
              <w:rPr>
                <w:sz w:val="22"/>
              </w:rPr>
            </w:pPr>
            <w:r>
              <w:rPr>
                <w:w w:val="100"/>
                <w:sz w:val="22"/>
              </w:rPr>
              <w:t>3</w:t>
            </w:r>
          </w:p>
        </w:tc>
        <w:tc>
          <w:tcPr>
            <w:tcW w:w="934" w:type="dxa"/>
            <w:tcBorders>
              <w:top w:val="single" w:sz="18" w:space="0" w:color="FFFFFF"/>
              <w:left w:val="single" w:sz="8" w:space="0" w:color="000000"/>
              <w:bottom w:val="single" w:sz="18" w:space="0" w:color="FFFFFF"/>
            </w:tcBorders>
          </w:tcPr>
          <w:p>
            <w:pPr>
              <w:pStyle w:val="TableParagraph"/>
              <w:spacing w:line="204" w:lineRule="exact"/>
              <w:ind w:left="283" w:right="244"/>
              <w:rPr>
                <w:b/>
                <w:sz w:val="22"/>
              </w:rPr>
            </w:pPr>
            <w:r>
              <w:rPr>
                <w:b/>
                <w:sz w:val="22"/>
              </w:rPr>
              <w:t>34</w:t>
            </w:r>
          </w:p>
        </w:tc>
      </w:tr>
      <w:tr>
        <w:trPr>
          <w:trHeight w:val="459" w:hRule="atLeast"/>
        </w:trPr>
        <w:tc>
          <w:tcPr>
            <w:tcW w:w="598" w:type="dxa"/>
            <w:vMerge/>
            <w:tcBorders>
              <w:top w:val="nil"/>
              <w:bottom w:val="nil"/>
              <w:right w:val="nil"/>
            </w:tcBorders>
            <w:textDirection w:val="btLr"/>
          </w:tcPr>
          <w:p>
            <w:pPr>
              <w:rPr>
                <w:sz w:val="2"/>
                <w:szCs w:val="2"/>
              </w:rPr>
            </w:pPr>
          </w:p>
        </w:tc>
        <w:tc>
          <w:tcPr>
            <w:tcW w:w="1642" w:type="dxa"/>
            <w:tcBorders>
              <w:top w:val="single" w:sz="18" w:space="0" w:color="FFFFFF"/>
              <w:left w:val="nil"/>
              <w:bottom w:val="single" w:sz="18" w:space="0" w:color="FFFFFF"/>
            </w:tcBorders>
          </w:tcPr>
          <w:p>
            <w:pPr>
              <w:pStyle w:val="TableParagraph"/>
              <w:spacing w:line="226" w:lineRule="exact"/>
              <w:ind w:left="84"/>
              <w:jc w:val="left"/>
              <w:rPr>
                <w:sz w:val="22"/>
              </w:rPr>
            </w:pPr>
            <w:r>
              <w:rPr>
                <w:sz w:val="22"/>
              </w:rPr>
              <w:t>Moyennement satisfait(e)</w:t>
            </w:r>
          </w:p>
        </w:tc>
        <w:tc>
          <w:tcPr>
            <w:tcW w:w="1340" w:type="dxa"/>
            <w:tcBorders>
              <w:top w:val="nil"/>
              <w:bottom w:val="single" w:sz="18" w:space="0" w:color="FFFFFF"/>
              <w:right w:val="single" w:sz="8" w:space="0" w:color="000000"/>
            </w:tcBorders>
          </w:tcPr>
          <w:p>
            <w:pPr>
              <w:pStyle w:val="TableParagraph"/>
              <w:spacing w:before="86"/>
              <w:ind w:left="50"/>
              <w:rPr>
                <w:sz w:val="22"/>
              </w:rPr>
            </w:pPr>
            <w:r>
              <w:rPr>
                <w:w w:val="100"/>
                <w:sz w:val="22"/>
              </w:rPr>
              <w:t>8</w:t>
            </w:r>
          </w:p>
        </w:tc>
        <w:tc>
          <w:tcPr>
            <w:tcW w:w="1335" w:type="dxa"/>
            <w:tcBorders>
              <w:top w:val="nil"/>
              <w:left w:val="single" w:sz="8" w:space="0" w:color="000000"/>
              <w:bottom w:val="single" w:sz="18" w:space="0" w:color="FFFFFF"/>
              <w:right w:val="single" w:sz="8" w:space="0" w:color="000000"/>
            </w:tcBorders>
          </w:tcPr>
          <w:p>
            <w:pPr>
              <w:pStyle w:val="TableParagraph"/>
              <w:spacing w:before="86"/>
              <w:ind w:left="180" w:right="137"/>
              <w:rPr>
                <w:sz w:val="22"/>
              </w:rPr>
            </w:pPr>
            <w:r>
              <w:rPr>
                <w:sz w:val="22"/>
              </w:rPr>
              <w:t>22</w:t>
            </w:r>
          </w:p>
        </w:tc>
        <w:tc>
          <w:tcPr>
            <w:tcW w:w="1330" w:type="dxa"/>
            <w:tcBorders>
              <w:top w:val="nil"/>
              <w:left w:val="single" w:sz="8" w:space="0" w:color="000000"/>
              <w:bottom w:val="single" w:sz="18" w:space="0" w:color="FFFFFF"/>
              <w:right w:val="single" w:sz="8" w:space="0" w:color="000000"/>
            </w:tcBorders>
          </w:tcPr>
          <w:p>
            <w:pPr>
              <w:pStyle w:val="TableParagraph"/>
              <w:spacing w:before="86"/>
              <w:ind w:left="330" w:right="283"/>
              <w:rPr>
                <w:sz w:val="22"/>
              </w:rPr>
            </w:pPr>
            <w:r>
              <w:rPr>
                <w:sz w:val="22"/>
              </w:rPr>
              <w:t>52</w:t>
            </w:r>
          </w:p>
        </w:tc>
        <w:tc>
          <w:tcPr>
            <w:tcW w:w="1138" w:type="dxa"/>
            <w:tcBorders>
              <w:top w:val="nil"/>
              <w:left w:val="single" w:sz="8" w:space="0" w:color="000000"/>
              <w:bottom w:val="single" w:sz="18" w:space="0" w:color="FFFFFF"/>
              <w:right w:val="single" w:sz="8" w:space="0" w:color="000000"/>
            </w:tcBorders>
          </w:tcPr>
          <w:p>
            <w:pPr>
              <w:pStyle w:val="TableParagraph"/>
              <w:spacing w:before="86"/>
              <w:ind w:left="65" w:right="17"/>
              <w:rPr>
                <w:sz w:val="22"/>
              </w:rPr>
            </w:pPr>
            <w:r>
              <w:rPr>
                <w:sz w:val="22"/>
              </w:rPr>
              <w:t>38</w:t>
            </w:r>
          </w:p>
        </w:tc>
        <w:tc>
          <w:tcPr>
            <w:tcW w:w="1140" w:type="dxa"/>
            <w:tcBorders>
              <w:top w:val="nil"/>
              <w:left w:val="single" w:sz="8" w:space="0" w:color="000000"/>
              <w:bottom w:val="single" w:sz="18" w:space="0" w:color="FFFFFF"/>
              <w:right w:val="single" w:sz="8" w:space="0" w:color="000000"/>
            </w:tcBorders>
          </w:tcPr>
          <w:p>
            <w:pPr>
              <w:pStyle w:val="TableParagraph"/>
              <w:spacing w:before="86"/>
              <w:ind w:left="472"/>
              <w:jc w:val="left"/>
              <w:rPr>
                <w:sz w:val="22"/>
              </w:rPr>
            </w:pPr>
            <w:r>
              <w:rPr>
                <w:sz w:val="22"/>
              </w:rPr>
              <w:t>16</w:t>
            </w:r>
          </w:p>
        </w:tc>
        <w:tc>
          <w:tcPr>
            <w:tcW w:w="934" w:type="dxa"/>
            <w:tcBorders>
              <w:top w:val="single" w:sz="18" w:space="0" w:color="FFFFFF"/>
              <w:left w:val="single" w:sz="8" w:space="0" w:color="000000"/>
              <w:bottom w:val="single" w:sz="18" w:space="0" w:color="FFFFFF"/>
            </w:tcBorders>
          </w:tcPr>
          <w:p>
            <w:pPr>
              <w:pStyle w:val="TableParagraph"/>
              <w:spacing w:before="91"/>
              <w:ind w:left="287" w:right="244"/>
              <w:rPr>
                <w:b/>
                <w:sz w:val="22"/>
              </w:rPr>
            </w:pPr>
            <w:r>
              <w:rPr>
                <w:b/>
                <w:sz w:val="22"/>
              </w:rPr>
              <w:t>136</w:t>
            </w:r>
          </w:p>
        </w:tc>
      </w:tr>
      <w:tr>
        <w:trPr>
          <w:trHeight w:val="223" w:hRule="atLeast"/>
        </w:trPr>
        <w:tc>
          <w:tcPr>
            <w:tcW w:w="598" w:type="dxa"/>
            <w:tcBorders>
              <w:top w:val="nil"/>
              <w:bottom w:val="nil"/>
              <w:right w:val="nil"/>
            </w:tcBorders>
          </w:tcPr>
          <w:p>
            <w:pPr>
              <w:pStyle w:val="TableParagraph"/>
              <w:jc w:val="left"/>
              <w:rPr>
                <w:sz w:val="14"/>
              </w:rPr>
            </w:pPr>
          </w:p>
        </w:tc>
        <w:tc>
          <w:tcPr>
            <w:tcW w:w="1642" w:type="dxa"/>
            <w:tcBorders>
              <w:top w:val="single" w:sz="18" w:space="0" w:color="FFFFFF"/>
              <w:left w:val="nil"/>
              <w:bottom w:val="single" w:sz="18" w:space="0" w:color="FFFFFF"/>
            </w:tcBorders>
          </w:tcPr>
          <w:p>
            <w:pPr>
              <w:pStyle w:val="TableParagraph"/>
              <w:spacing w:line="204" w:lineRule="exact"/>
              <w:ind w:left="84"/>
              <w:jc w:val="left"/>
              <w:rPr>
                <w:sz w:val="22"/>
              </w:rPr>
            </w:pPr>
            <w:r>
              <w:rPr>
                <w:sz w:val="22"/>
              </w:rPr>
              <w:t>Satisfait(e)</w:t>
            </w:r>
          </w:p>
        </w:tc>
        <w:tc>
          <w:tcPr>
            <w:tcW w:w="1340" w:type="dxa"/>
            <w:tcBorders>
              <w:top w:val="single" w:sz="18" w:space="0" w:color="FFFFFF"/>
              <w:bottom w:val="single" w:sz="18" w:space="0" w:color="FFFFFF"/>
              <w:right w:val="single" w:sz="8" w:space="0" w:color="000000"/>
            </w:tcBorders>
          </w:tcPr>
          <w:p>
            <w:pPr>
              <w:pStyle w:val="TableParagraph"/>
              <w:spacing w:line="204" w:lineRule="exact"/>
              <w:ind w:left="50"/>
              <w:rPr>
                <w:sz w:val="22"/>
              </w:rPr>
            </w:pPr>
            <w:r>
              <w:rPr>
                <w:w w:val="100"/>
                <w:sz w:val="22"/>
              </w:rPr>
              <w:t>2</w:t>
            </w:r>
          </w:p>
        </w:tc>
        <w:tc>
          <w:tcPr>
            <w:tcW w:w="1335" w:type="dxa"/>
            <w:tcBorders>
              <w:top w:val="single" w:sz="18" w:space="0" w:color="FFFFFF"/>
              <w:left w:val="single" w:sz="8" w:space="0" w:color="000000"/>
              <w:bottom w:val="single" w:sz="18" w:space="0" w:color="FFFFFF"/>
              <w:right w:val="single" w:sz="8" w:space="0" w:color="000000"/>
            </w:tcBorders>
          </w:tcPr>
          <w:p>
            <w:pPr>
              <w:pStyle w:val="TableParagraph"/>
              <w:spacing w:line="204" w:lineRule="exact"/>
              <w:ind w:left="38"/>
              <w:rPr>
                <w:sz w:val="22"/>
              </w:rPr>
            </w:pPr>
            <w:r>
              <w:rPr>
                <w:w w:val="100"/>
                <w:sz w:val="22"/>
              </w:rPr>
              <w:t>1</w:t>
            </w:r>
          </w:p>
        </w:tc>
        <w:tc>
          <w:tcPr>
            <w:tcW w:w="1330" w:type="dxa"/>
            <w:tcBorders>
              <w:top w:val="single" w:sz="18" w:space="0" w:color="FFFFFF"/>
              <w:left w:val="single" w:sz="8" w:space="0" w:color="000000"/>
              <w:bottom w:val="single" w:sz="18" w:space="0" w:color="FFFFFF"/>
              <w:right w:val="single" w:sz="8" w:space="0" w:color="000000"/>
            </w:tcBorders>
          </w:tcPr>
          <w:p>
            <w:pPr>
              <w:pStyle w:val="TableParagraph"/>
              <w:spacing w:line="204" w:lineRule="exact"/>
              <w:ind w:left="330" w:right="283"/>
              <w:rPr>
                <w:sz w:val="22"/>
              </w:rPr>
            </w:pPr>
            <w:r>
              <w:rPr>
                <w:sz w:val="22"/>
              </w:rPr>
              <w:t>44</w:t>
            </w:r>
          </w:p>
        </w:tc>
        <w:tc>
          <w:tcPr>
            <w:tcW w:w="1138" w:type="dxa"/>
            <w:tcBorders>
              <w:top w:val="single" w:sz="18" w:space="0" w:color="FFFFFF"/>
              <w:left w:val="single" w:sz="8" w:space="0" w:color="000000"/>
              <w:bottom w:val="single" w:sz="18" w:space="0" w:color="FFFFFF"/>
              <w:right w:val="single" w:sz="8" w:space="0" w:color="000000"/>
            </w:tcBorders>
          </w:tcPr>
          <w:p>
            <w:pPr>
              <w:pStyle w:val="TableParagraph"/>
              <w:spacing w:line="204" w:lineRule="exact"/>
              <w:ind w:left="65" w:right="17"/>
              <w:rPr>
                <w:sz w:val="22"/>
              </w:rPr>
            </w:pPr>
            <w:r>
              <w:rPr>
                <w:sz w:val="22"/>
              </w:rPr>
              <w:t>56</w:t>
            </w:r>
          </w:p>
        </w:tc>
        <w:tc>
          <w:tcPr>
            <w:tcW w:w="1140" w:type="dxa"/>
            <w:tcBorders>
              <w:top w:val="single" w:sz="18" w:space="0" w:color="FFFFFF"/>
              <w:left w:val="single" w:sz="8" w:space="0" w:color="000000"/>
              <w:bottom w:val="single" w:sz="18" w:space="0" w:color="FFFFFF"/>
              <w:right w:val="single" w:sz="8" w:space="0" w:color="000000"/>
            </w:tcBorders>
          </w:tcPr>
          <w:p>
            <w:pPr>
              <w:pStyle w:val="TableParagraph"/>
              <w:spacing w:line="204" w:lineRule="exact"/>
              <w:ind w:left="472"/>
              <w:jc w:val="left"/>
              <w:rPr>
                <w:sz w:val="22"/>
              </w:rPr>
            </w:pPr>
            <w:r>
              <w:rPr>
                <w:sz w:val="22"/>
              </w:rPr>
              <w:t>32</w:t>
            </w:r>
          </w:p>
        </w:tc>
        <w:tc>
          <w:tcPr>
            <w:tcW w:w="934" w:type="dxa"/>
            <w:tcBorders>
              <w:top w:val="single" w:sz="18" w:space="0" w:color="FFFFFF"/>
              <w:left w:val="single" w:sz="8" w:space="0" w:color="000000"/>
              <w:bottom w:val="single" w:sz="18" w:space="0" w:color="FFFFFF"/>
            </w:tcBorders>
          </w:tcPr>
          <w:p>
            <w:pPr>
              <w:pStyle w:val="TableParagraph"/>
              <w:spacing w:line="204" w:lineRule="exact"/>
              <w:ind w:left="287" w:right="244"/>
              <w:rPr>
                <w:b/>
                <w:sz w:val="22"/>
              </w:rPr>
            </w:pPr>
            <w:r>
              <w:rPr>
                <w:b/>
                <w:sz w:val="22"/>
              </w:rPr>
              <w:t>135</w:t>
            </w:r>
          </w:p>
        </w:tc>
      </w:tr>
      <w:tr>
        <w:trPr>
          <w:trHeight w:val="206" w:hRule="atLeast"/>
        </w:trPr>
        <w:tc>
          <w:tcPr>
            <w:tcW w:w="598" w:type="dxa"/>
            <w:tcBorders>
              <w:top w:val="nil"/>
              <w:bottom w:val="nil"/>
              <w:right w:val="nil"/>
            </w:tcBorders>
          </w:tcPr>
          <w:p>
            <w:pPr>
              <w:pStyle w:val="TableParagraph"/>
              <w:jc w:val="left"/>
              <w:rPr>
                <w:sz w:val="14"/>
              </w:rPr>
            </w:pPr>
          </w:p>
        </w:tc>
        <w:tc>
          <w:tcPr>
            <w:tcW w:w="1642" w:type="dxa"/>
            <w:vMerge w:val="restart"/>
            <w:tcBorders>
              <w:top w:val="single" w:sz="18" w:space="0" w:color="FFFFFF"/>
              <w:left w:val="nil"/>
            </w:tcBorders>
          </w:tcPr>
          <w:p>
            <w:pPr>
              <w:pStyle w:val="TableParagraph"/>
              <w:spacing w:line="229" w:lineRule="exact"/>
              <w:ind w:left="84"/>
              <w:jc w:val="left"/>
              <w:rPr>
                <w:sz w:val="22"/>
              </w:rPr>
            </w:pPr>
            <w:r>
              <w:rPr>
                <w:sz w:val="22"/>
              </w:rPr>
              <w:t>Très satisfait(e)</w:t>
            </w:r>
          </w:p>
        </w:tc>
        <w:tc>
          <w:tcPr>
            <w:tcW w:w="1340" w:type="dxa"/>
            <w:tcBorders>
              <w:top w:val="single" w:sz="18" w:space="0" w:color="FFFFFF"/>
              <w:bottom w:val="nil"/>
              <w:right w:val="single" w:sz="8" w:space="0" w:color="000000"/>
            </w:tcBorders>
          </w:tcPr>
          <w:p>
            <w:pPr>
              <w:pStyle w:val="TableParagraph"/>
              <w:spacing w:line="186" w:lineRule="exact"/>
              <w:ind w:left="50"/>
              <w:rPr>
                <w:sz w:val="22"/>
              </w:rPr>
            </w:pPr>
            <w:r>
              <w:rPr>
                <w:w w:val="100"/>
                <w:sz w:val="22"/>
              </w:rPr>
              <w:t>1</w:t>
            </w:r>
          </w:p>
        </w:tc>
        <w:tc>
          <w:tcPr>
            <w:tcW w:w="1335" w:type="dxa"/>
            <w:tcBorders>
              <w:top w:val="single" w:sz="18" w:space="0" w:color="FFFFFF"/>
              <w:left w:val="single" w:sz="8" w:space="0" w:color="000000"/>
              <w:bottom w:val="nil"/>
              <w:right w:val="single" w:sz="8" w:space="0" w:color="000000"/>
            </w:tcBorders>
          </w:tcPr>
          <w:p>
            <w:pPr>
              <w:pStyle w:val="TableParagraph"/>
              <w:spacing w:line="186" w:lineRule="exact"/>
              <w:ind w:left="38"/>
              <w:rPr>
                <w:sz w:val="22"/>
              </w:rPr>
            </w:pPr>
            <w:r>
              <w:rPr>
                <w:w w:val="100"/>
                <w:sz w:val="22"/>
              </w:rPr>
              <w:t>1</w:t>
            </w:r>
          </w:p>
        </w:tc>
        <w:tc>
          <w:tcPr>
            <w:tcW w:w="1330" w:type="dxa"/>
            <w:tcBorders>
              <w:top w:val="single" w:sz="18" w:space="0" w:color="FFFFFF"/>
              <w:left w:val="single" w:sz="8" w:space="0" w:color="000000"/>
              <w:bottom w:val="nil"/>
              <w:right w:val="single" w:sz="8" w:space="0" w:color="000000"/>
            </w:tcBorders>
          </w:tcPr>
          <w:p>
            <w:pPr>
              <w:pStyle w:val="TableParagraph"/>
              <w:spacing w:line="186" w:lineRule="exact"/>
              <w:ind w:left="43"/>
              <w:rPr>
                <w:sz w:val="22"/>
              </w:rPr>
            </w:pPr>
            <w:r>
              <w:rPr>
                <w:w w:val="100"/>
                <w:sz w:val="22"/>
              </w:rPr>
              <w:t>3</w:t>
            </w:r>
          </w:p>
        </w:tc>
        <w:tc>
          <w:tcPr>
            <w:tcW w:w="1138" w:type="dxa"/>
            <w:tcBorders>
              <w:top w:val="single" w:sz="18" w:space="0" w:color="FFFFFF"/>
              <w:left w:val="single" w:sz="8" w:space="0" w:color="000000"/>
              <w:bottom w:val="nil"/>
              <w:right w:val="single" w:sz="8" w:space="0" w:color="000000"/>
            </w:tcBorders>
          </w:tcPr>
          <w:p>
            <w:pPr>
              <w:pStyle w:val="TableParagraph"/>
              <w:spacing w:line="186" w:lineRule="exact"/>
              <w:ind w:left="65" w:right="17"/>
              <w:rPr>
                <w:sz w:val="22"/>
              </w:rPr>
            </w:pPr>
            <w:r>
              <w:rPr>
                <w:sz w:val="22"/>
              </w:rPr>
              <w:t>10</w:t>
            </w:r>
          </w:p>
        </w:tc>
        <w:tc>
          <w:tcPr>
            <w:tcW w:w="1140" w:type="dxa"/>
            <w:tcBorders>
              <w:top w:val="single" w:sz="18" w:space="0" w:color="FFFFFF"/>
              <w:left w:val="single" w:sz="8" w:space="0" w:color="000000"/>
              <w:bottom w:val="nil"/>
              <w:right w:val="single" w:sz="8" w:space="0" w:color="000000"/>
            </w:tcBorders>
          </w:tcPr>
          <w:p>
            <w:pPr>
              <w:pStyle w:val="TableParagraph"/>
              <w:spacing w:line="186" w:lineRule="exact"/>
              <w:ind w:left="472"/>
              <w:jc w:val="left"/>
              <w:rPr>
                <w:sz w:val="22"/>
              </w:rPr>
            </w:pPr>
            <w:r>
              <w:rPr>
                <w:sz w:val="22"/>
              </w:rPr>
              <w:t>29</w:t>
            </w:r>
          </w:p>
        </w:tc>
        <w:tc>
          <w:tcPr>
            <w:tcW w:w="934" w:type="dxa"/>
            <w:tcBorders>
              <w:top w:val="single" w:sz="18" w:space="0" w:color="FFFFFF"/>
              <w:left w:val="single" w:sz="8" w:space="0" w:color="000000"/>
              <w:bottom w:val="nil"/>
            </w:tcBorders>
          </w:tcPr>
          <w:p>
            <w:pPr>
              <w:pStyle w:val="TableParagraph"/>
              <w:spacing w:line="186" w:lineRule="exact"/>
              <w:ind w:left="283" w:right="244"/>
              <w:rPr>
                <w:b/>
                <w:sz w:val="22"/>
              </w:rPr>
            </w:pPr>
            <w:r>
              <w:rPr>
                <w:b/>
                <w:sz w:val="22"/>
              </w:rPr>
              <w:t>44</w:t>
            </w:r>
          </w:p>
        </w:tc>
      </w:tr>
      <w:tr>
        <w:trPr>
          <w:trHeight w:val="220" w:hRule="atLeast"/>
        </w:trPr>
        <w:tc>
          <w:tcPr>
            <w:tcW w:w="598" w:type="dxa"/>
            <w:tcBorders>
              <w:top w:val="nil"/>
              <w:right w:val="nil"/>
            </w:tcBorders>
          </w:tcPr>
          <w:p>
            <w:pPr>
              <w:pStyle w:val="TableParagraph"/>
              <w:spacing w:line="200" w:lineRule="exact"/>
              <w:ind w:left="87"/>
              <w:jc w:val="left"/>
              <w:rPr>
                <w:b/>
                <w:sz w:val="18"/>
              </w:rPr>
            </w:pPr>
            <w:r>
              <w:rPr>
                <w:b/>
                <w:sz w:val="18"/>
              </w:rPr>
              <w:t>Total</w:t>
            </w:r>
          </w:p>
        </w:tc>
        <w:tc>
          <w:tcPr>
            <w:tcW w:w="1642" w:type="dxa"/>
            <w:vMerge/>
            <w:tcBorders>
              <w:top w:val="nil"/>
              <w:left w:val="nil"/>
            </w:tcBorders>
          </w:tcPr>
          <w:p>
            <w:pPr>
              <w:rPr>
                <w:sz w:val="2"/>
                <w:szCs w:val="2"/>
              </w:rPr>
            </w:pPr>
          </w:p>
        </w:tc>
        <w:tc>
          <w:tcPr>
            <w:tcW w:w="1340" w:type="dxa"/>
            <w:tcBorders>
              <w:top w:val="nil"/>
              <w:right w:val="single" w:sz="8" w:space="0" w:color="000000"/>
            </w:tcBorders>
          </w:tcPr>
          <w:p>
            <w:pPr>
              <w:pStyle w:val="TableParagraph"/>
              <w:spacing w:line="201" w:lineRule="exact"/>
              <w:ind w:left="551" w:right="496"/>
              <w:rPr>
                <w:b/>
                <w:sz w:val="22"/>
              </w:rPr>
            </w:pPr>
            <w:r>
              <w:rPr>
                <w:b/>
                <w:sz w:val="22"/>
              </w:rPr>
              <w:t>26</w:t>
            </w:r>
          </w:p>
        </w:tc>
        <w:tc>
          <w:tcPr>
            <w:tcW w:w="1335" w:type="dxa"/>
            <w:tcBorders>
              <w:top w:val="nil"/>
              <w:left w:val="single" w:sz="8" w:space="0" w:color="000000"/>
              <w:right w:val="single" w:sz="8" w:space="0" w:color="000000"/>
            </w:tcBorders>
          </w:tcPr>
          <w:p>
            <w:pPr>
              <w:pStyle w:val="TableParagraph"/>
              <w:spacing w:line="201" w:lineRule="exact"/>
              <w:ind w:left="180" w:right="137"/>
              <w:rPr>
                <w:b/>
                <w:sz w:val="22"/>
              </w:rPr>
            </w:pPr>
            <w:r>
              <w:rPr>
                <w:b/>
                <w:sz w:val="22"/>
              </w:rPr>
              <w:t>36</w:t>
            </w:r>
          </w:p>
        </w:tc>
        <w:tc>
          <w:tcPr>
            <w:tcW w:w="1330" w:type="dxa"/>
            <w:tcBorders>
              <w:top w:val="nil"/>
              <w:left w:val="single" w:sz="8" w:space="0" w:color="000000"/>
              <w:right w:val="single" w:sz="8" w:space="0" w:color="000000"/>
            </w:tcBorders>
          </w:tcPr>
          <w:p>
            <w:pPr>
              <w:pStyle w:val="TableParagraph"/>
              <w:spacing w:line="201" w:lineRule="exact"/>
              <w:ind w:left="326" w:right="283"/>
              <w:rPr>
                <w:b/>
                <w:sz w:val="22"/>
              </w:rPr>
            </w:pPr>
            <w:r>
              <w:rPr>
                <w:b/>
                <w:sz w:val="22"/>
              </w:rPr>
              <w:t>116</w:t>
            </w:r>
          </w:p>
        </w:tc>
        <w:tc>
          <w:tcPr>
            <w:tcW w:w="1138" w:type="dxa"/>
            <w:tcBorders>
              <w:top w:val="nil"/>
              <w:left w:val="single" w:sz="8" w:space="0" w:color="000000"/>
              <w:right w:val="single" w:sz="8" w:space="0" w:color="000000"/>
            </w:tcBorders>
          </w:tcPr>
          <w:p>
            <w:pPr>
              <w:pStyle w:val="TableParagraph"/>
              <w:spacing w:line="201" w:lineRule="exact"/>
              <w:ind w:left="65" w:right="14"/>
              <w:rPr>
                <w:b/>
                <w:sz w:val="22"/>
              </w:rPr>
            </w:pPr>
            <w:r>
              <w:rPr>
                <w:b/>
                <w:sz w:val="22"/>
              </w:rPr>
              <w:t>112</w:t>
            </w:r>
          </w:p>
        </w:tc>
        <w:tc>
          <w:tcPr>
            <w:tcW w:w="1140" w:type="dxa"/>
            <w:tcBorders>
              <w:top w:val="nil"/>
              <w:left w:val="single" w:sz="8" w:space="0" w:color="000000"/>
              <w:right w:val="single" w:sz="8" w:space="0" w:color="000000"/>
            </w:tcBorders>
          </w:tcPr>
          <w:p>
            <w:pPr>
              <w:pStyle w:val="TableParagraph"/>
              <w:spacing w:line="201" w:lineRule="exact"/>
              <w:ind w:left="472"/>
              <w:jc w:val="left"/>
              <w:rPr>
                <w:b/>
                <w:sz w:val="22"/>
              </w:rPr>
            </w:pPr>
            <w:r>
              <w:rPr>
                <w:b/>
                <w:sz w:val="22"/>
              </w:rPr>
              <w:t>86</w:t>
            </w:r>
          </w:p>
        </w:tc>
        <w:tc>
          <w:tcPr>
            <w:tcW w:w="934" w:type="dxa"/>
            <w:tcBorders>
              <w:top w:val="nil"/>
              <w:left w:val="single" w:sz="8" w:space="0" w:color="000000"/>
            </w:tcBorders>
          </w:tcPr>
          <w:p>
            <w:pPr>
              <w:pStyle w:val="TableParagraph"/>
              <w:spacing w:line="201" w:lineRule="exact"/>
              <w:ind w:left="287" w:right="244"/>
              <w:rPr>
                <w:b/>
                <w:sz w:val="22"/>
              </w:rPr>
            </w:pPr>
            <w:r>
              <w:rPr>
                <w:b/>
                <w:sz w:val="22"/>
              </w:rPr>
              <w:t>376</w:t>
            </w:r>
          </w:p>
        </w:tc>
      </w:tr>
    </w:tbl>
    <w:p>
      <w:pPr>
        <w:pStyle w:val="BodyText"/>
        <w:spacing w:before="5"/>
        <w:rPr>
          <w:sz w:val="20"/>
        </w:rPr>
      </w:pPr>
    </w:p>
    <w:p>
      <w:pPr>
        <w:pStyle w:val="BodyText"/>
        <w:spacing w:before="90"/>
        <w:ind w:left="2414"/>
        <w:jc w:val="both"/>
      </w:pPr>
      <w:r>
        <w:rPr>
          <w:b/>
        </w:rPr>
        <w:t>Source : </w:t>
      </w:r>
      <w:r>
        <w:rPr/>
        <w:t>élaboré par nous-même sur la base des outputs SPSS</w:t>
      </w:r>
    </w:p>
    <w:p>
      <w:pPr>
        <w:pStyle w:val="BodyText"/>
        <w:spacing w:line="360" w:lineRule="auto" w:before="142"/>
        <w:ind w:left="699" w:right="310" w:firstLine="360"/>
        <w:jc w:val="both"/>
      </w:pPr>
      <w:r>
        <w:rPr/>
        <w:t>Les résultats montrent un lien clair entre </w:t>
      </w:r>
      <w:r>
        <w:rPr>
          <w:spacing w:val="-5"/>
        </w:rPr>
        <w:t>la </w:t>
      </w:r>
      <w:r>
        <w:rPr/>
        <w:t>satisfaction des utilisateurs et </w:t>
      </w:r>
      <w:r>
        <w:rPr>
          <w:spacing w:val="-3"/>
        </w:rPr>
        <w:t>la </w:t>
      </w:r>
      <w:r>
        <w:rPr/>
        <w:t>sécurité perçue de l'application BaridiMob. Les 10 utilisateurs qui </w:t>
      </w:r>
      <w:r>
        <w:rPr>
          <w:spacing w:val="-3"/>
        </w:rPr>
        <w:t>ne </w:t>
      </w:r>
      <w:r>
        <w:rPr/>
        <w:t>sont pas du tout satisfaits trouvent que l’application est pas du tout sécurisée. Les 12 utilisateurs qui sont peu satisfaits disent que </w:t>
      </w:r>
      <w:r>
        <w:rPr>
          <w:spacing w:val="-5"/>
        </w:rPr>
        <w:t>la </w:t>
      </w:r>
      <w:r>
        <w:rPr/>
        <w:t>sécurité est moyenne, et 8 utilisateurs trouvent qu’elle est peu sécurisée. Parmi les 136</w:t>
      </w:r>
      <w:r>
        <w:rPr>
          <w:spacing w:val="-30"/>
        </w:rPr>
        <w:t> </w:t>
      </w:r>
      <w:r>
        <w:rPr/>
        <w:t>utilisateurs moyennement</w:t>
      </w:r>
      <w:r>
        <w:rPr>
          <w:spacing w:val="-8"/>
        </w:rPr>
        <w:t> </w:t>
      </w:r>
      <w:r>
        <w:rPr/>
        <w:t>satisfaits,</w:t>
      </w:r>
      <w:r>
        <w:rPr>
          <w:spacing w:val="-10"/>
        </w:rPr>
        <w:t> </w:t>
      </w:r>
      <w:r>
        <w:rPr/>
        <w:t>52</w:t>
      </w:r>
      <w:r>
        <w:rPr>
          <w:spacing w:val="-13"/>
        </w:rPr>
        <w:t> </w:t>
      </w:r>
      <w:r>
        <w:rPr/>
        <w:t>pensent</w:t>
      </w:r>
      <w:r>
        <w:rPr>
          <w:spacing w:val="-7"/>
        </w:rPr>
        <w:t> </w:t>
      </w:r>
      <w:r>
        <w:rPr/>
        <w:t>que</w:t>
      </w:r>
      <w:r>
        <w:rPr>
          <w:spacing w:val="-9"/>
        </w:rPr>
        <w:t> </w:t>
      </w:r>
      <w:r>
        <w:rPr>
          <w:spacing w:val="-5"/>
        </w:rPr>
        <w:t>la</w:t>
      </w:r>
      <w:r>
        <w:rPr>
          <w:spacing w:val="-13"/>
        </w:rPr>
        <w:t> </w:t>
      </w:r>
      <w:r>
        <w:rPr/>
        <w:t>sécurité</w:t>
      </w:r>
      <w:r>
        <w:rPr>
          <w:spacing w:val="-13"/>
        </w:rPr>
        <w:t> </w:t>
      </w:r>
      <w:r>
        <w:rPr/>
        <w:t>est</w:t>
      </w:r>
      <w:r>
        <w:rPr>
          <w:spacing w:val="-7"/>
        </w:rPr>
        <w:t> </w:t>
      </w:r>
      <w:r>
        <w:rPr/>
        <w:t>moyenne.</w:t>
      </w:r>
      <w:r>
        <w:rPr>
          <w:spacing w:val="-11"/>
        </w:rPr>
        <w:t> </w:t>
      </w:r>
      <w:r>
        <w:rPr/>
        <w:t>Sur</w:t>
      </w:r>
      <w:r>
        <w:rPr>
          <w:spacing w:val="-10"/>
        </w:rPr>
        <w:t> </w:t>
      </w:r>
      <w:r>
        <w:rPr/>
        <w:t>les</w:t>
      </w:r>
      <w:r>
        <w:rPr>
          <w:spacing w:val="-14"/>
        </w:rPr>
        <w:t> </w:t>
      </w:r>
      <w:r>
        <w:rPr/>
        <w:t>135</w:t>
      </w:r>
      <w:r>
        <w:rPr>
          <w:spacing w:val="-4"/>
        </w:rPr>
        <w:t> </w:t>
      </w:r>
      <w:r>
        <w:rPr/>
        <w:t>utilisateurs</w:t>
      </w:r>
      <w:r>
        <w:rPr>
          <w:spacing w:val="-12"/>
        </w:rPr>
        <w:t> </w:t>
      </w:r>
      <w:r>
        <w:rPr/>
        <w:t>satisfaites, 56 trouvent que l’application est sécurisée, et 44 disent qu’elle est moyennement sécurisée. </w:t>
      </w:r>
      <w:r>
        <w:rPr>
          <w:spacing w:val="-3"/>
        </w:rPr>
        <w:t>Enfin, </w:t>
      </w:r>
      <w:r>
        <w:rPr/>
        <w:t>parmi les 44 très satisfaits, 29 estiment que l’application est très</w:t>
      </w:r>
      <w:r>
        <w:rPr>
          <w:spacing w:val="2"/>
        </w:rPr>
        <w:t> </w:t>
      </w:r>
      <w:r>
        <w:rPr/>
        <w:t>sécurisée.</w:t>
      </w:r>
    </w:p>
    <w:p>
      <w:pPr>
        <w:pStyle w:val="Heading5"/>
        <w:spacing w:line="242" w:lineRule="auto" w:before="165"/>
        <w:ind w:left="699" w:right="314" w:firstLine="0"/>
      </w:pPr>
      <w:r>
        <w:rPr/>
        <w:t>Q8_Évaluation de l’expérience des utilisateurs*Q18_À quel point ces bugs influencent-ils votre utilisation de BaridiMob ?</w:t>
      </w:r>
    </w:p>
    <w:p>
      <w:pPr>
        <w:pStyle w:val="BodyText"/>
        <w:spacing w:before="148"/>
        <w:ind w:left="699"/>
        <w:jc w:val="both"/>
      </w:pPr>
      <w:bookmarkStart w:name="_bookmark67" w:id="261"/>
      <w:bookmarkEnd w:id="261"/>
      <w:r>
        <w:rPr/>
      </w:r>
      <w:r>
        <w:rPr>
          <w:b/>
          <w:color w:val="44536A"/>
        </w:rPr>
        <w:t>Tableau 31 </w:t>
      </w:r>
      <w:r>
        <w:rPr>
          <w:color w:val="44536A"/>
        </w:rPr>
        <w:t>: Évaluation de l’expérience des utilisateurs par rapport aux bugs</w:t>
      </w:r>
    </w:p>
    <w:p>
      <w:pPr>
        <w:pStyle w:val="BodyText"/>
        <w:spacing w:before="1"/>
        <w:rPr>
          <w:sz w:val="18"/>
        </w:rPr>
      </w:pPr>
    </w:p>
    <w:tbl>
      <w:tblPr>
        <w:tblW w:w="0" w:type="auto"/>
        <w:jc w:val="left"/>
        <w:tblInd w:w="71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269"/>
        <w:gridCol w:w="2105"/>
        <w:gridCol w:w="1020"/>
        <w:gridCol w:w="1853"/>
        <w:gridCol w:w="2046"/>
        <w:gridCol w:w="1277"/>
        <w:gridCol w:w="893"/>
      </w:tblGrid>
      <w:tr>
        <w:trPr>
          <w:trHeight w:val="384" w:hRule="atLeast"/>
        </w:trPr>
        <w:tc>
          <w:tcPr>
            <w:tcW w:w="2374" w:type="dxa"/>
            <w:gridSpan w:val="2"/>
            <w:vMerge w:val="restart"/>
            <w:tcBorders>
              <w:top w:val="nil"/>
              <w:left w:val="nil"/>
            </w:tcBorders>
          </w:tcPr>
          <w:p>
            <w:pPr>
              <w:pStyle w:val="TableParagraph"/>
              <w:jc w:val="left"/>
              <w:rPr>
                <w:sz w:val="22"/>
              </w:rPr>
            </w:pPr>
          </w:p>
        </w:tc>
        <w:tc>
          <w:tcPr>
            <w:tcW w:w="6196" w:type="dxa"/>
            <w:gridSpan w:val="4"/>
            <w:tcBorders>
              <w:bottom w:val="single" w:sz="8" w:space="0" w:color="FFFFFF"/>
              <w:right w:val="single" w:sz="8" w:space="0" w:color="000000"/>
            </w:tcBorders>
          </w:tcPr>
          <w:p>
            <w:pPr>
              <w:pStyle w:val="TableParagraph"/>
              <w:spacing w:before="78"/>
              <w:ind w:left="2898" w:right="2855"/>
              <w:rPr>
                <w:sz w:val="18"/>
              </w:rPr>
            </w:pPr>
            <w:r>
              <w:rPr>
                <w:sz w:val="18"/>
              </w:rPr>
              <w:t>Bugs</w:t>
            </w:r>
          </w:p>
        </w:tc>
        <w:tc>
          <w:tcPr>
            <w:tcW w:w="893" w:type="dxa"/>
            <w:vMerge w:val="restart"/>
            <w:tcBorders>
              <w:left w:val="single" w:sz="8" w:space="0" w:color="000000"/>
            </w:tcBorders>
          </w:tcPr>
          <w:p>
            <w:pPr>
              <w:pStyle w:val="TableParagraph"/>
              <w:jc w:val="left"/>
              <w:rPr>
                <w:sz w:val="24"/>
              </w:rPr>
            </w:pPr>
          </w:p>
          <w:p>
            <w:pPr>
              <w:pStyle w:val="TableParagraph"/>
              <w:spacing w:before="7"/>
              <w:jc w:val="left"/>
              <w:rPr>
                <w:sz w:val="19"/>
              </w:rPr>
            </w:pPr>
          </w:p>
          <w:p>
            <w:pPr>
              <w:pStyle w:val="TableParagraph"/>
              <w:ind w:left="207"/>
              <w:jc w:val="left"/>
              <w:rPr>
                <w:b/>
                <w:sz w:val="22"/>
              </w:rPr>
            </w:pPr>
            <w:r>
              <w:rPr>
                <w:b/>
                <w:sz w:val="22"/>
              </w:rPr>
              <w:t>Total</w:t>
            </w:r>
          </w:p>
        </w:tc>
      </w:tr>
      <w:tr>
        <w:trPr>
          <w:trHeight w:val="557" w:hRule="atLeast"/>
        </w:trPr>
        <w:tc>
          <w:tcPr>
            <w:tcW w:w="2374" w:type="dxa"/>
            <w:gridSpan w:val="2"/>
            <w:vMerge/>
            <w:tcBorders>
              <w:top w:val="nil"/>
              <w:left w:val="nil"/>
            </w:tcBorders>
          </w:tcPr>
          <w:p>
            <w:pPr>
              <w:rPr>
                <w:sz w:val="2"/>
                <w:szCs w:val="2"/>
              </w:rPr>
            </w:pPr>
          </w:p>
        </w:tc>
        <w:tc>
          <w:tcPr>
            <w:tcW w:w="1020" w:type="dxa"/>
            <w:tcBorders>
              <w:top w:val="single" w:sz="8" w:space="0" w:color="000000"/>
              <w:right w:val="single" w:sz="8" w:space="0" w:color="000000"/>
            </w:tcBorders>
          </w:tcPr>
          <w:p>
            <w:pPr>
              <w:pStyle w:val="TableParagraph"/>
              <w:spacing w:line="216" w:lineRule="auto" w:before="92"/>
              <w:ind w:left="76" w:right="36"/>
              <w:jc w:val="left"/>
              <w:rPr>
                <w:sz w:val="18"/>
              </w:rPr>
            </w:pPr>
            <w:r>
              <w:rPr>
                <w:sz w:val="18"/>
              </w:rPr>
              <w:t>Cela ne me dérange pas</w:t>
            </w:r>
          </w:p>
        </w:tc>
        <w:tc>
          <w:tcPr>
            <w:tcW w:w="1853" w:type="dxa"/>
            <w:tcBorders>
              <w:top w:val="single" w:sz="18" w:space="0" w:color="FFFFFF"/>
              <w:left w:val="single" w:sz="8" w:space="0" w:color="000000"/>
              <w:right w:val="single" w:sz="8" w:space="0" w:color="000000"/>
            </w:tcBorders>
          </w:tcPr>
          <w:p>
            <w:pPr>
              <w:pStyle w:val="TableParagraph"/>
              <w:spacing w:line="211" w:lineRule="auto" w:before="5"/>
              <w:ind w:left="293" w:right="244"/>
              <w:rPr>
                <w:sz w:val="18"/>
              </w:rPr>
            </w:pPr>
            <w:r>
              <w:rPr>
                <w:sz w:val="18"/>
              </w:rPr>
              <w:t>C’est gênant mais j’utilise toujours</w:t>
            </w:r>
          </w:p>
          <w:p>
            <w:pPr>
              <w:pStyle w:val="TableParagraph"/>
              <w:spacing w:line="168" w:lineRule="exact"/>
              <w:ind w:left="292" w:right="244"/>
              <w:rPr>
                <w:sz w:val="18"/>
              </w:rPr>
            </w:pPr>
            <w:r>
              <w:rPr>
                <w:sz w:val="18"/>
              </w:rPr>
              <w:t>l’application</w:t>
            </w:r>
          </w:p>
        </w:tc>
        <w:tc>
          <w:tcPr>
            <w:tcW w:w="2046" w:type="dxa"/>
            <w:tcBorders>
              <w:top w:val="single" w:sz="18" w:space="0" w:color="FFFFFF"/>
              <w:left w:val="single" w:sz="8" w:space="0" w:color="000000"/>
              <w:right w:val="single" w:sz="8" w:space="0" w:color="000000"/>
            </w:tcBorders>
          </w:tcPr>
          <w:p>
            <w:pPr>
              <w:pStyle w:val="TableParagraph"/>
              <w:spacing w:line="211" w:lineRule="auto" w:before="5"/>
              <w:ind w:left="154" w:right="104" w:firstLine="4"/>
              <w:rPr>
                <w:sz w:val="18"/>
              </w:rPr>
            </w:pPr>
            <w:r>
              <w:rPr>
                <w:sz w:val="18"/>
              </w:rPr>
              <w:t>J’utilise moins l’application à cause des</w:t>
            </w:r>
          </w:p>
          <w:p>
            <w:pPr>
              <w:pStyle w:val="TableParagraph"/>
              <w:spacing w:line="168" w:lineRule="exact"/>
              <w:ind w:left="844" w:right="800"/>
              <w:rPr>
                <w:sz w:val="18"/>
              </w:rPr>
            </w:pPr>
            <w:r>
              <w:rPr>
                <w:sz w:val="18"/>
              </w:rPr>
              <w:t>bugs</w:t>
            </w:r>
          </w:p>
        </w:tc>
        <w:tc>
          <w:tcPr>
            <w:tcW w:w="1277" w:type="dxa"/>
            <w:tcBorders>
              <w:top w:val="single" w:sz="18" w:space="0" w:color="FFFFFF"/>
              <w:left w:val="single" w:sz="8" w:space="0" w:color="000000"/>
              <w:right w:val="single" w:sz="8" w:space="0" w:color="000000"/>
            </w:tcBorders>
          </w:tcPr>
          <w:p>
            <w:pPr>
              <w:pStyle w:val="TableParagraph"/>
              <w:spacing w:line="211" w:lineRule="auto" w:before="5"/>
              <w:ind w:left="327" w:right="277" w:hanging="4"/>
              <w:rPr>
                <w:sz w:val="18"/>
              </w:rPr>
            </w:pPr>
            <w:r>
              <w:rPr>
                <w:sz w:val="18"/>
              </w:rPr>
              <w:t>J’arrête d’utiliser</w:t>
            </w:r>
          </w:p>
          <w:p>
            <w:pPr>
              <w:pStyle w:val="TableParagraph"/>
              <w:spacing w:line="168" w:lineRule="exact"/>
              <w:ind w:left="177" w:right="129"/>
              <w:rPr>
                <w:sz w:val="18"/>
              </w:rPr>
            </w:pPr>
            <w:r>
              <w:rPr>
                <w:sz w:val="18"/>
              </w:rPr>
              <w:t>l’application</w:t>
            </w:r>
          </w:p>
        </w:tc>
        <w:tc>
          <w:tcPr>
            <w:tcW w:w="893" w:type="dxa"/>
            <w:vMerge/>
            <w:tcBorders>
              <w:top w:val="nil"/>
              <w:left w:val="single" w:sz="8" w:space="0" w:color="000000"/>
            </w:tcBorders>
          </w:tcPr>
          <w:p>
            <w:pPr>
              <w:rPr>
                <w:sz w:val="2"/>
                <w:szCs w:val="2"/>
              </w:rPr>
            </w:pPr>
          </w:p>
        </w:tc>
      </w:tr>
      <w:tr>
        <w:trPr>
          <w:trHeight w:val="223" w:hRule="atLeast"/>
        </w:trPr>
        <w:tc>
          <w:tcPr>
            <w:tcW w:w="269" w:type="dxa"/>
            <w:vMerge w:val="restart"/>
            <w:tcBorders>
              <w:bottom w:val="nil"/>
              <w:right w:val="nil"/>
            </w:tcBorders>
            <w:textDirection w:val="btLr"/>
          </w:tcPr>
          <w:p>
            <w:pPr>
              <w:pStyle w:val="TableParagraph"/>
              <w:spacing w:line="210" w:lineRule="exact" w:before="16"/>
              <w:ind w:left="-9"/>
              <w:jc w:val="left"/>
              <w:rPr>
                <w:sz w:val="20"/>
              </w:rPr>
            </w:pPr>
            <w:r>
              <w:rPr>
                <w:sz w:val="20"/>
              </w:rPr>
              <w:t>tisfaction</w:t>
            </w:r>
          </w:p>
        </w:tc>
        <w:tc>
          <w:tcPr>
            <w:tcW w:w="2105" w:type="dxa"/>
            <w:tcBorders>
              <w:left w:val="nil"/>
              <w:bottom w:val="single" w:sz="18" w:space="0" w:color="FFFFFF"/>
            </w:tcBorders>
          </w:tcPr>
          <w:p>
            <w:pPr>
              <w:pStyle w:val="TableParagraph"/>
              <w:spacing w:line="204" w:lineRule="exact"/>
              <w:ind w:left="81"/>
              <w:jc w:val="left"/>
              <w:rPr>
                <w:sz w:val="20"/>
              </w:rPr>
            </w:pPr>
            <w:r>
              <w:rPr>
                <w:sz w:val="20"/>
              </w:rPr>
              <w:t>Pas du tout satisfait(e)</w:t>
            </w:r>
          </w:p>
        </w:tc>
        <w:tc>
          <w:tcPr>
            <w:tcW w:w="1020" w:type="dxa"/>
            <w:tcBorders>
              <w:bottom w:val="single" w:sz="18" w:space="0" w:color="FFFFFF"/>
              <w:right w:val="single" w:sz="8" w:space="0" w:color="000000"/>
            </w:tcBorders>
          </w:tcPr>
          <w:p>
            <w:pPr>
              <w:pStyle w:val="TableParagraph"/>
              <w:spacing w:line="204" w:lineRule="exact"/>
              <w:ind w:left="35"/>
              <w:rPr>
                <w:sz w:val="22"/>
              </w:rPr>
            </w:pPr>
            <w:r>
              <w:rPr>
                <w:w w:val="100"/>
                <w:sz w:val="22"/>
              </w:rPr>
              <w:t>4</w:t>
            </w:r>
          </w:p>
        </w:tc>
        <w:tc>
          <w:tcPr>
            <w:tcW w:w="1853" w:type="dxa"/>
            <w:tcBorders>
              <w:left w:val="single" w:sz="8" w:space="0" w:color="000000"/>
              <w:bottom w:val="single" w:sz="18" w:space="0" w:color="FFFFFF"/>
              <w:right w:val="single" w:sz="8" w:space="0" w:color="000000"/>
            </w:tcBorders>
          </w:tcPr>
          <w:p>
            <w:pPr>
              <w:pStyle w:val="TableParagraph"/>
              <w:spacing w:line="204" w:lineRule="exact"/>
              <w:ind w:left="46"/>
              <w:rPr>
                <w:sz w:val="22"/>
              </w:rPr>
            </w:pPr>
            <w:r>
              <w:rPr>
                <w:w w:val="100"/>
                <w:sz w:val="22"/>
              </w:rPr>
              <w:t>7</w:t>
            </w:r>
          </w:p>
        </w:tc>
        <w:tc>
          <w:tcPr>
            <w:tcW w:w="2046" w:type="dxa"/>
            <w:tcBorders>
              <w:left w:val="single" w:sz="8" w:space="0" w:color="000000"/>
              <w:bottom w:val="single" w:sz="18" w:space="0" w:color="FFFFFF"/>
              <w:right w:val="single" w:sz="8" w:space="0" w:color="000000"/>
            </w:tcBorders>
          </w:tcPr>
          <w:p>
            <w:pPr>
              <w:pStyle w:val="TableParagraph"/>
              <w:spacing w:line="204" w:lineRule="exact"/>
              <w:ind w:left="927"/>
              <w:jc w:val="left"/>
              <w:rPr>
                <w:sz w:val="22"/>
              </w:rPr>
            </w:pPr>
            <w:r>
              <w:rPr>
                <w:sz w:val="22"/>
              </w:rPr>
              <w:t>12</w:t>
            </w:r>
          </w:p>
        </w:tc>
        <w:tc>
          <w:tcPr>
            <w:tcW w:w="1277" w:type="dxa"/>
            <w:tcBorders>
              <w:left w:val="single" w:sz="8" w:space="0" w:color="000000"/>
              <w:bottom w:val="single" w:sz="18" w:space="0" w:color="FFFFFF"/>
              <w:right w:val="single" w:sz="8" w:space="0" w:color="000000"/>
            </w:tcBorders>
          </w:tcPr>
          <w:p>
            <w:pPr>
              <w:pStyle w:val="TableParagraph"/>
              <w:spacing w:line="204" w:lineRule="exact"/>
              <w:ind w:left="45"/>
              <w:rPr>
                <w:sz w:val="22"/>
              </w:rPr>
            </w:pPr>
            <w:r>
              <w:rPr>
                <w:w w:val="100"/>
                <w:sz w:val="22"/>
              </w:rPr>
              <w:t>2</w:t>
            </w:r>
          </w:p>
        </w:tc>
        <w:tc>
          <w:tcPr>
            <w:tcW w:w="893" w:type="dxa"/>
            <w:tcBorders>
              <w:left w:val="single" w:sz="8" w:space="0" w:color="000000"/>
              <w:bottom w:val="single" w:sz="18" w:space="0" w:color="FFFFFF"/>
            </w:tcBorders>
          </w:tcPr>
          <w:p>
            <w:pPr>
              <w:pStyle w:val="TableParagraph"/>
              <w:spacing w:line="204" w:lineRule="exact"/>
              <w:ind w:left="269" w:right="216"/>
              <w:rPr>
                <w:b/>
                <w:sz w:val="22"/>
              </w:rPr>
            </w:pPr>
            <w:r>
              <w:rPr>
                <w:b/>
                <w:sz w:val="22"/>
              </w:rPr>
              <w:t>25</w:t>
            </w:r>
          </w:p>
        </w:tc>
      </w:tr>
      <w:tr>
        <w:trPr>
          <w:trHeight w:val="224" w:hRule="atLeast"/>
        </w:trPr>
        <w:tc>
          <w:tcPr>
            <w:tcW w:w="269" w:type="dxa"/>
            <w:vMerge/>
            <w:tcBorders>
              <w:top w:val="nil"/>
              <w:bottom w:val="nil"/>
              <w:right w:val="nil"/>
            </w:tcBorders>
            <w:textDirection w:val="btLr"/>
          </w:tcPr>
          <w:p>
            <w:pPr>
              <w:rPr>
                <w:sz w:val="2"/>
                <w:szCs w:val="2"/>
              </w:rPr>
            </w:pPr>
          </w:p>
        </w:tc>
        <w:tc>
          <w:tcPr>
            <w:tcW w:w="2105" w:type="dxa"/>
            <w:tcBorders>
              <w:top w:val="single" w:sz="18" w:space="0" w:color="FFFFFF"/>
              <w:left w:val="nil"/>
              <w:bottom w:val="single" w:sz="18" w:space="0" w:color="FFFFFF"/>
            </w:tcBorders>
          </w:tcPr>
          <w:p>
            <w:pPr>
              <w:pStyle w:val="TableParagraph"/>
              <w:spacing w:line="204" w:lineRule="exact"/>
              <w:ind w:left="81"/>
              <w:jc w:val="left"/>
              <w:rPr>
                <w:sz w:val="20"/>
              </w:rPr>
            </w:pPr>
            <w:r>
              <w:rPr>
                <w:sz w:val="20"/>
              </w:rPr>
              <w:t>Peu satisfait(e)</w:t>
            </w:r>
          </w:p>
        </w:tc>
        <w:tc>
          <w:tcPr>
            <w:tcW w:w="1020" w:type="dxa"/>
            <w:tcBorders>
              <w:top w:val="single" w:sz="18" w:space="0" w:color="FFFFFF"/>
              <w:bottom w:val="nil"/>
              <w:right w:val="single" w:sz="8" w:space="0" w:color="000000"/>
            </w:tcBorders>
          </w:tcPr>
          <w:p>
            <w:pPr>
              <w:pStyle w:val="TableParagraph"/>
              <w:spacing w:line="204" w:lineRule="exact"/>
              <w:ind w:left="35"/>
              <w:rPr>
                <w:sz w:val="22"/>
              </w:rPr>
            </w:pPr>
            <w:r>
              <w:rPr>
                <w:w w:val="100"/>
                <w:sz w:val="22"/>
              </w:rPr>
              <w:t>1</w:t>
            </w:r>
          </w:p>
        </w:tc>
        <w:tc>
          <w:tcPr>
            <w:tcW w:w="1853" w:type="dxa"/>
            <w:tcBorders>
              <w:top w:val="single" w:sz="18" w:space="0" w:color="FFFFFF"/>
              <w:left w:val="single" w:sz="8" w:space="0" w:color="000000"/>
              <w:bottom w:val="nil"/>
              <w:right w:val="single" w:sz="8" w:space="0" w:color="000000"/>
            </w:tcBorders>
          </w:tcPr>
          <w:p>
            <w:pPr>
              <w:pStyle w:val="TableParagraph"/>
              <w:spacing w:line="204" w:lineRule="exact"/>
              <w:ind w:left="285" w:right="244"/>
              <w:rPr>
                <w:sz w:val="22"/>
              </w:rPr>
            </w:pPr>
            <w:r>
              <w:rPr>
                <w:sz w:val="22"/>
              </w:rPr>
              <w:t>14</w:t>
            </w:r>
          </w:p>
        </w:tc>
        <w:tc>
          <w:tcPr>
            <w:tcW w:w="2046" w:type="dxa"/>
            <w:tcBorders>
              <w:top w:val="single" w:sz="18" w:space="0" w:color="FFFFFF"/>
              <w:left w:val="single" w:sz="8" w:space="0" w:color="000000"/>
              <w:bottom w:val="nil"/>
              <w:right w:val="single" w:sz="8" w:space="0" w:color="000000"/>
            </w:tcBorders>
          </w:tcPr>
          <w:p>
            <w:pPr>
              <w:pStyle w:val="TableParagraph"/>
              <w:spacing w:line="204" w:lineRule="exact"/>
              <w:ind w:left="927"/>
              <w:jc w:val="left"/>
              <w:rPr>
                <w:sz w:val="22"/>
              </w:rPr>
            </w:pPr>
            <w:r>
              <w:rPr>
                <w:sz w:val="22"/>
              </w:rPr>
              <w:t>12</w:t>
            </w:r>
          </w:p>
        </w:tc>
        <w:tc>
          <w:tcPr>
            <w:tcW w:w="1277" w:type="dxa"/>
            <w:tcBorders>
              <w:top w:val="single" w:sz="18" w:space="0" w:color="FFFFFF"/>
              <w:left w:val="single" w:sz="8" w:space="0" w:color="000000"/>
              <w:bottom w:val="nil"/>
              <w:right w:val="single" w:sz="8" w:space="0" w:color="000000"/>
            </w:tcBorders>
          </w:tcPr>
          <w:p>
            <w:pPr>
              <w:pStyle w:val="TableParagraph"/>
              <w:spacing w:line="204" w:lineRule="exact"/>
              <w:ind w:left="45"/>
              <w:rPr>
                <w:sz w:val="22"/>
              </w:rPr>
            </w:pPr>
            <w:r>
              <w:rPr>
                <w:w w:val="100"/>
                <w:sz w:val="22"/>
              </w:rPr>
              <w:t>3</w:t>
            </w:r>
          </w:p>
        </w:tc>
        <w:tc>
          <w:tcPr>
            <w:tcW w:w="893" w:type="dxa"/>
            <w:tcBorders>
              <w:top w:val="single" w:sz="18" w:space="0" w:color="FFFFFF"/>
              <w:left w:val="single" w:sz="8" w:space="0" w:color="000000"/>
              <w:bottom w:val="nil"/>
            </w:tcBorders>
          </w:tcPr>
          <w:p>
            <w:pPr>
              <w:pStyle w:val="TableParagraph"/>
              <w:spacing w:line="204" w:lineRule="exact"/>
              <w:ind w:left="269" w:right="216"/>
              <w:rPr>
                <w:b/>
                <w:sz w:val="22"/>
              </w:rPr>
            </w:pPr>
            <w:r>
              <w:rPr>
                <w:b/>
                <w:sz w:val="22"/>
              </w:rPr>
              <w:t>30</w:t>
            </w:r>
          </w:p>
        </w:tc>
      </w:tr>
      <w:tr>
        <w:trPr>
          <w:trHeight w:val="406" w:hRule="atLeast"/>
        </w:trPr>
        <w:tc>
          <w:tcPr>
            <w:tcW w:w="269" w:type="dxa"/>
            <w:vMerge/>
            <w:tcBorders>
              <w:top w:val="nil"/>
              <w:bottom w:val="nil"/>
              <w:right w:val="nil"/>
            </w:tcBorders>
            <w:textDirection w:val="btLr"/>
          </w:tcPr>
          <w:p>
            <w:pPr>
              <w:rPr>
                <w:sz w:val="2"/>
                <w:szCs w:val="2"/>
              </w:rPr>
            </w:pPr>
          </w:p>
        </w:tc>
        <w:tc>
          <w:tcPr>
            <w:tcW w:w="2105" w:type="dxa"/>
            <w:tcBorders>
              <w:top w:val="single" w:sz="18" w:space="0" w:color="FFFFFF"/>
              <w:left w:val="nil"/>
              <w:bottom w:val="nil"/>
            </w:tcBorders>
          </w:tcPr>
          <w:p>
            <w:pPr>
              <w:pStyle w:val="TableParagraph"/>
              <w:spacing w:line="191" w:lineRule="exact"/>
              <w:ind w:left="81"/>
              <w:jc w:val="left"/>
              <w:rPr>
                <w:sz w:val="20"/>
              </w:rPr>
            </w:pPr>
            <w:r>
              <w:rPr>
                <w:sz w:val="20"/>
              </w:rPr>
              <w:t>Moyennement</w:t>
            </w:r>
          </w:p>
          <w:p>
            <w:pPr>
              <w:pStyle w:val="TableParagraph"/>
              <w:spacing w:line="195" w:lineRule="exact"/>
              <w:ind w:left="81"/>
              <w:jc w:val="left"/>
              <w:rPr>
                <w:sz w:val="20"/>
              </w:rPr>
            </w:pPr>
            <w:r>
              <w:rPr>
                <w:sz w:val="20"/>
              </w:rPr>
              <w:t>satisfait(e)</w:t>
            </w:r>
          </w:p>
        </w:tc>
        <w:tc>
          <w:tcPr>
            <w:tcW w:w="1020" w:type="dxa"/>
            <w:tcBorders>
              <w:top w:val="nil"/>
              <w:bottom w:val="single" w:sz="18" w:space="0" w:color="FFFFFF"/>
              <w:right w:val="single" w:sz="8" w:space="0" w:color="000000"/>
            </w:tcBorders>
          </w:tcPr>
          <w:p>
            <w:pPr>
              <w:pStyle w:val="TableParagraph"/>
              <w:spacing w:before="60"/>
              <w:ind w:left="35"/>
              <w:rPr>
                <w:sz w:val="22"/>
              </w:rPr>
            </w:pPr>
            <w:r>
              <w:rPr>
                <w:w w:val="100"/>
                <w:sz w:val="22"/>
              </w:rPr>
              <w:t>2</w:t>
            </w:r>
          </w:p>
        </w:tc>
        <w:tc>
          <w:tcPr>
            <w:tcW w:w="1853" w:type="dxa"/>
            <w:tcBorders>
              <w:top w:val="nil"/>
              <w:left w:val="single" w:sz="8" w:space="0" w:color="000000"/>
              <w:bottom w:val="single" w:sz="18" w:space="0" w:color="FFFFFF"/>
              <w:right w:val="single" w:sz="8" w:space="0" w:color="000000"/>
            </w:tcBorders>
          </w:tcPr>
          <w:p>
            <w:pPr>
              <w:pStyle w:val="TableParagraph"/>
              <w:spacing w:before="60"/>
              <w:ind w:left="285" w:right="244"/>
              <w:rPr>
                <w:sz w:val="22"/>
              </w:rPr>
            </w:pPr>
            <w:r>
              <w:rPr>
                <w:sz w:val="22"/>
              </w:rPr>
              <w:t>84</w:t>
            </w:r>
          </w:p>
        </w:tc>
        <w:tc>
          <w:tcPr>
            <w:tcW w:w="2046" w:type="dxa"/>
            <w:tcBorders>
              <w:top w:val="nil"/>
              <w:left w:val="single" w:sz="8" w:space="0" w:color="000000"/>
              <w:bottom w:val="single" w:sz="18" w:space="0" w:color="FFFFFF"/>
              <w:right w:val="single" w:sz="8" w:space="0" w:color="000000"/>
            </w:tcBorders>
          </w:tcPr>
          <w:p>
            <w:pPr>
              <w:pStyle w:val="TableParagraph"/>
              <w:spacing w:before="60"/>
              <w:ind w:left="927"/>
              <w:jc w:val="left"/>
              <w:rPr>
                <w:sz w:val="22"/>
              </w:rPr>
            </w:pPr>
            <w:r>
              <w:rPr>
                <w:sz w:val="22"/>
              </w:rPr>
              <w:t>34</w:t>
            </w:r>
          </w:p>
        </w:tc>
        <w:tc>
          <w:tcPr>
            <w:tcW w:w="1277" w:type="dxa"/>
            <w:tcBorders>
              <w:top w:val="nil"/>
              <w:left w:val="single" w:sz="8" w:space="0" w:color="000000"/>
              <w:bottom w:val="single" w:sz="18" w:space="0" w:color="FFFFFF"/>
              <w:right w:val="single" w:sz="8" w:space="0" w:color="000000"/>
            </w:tcBorders>
          </w:tcPr>
          <w:p>
            <w:pPr>
              <w:pStyle w:val="TableParagraph"/>
              <w:spacing w:before="60"/>
              <w:ind w:left="45"/>
              <w:rPr>
                <w:sz w:val="22"/>
              </w:rPr>
            </w:pPr>
            <w:r>
              <w:rPr>
                <w:w w:val="100"/>
                <w:sz w:val="22"/>
              </w:rPr>
              <w:t>3</w:t>
            </w:r>
          </w:p>
        </w:tc>
        <w:tc>
          <w:tcPr>
            <w:tcW w:w="893" w:type="dxa"/>
            <w:tcBorders>
              <w:top w:val="nil"/>
              <w:left w:val="single" w:sz="8" w:space="0" w:color="000000"/>
              <w:bottom w:val="single" w:sz="18" w:space="0" w:color="FFFFFF"/>
            </w:tcBorders>
          </w:tcPr>
          <w:p>
            <w:pPr>
              <w:pStyle w:val="TableParagraph"/>
              <w:spacing w:before="65"/>
              <w:ind w:left="274" w:right="216"/>
              <w:rPr>
                <w:b/>
                <w:sz w:val="22"/>
              </w:rPr>
            </w:pPr>
            <w:r>
              <w:rPr>
                <w:b/>
                <w:sz w:val="22"/>
              </w:rPr>
              <w:t>123</w:t>
            </w:r>
          </w:p>
        </w:tc>
      </w:tr>
      <w:tr>
        <w:trPr>
          <w:trHeight w:val="223" w:hRule="atLeast"/>
        </w:trPr>
        <w:tc>
          <w:tcPr>
            <w:tcW w:w="269" w:type="dxa"/>
            <w:vMerge/>
            <w:tcBorders>
              <w:top w:val="nil"/>
              <w:bottom w:val="nil"/>
              <w:right w:val="nil"/>
            </w:tcBorders>
            <w:textDirection w:val="btLr"/>
          </w:tcPr>
          <w:p>
            <w:pPr>
              <w:rPr>
                <w:sz w:val="2"/>
                <w:szCs w:val="2"/>
              </w:rPr>
            </w:pPr>
          </w:p>
        </w:tc>
        <w:tc>
          <w:tcPr>
            <w:tcW w:w="2105" w:type="dxa"/>
            <w:tcBorders>
              <w:top w:val="nil"/>
              <w:left w:val="nil"/>
              <w:bottom w:val="single" w:sz="18" w:space="0" w:color="FFFFFF"/>
            </w:tcBorders>
          </w:tcPr>
          <w:p>
            <w:pPr>
              <w:pStyle w:val="TableParagraph"/>
              <w:spacing w:line="204" w:lineRule="exact"/>
              <w:ind w:left="81"/>
              <w:jc w:val="left"/>
              <w:rPr>
                <w:sz w:val="20"/>
              </w:rPr>
            </w:pPr>
            <w:r>
              <w:rPr>
                <w:sz w:val="20"/>
              </w:rPr>
              <w:t>Satisfait(e)</w:t>
            </w:r>
          </w:p>
        </w:tc>
        <w:tc>
          <w:tcPr>
            <w:tcW w:w="1020" w:type="dxa"/>
            <w:tcBorders>
              <w:top w:val="single" w:sz="18" w:space="0" w:color="FFFFFF"/>
              <w:bottom w:val="single" w:sz="18" w:space="0" w:color="FFFFFF"/>
              <w:right w:val="single" w:sz="8" w:space="0" w:color="000000"/>
            </w:tcBorders>
          </w:tcPr>
          <w:p>
            <w:pPr>
              <w:pStyle w:val="TableParagraph"/>
              <w:spacing w:line="204" w:lineRule="exact"/>
              <w:ind w:left="35"/>
              <w:rPr>
                <w:sz w:val="22"/>
              </w:rPr>
            </w:pPr>
            <w:r>
              <w:rPr>
                <w:w w:val="100"/>
                <w:sz w:val="22"/>
              </w:rPr>
              <w:t>5</w:t>
            </w:r>
          </w:p>
        </w:tc>
        <w:tc>
          <w:tcPr>
            <w:tcW w:w="1853" w:type="dxa"/>
            <w:tcBorders>
              <w:top w:val="single" w:sz="18" w:space="0" w:color="FFFFFF"/>
              <w:left w:val="single" w:sz="8" w:space="0" w:color="000000"/>
              <w:bottom w:val="single" w:sz="18" w:space="0" w:color="FFFFFF"/>
              <w:right w:val="single" w:sz="8" w:space="0" w:color="000000"/>
            </w:tcBorders>
          </w:tcPr>
          <w:p>
            <w:pPr>
              <w:pStyle w:val="TableParagraph"/>
              <w:spacing w:line="204" w:lineRule="exact"/>
              <w:ind w:left="285" w:right="244"/>
              <w:rPr>
                <w:sz w:val="22"/>
              </w:rPr>
            </w:pPr>
            <w:r>
              <w:rPr>
                <w:sz w:val="22"/>
              </w:rPr>
              <w:t>80</w:t>
            </w:r>
          </w:p>
        </w:tc>
        <w:tc>
          <w:tcPr>
            <w:tcW w:w="2046" w:type="dxa"/>
            <w:tcBorders>
              <w:top w:val="single" w:sz="18" w:space="0" w:color="FFFFFF"/>
              <w:left w:val="single" w:sz="8" w:space="0" w:color="000000"/>
              <w:bottom w:val="single" w:sz="18" w:space="0" w:color="FFFFFF"/>
              <w:right w:val="single" w:sz="8" w:space="0" w:color="000000"/>
            </w:tcBorders>
          </w:tcPr>
          <w:p>
            <w:pPr>
              <w:pStyle w:val="TableParagraph"/>
              <w:spacing w:line="204" w:lineRule="exact"/>
              <w:ind w:left="927"/>
              <w:jc w:val="left"/>
              <w:rPr>
                <w:sz w:val="22"/>
              </w:rPr>
            </w:pPr>
            <w:r>
              <w:rPr>
                <w:sz w:val="22"/>
              </w:rPr>
              <w:t>23</w:t>
            </w:r>
          </w:p>
        </w:tc>
        <w:tc>
          <w:tcPr>
            <w:tcW w:w="1277" w:type="dxa"/>
            <w:tcBorders>
              <w:top w:val="single" w:sz="18" w:space="0" w:color="FFFFFF"/>
              <w:left w:val="single" w:sz="8" w:space="0" w:color="000000"/>
              <w:bottom w:val="single" w:sz="18" w:space="0" w:color="FFFFFF"/>
              <w:right w:val="single" w:sz="8" w:space="0" w:color="000000"/>
            </w:tcBorders>
          </w:tcPr>
          <w:p>
            <w:pPr>
              <w:pStyle w:val="TableParagraph"/>
              <w:spacing w:line="204" w:lineRule="exact"/>
              <w:ind w:left="45"/>
              <w:rPr>
                <w:sz w:val="22"/>
              </w:rPr>
            </w:pPr>
            <w:r>
              <w:rPr>
                <w:w w:val="100"/>
                <w:sz w:val="22"/>
              </w:rPr>
              <w:t>1</w:t>
            </w:r>
          </w:p>
        </w:tc>
        <w:tc>
          <w:tcPr>
            <w:tcW w:w="893" w:type="dxa"/>
            <w:tcBorders>
              <w:top w:val="single" w:sz="18" w:space="0" w:color="FFFFFF"/>
              <w:left w:val="single" w:sz="8" w:space="0" w:color="000000"/>
              <w:bottom w:val="single" w:sz="18" w:space="0" w:color="FFFFFF"/>
            </w:tcBorders>
          </w:tcPr>
          <w:p>
            <w:pPr>
              <w:pStyle w:val="TableParagraph"/>
              <w:spacing w:line="204" w:lineRule="exact"/>
              <w:ind w:left="274" w:right="216"/>
              <w:rPr>
                <w:b/>
                <w:sz w:val="22"/>
              </w:rPr>
            </w:pPr>
            <w:r>
              <w:rPr>
                <w:b/>
                <w:sz w:val="22"/>
              </w:rPr>
              <w:t>109</w:t>
            </w:r>
          </w:p>
        </w:tc>
      </w:tr>
      <w:tr>
        <w:trPr>
          <w:trHeight w:val="218" w:hRule="atLeast"/>
        </w:trPr>
        <w:tc>
          <w:tcPr>
            <w:tcW w:w="269" w:type="dxa"/>
            <w:tcBorders>
              <w:top w:val="nil"/>
              <w:bottom w:val="nil"/>
              <w:right w:val="nil"/>
            </w:tcBorders>
            <w:textDirection w:val="btLr"/>
          </w:tcPr>
          <w:p>
            <w:pPr>
              <w:pStyle w:val="TableParagraph"/>
              <w:spacing w:line="210" w:lineRule="exact" w:before="16"/>
              <w:ind w:left="53" w:right="-44"/>
              <w:jc w:val="left"/>
              <w:rPr>
                <w:sz w:val="20"/>
              </w:rPr>
            </w:pPr>
            <w:r>
              <w:rPr>
                <w:sz w:val="20"/>
              </w:rPr>
              <w:t>Sa</w:t>
            </w:r>
          </w:p>
        </w:tc>
        <w:tc>
          <w:tcPr>
            <w:tcW w:w="2105" w:type="dxa"/>
            <w:tcBorders>
              <w:top w:val="single" w:sz="18" w:space="0" w:color="FFFFFF"/>
              <w:left w:val="nil"/>
              <w:bottom w:val="nil"/>
            </w:tcBorders>
          </w:tcPr>
          <w:p>
            <w:pPr>
              <w:pStyle w:val="TableParagraph"/>
              <w:spacing w:line="199" w:lineRule="exact"/>
              <w:ind w:left="81"/>
              <w:jc w:val="left"/>
              <w:rPr>
                <w:sz w:val="20"/>
              </w:rPr>
            </w:pPr>
            <w:r>
              <w:rPr>
                <w:sz w:val="20"/>
              </w:rPr>
              <w:t>Très satisfait(e)</w:t>
            </w:r>
          </w:p>
        </w:tc>
        <w:tc>
          <w:tcPr>
            <w:tcW w:w="1020" w:type="dxa"/>
            <w:tcBorders>
              <w:top w:val="single" w:sz="18" w:space="0" w:color="FFFFFF"/>
              <w:bottom w:val="nil"/>
              <w:right w:val="single" w:sz="8" w:space="0" w:color="000000"/>
            </w:tcBorders>
          </w:tcPr>
          <w:p>
            <w:pPr>
              <w:pStyle w:val="TableParagraph"/>
              <w:spacing w:line="199" w:lineRule="exact"/>
              <w:ind w:left="35"/>
              <w:rPr>
                <w:sz w:val="22"/>
              </w:rPr>
            </w:pPr>
            <w:r>
              <w:rPr>
                <w:w w:val="100"/>
                <w:sz w:val="22"/>
              </w:rPr>
              <w:t>4</w:t>
            </w:r>
          </w:p>
        </w:tc>
        <w:tc>
          <w:tcPr>
            <w:tcW w:w="1853" w:type="dxa"/>
            <w:tcBorders>
              <w:top w:val="single" w:sz="18" w:space="0" w:color="FFFFFF"/>
              <w:left w:val="single" w:sz="8" w:space="0" w:color="000000"/>
              <w:bottom w:val="nil"/>
              <w:right w:val="single" w:sz="8" w:space="0" w:color="000000"/>
            </w:tcBorders>
          </w:tcPr>
          <w:p>
            <w:pPr>
              <w:pStyle w:val="TableParagraph"/>
              <w:spacing w:line="199" w:lineRule="exact"/>
              <w:ind w:left="285" w:right="244"/>
              <w:rPr>
                <w:sz w:val="22"/>
              </w:rPr>
            </w:pPr>
            <w:r>
              <w:rPr>
                <w:sz w:val="22"/>
              </w:rPr>
              <w:t>21</w:t>
            </w:r>
          </w:p>
        </w:tc>
        <w:tc>
          <w:tcPr>
            <w:tcW w:w="2046" w:type="dxa"/>
            <w:tcBorders>
              <w:top w:val="single" w:sz="18" w:space="0" w:color="FFFFFF"/>
              <w:left w:val="single" w:sz="8" w:space="0" w:color="000000"/>
              <w:bottom w:val="nil"/>
              <w:right w:val="single" w:sz="8" w:space="0" w:color="000000"/>
            </w:tcBorders>
          </w:tcPr>
          <w:p>
            <w:pPr>
              <w:pStyle w:val="TableParagraph"/>
              <w:spacing w:line="199" w:lineRule="exact"/>
              <w:ind w:left="980"/>
              <w:jc w:val="left"/>
              <w:rPr>
                <w:sz w:val="22"/>
              </w:rPr>
            </w:pPr>
            <w:r>
              <w:rPr>
                <w:w w:val="100"/>
                <w:sz w:val="22"/>
              </w:rPr>
              <w:t>6</w:t>
            </w:r>
          </w:p>
        </w:tc>
        <w:tc>
          <w:tcPr>
            <w:tcW w:w="1277" w:type="dxa"/>
            <w:tcBorders>
              <w:top w:val="single" w:sz="18" w:space="0" w:color="FFFFFF"/>
              <w:left w:val="single" w:sz="8" w:space="0" w:color="000000"/>
              <w:bottom w:val="nil"/>
              <w:right w:val="single" w:sz="8" w:space="0" w:color="000000"/>
            </w:tcBorders>
          </w:tcPr>
          <w:p>
            <w:pPr>
              <w:pStyle w:val="TableParagraph"/>
              <w:spacing w:line="199" w:lineRule="exact"/>
              <w:ind w:left="45"/>
              <w:rPr>
                <w:sz w:val="22"/>
              </w:rPr>
            </w:pPr>
            <w:r>
              <w:rPr>
                <w:w w:val="100"/>
                <w:sz w:val="22"/>
              </w:rPr>
              <w:t>1</w:t>
            </w:r>
          </w:p>
        </w:tc>
        <w:tc>
          <w:tcPr>
            <w:tcW w:w="893" w:type="dxa"/>
            <w:tcBorders>
              <w:top w:val="single" w:sz="18" w:space="0" w:color="FFFFFF"/>
              <w:left w:val="single" w:sz="8" w:space="0" w:color="000000"/>
              <w:bottom w:val="nil"/>
            </w:tcBorders>
          </w:tcPr>
          <w:p>
            <w:pPr>
              <w:pStyle w:val="TableParagraph"/>
              <w:spacing w:line="199" w:lineRule="exact"/>
              <w:ind w:left="269" w:right="216"/>
              <w:rPr>
                <w:b/>
                <w:sz w:val="22"/>
              </w:rPr>
            </w:pPr>
            <w:r>
              <w:rPr>
                <w:b/>
                <w:sz w:val="22"/>
              </w:rPr>
              <w:t>32</w:t>
            </w:r>
          </w:p>
        </w:tc>
      </w:tr>
      <w:tr>
        <w:trPr>
          <w:trHeight w:val="235" w:hRule="atLeast"/>
        </w:trPr>
        <w:tc>
          <w:tcPr>
            <w:tcW w:w="2374" w:type="dxa"/>
            <w:gridSpan w:val="2"/>
            <w:tcBorders>
              <w:top w:val="nil"/>
            </w:tcBorders>
          </w:tcPr>
          <w:p>
            <w:pPr>
              <w:pStyle w:val="TableParagraph"/>
              <w:spacing w:line="216" w:lineRule="exact"/>
              <w:ind w:left="78"/>
              <w:jc w:val="left"/>
              <w:rPr>
                <w:b/>
                <w:sz w:val="20"/>
              </w:rPr>
            </w:pPr>
            <w:r>
              <w:rPr>
                <w:b/>
                <w:sz w:val="20"/>
              </w:rPr>
              <w:t>Total</w:t>
            </w:r>
          </w:p>
        </w:tc>
        <w:tc>
          <w:tcPr>
            <w:tcW w:w="1020" w:type="dxa"/>
            <w:tcBorders>
              <w:top w:val="nil"/>
              <w:right w:val="single" w:sz="8" w:space="0" w:color="000000"/>
            </w:tcBorders>
          </w:tcPr>
          <w:p>
            <w:pPr>
              <w:pStyle w:val="TableParagraph"/>
              <w:spacing w:line="216" w:lineRule="exact"/>
              <w:ind w:left="382" w:right="344"/>
              <w:rPr>
                <w:b/>
                <w:sz w:val="22"/>
              </w:rPr>
            </w:pPr>
            <w:r>
              <w:rPr>
                <w:b/>
                <w:sz w:val="22"/>
              </w:rPr>
              <w:t>16</w:t>
            </w:r>
          </w:p>
        </w:tc>
        <w:tc>
          <w:tcPr>
            <w:tcW w:w="1853" w:type="dxa"/>
            <w:tcBorders>
              <w:top w:val="nil"/>
              <w:left w:val="single" w:sz="8" w:space="0" w:color="000000"/>
              <w:right w:val="single" w:sz="8" w:space="0" w:color="000000"/>
            </w:tcBorders>
          </w:tcPr>
          <w:p>
            <w:pPr>
              <w:pStyle w:val="TableParagraph"/>
              <w:spacing w:line="216" w:lineRule="exact"/>
              <w:ind w:left="290" w:right="244"/>
              <w:rPr>
                <w:b/>
                <w:sz w:val="22"/>
              </w:rPr>
            </w:pPr>
            <w:r>
              <w:rPr>
                <w:b/>
                <w:sz w:val="22"/>
              </w:rPr>
              <w:t>206</w:t>
            </w:r>
          </w:p>
        </w:tc>
        <w:tc>
          <w:tcPr>
            <w:tcW w:w="2046" w:type="dxa"/>
            <w:tcBorders>
              <w:top w:val="nil"/>
              <w:left w:val="single" w:sz="8" w:space="0" w:color="000000"/>
              <w:right w:val="single" w:sz="8" w:space="0" w:color="000000"/>
            </w:tcBorders>
          </w:tcPr>
          <w:p>
            <w:pPr>
              <w:pStyle w:val="TableParagraph"/>
              <w:spacing w:line="216" w:lineRule="exact"/>
              <w:ind w:left="927"/>
              <w:jc w:val="left"/>
              <w:rPr>
                <w:b/>
                <w:sz w:val="22"/>
              </w:rPr>
            </w:pPr>
            <w:r>
              <w:rPr>
                <w:b/>
                <w:sz w:val="22"/>
              </w:rPr>
              <w:t>87</w:t>
            </w:r>
          </w:p>
        </w:tc>
        <w:tc>
          <w:tcPr>
            <w:tcW w:w="1277" w:type="dxa"/>
            <w:tcBorders>
              <w:top w:val="nil"/>
              <w:left w:val="single" w:sz="8" w:space="0" w:color="000000"/>
              <w:right w:val="single" w:sz="8" w:space="0" w:color="000000"/>
            </w:tcBorders>
          </w:tcPr>
          <w:p>
            <w:pPr>
              <w:pStyle w:val="TableParagraph"/>
              <w:spacing w:line="216" w:lineRule="exact"/>
              <w:ind w:left="177" w:right="127"/>
              <w:rPr>
                <w:b/>
                <w:sz w:val="22"/>
              </w:rPr>
            </w:pPr>
            <w:r>
              <w:rPr>
                <w:b/>
                <w:sz w:val="22"/>
              </w:rPr>
              <w:t>10</w:t>
            </w:r>
          </w:p>
        </w:tc>
        <w:tc>
          <w:tcPr>
            <w:tcW w:w="893" w:type="dxa"/>
            <w:tcBorders>
              <w:top w:val="nil"/>
              <w:left w:val="single" w:sz="8" w:space="0" w:color="000000"/>
            </w:tcBorders>
          </w:tcPr>
          <w:p>
            <w:pPr>
              <w:pStyle w:val="TableParagraph"/>
              <w:spacing w:line="216" w:lineRule="exact"/>
              <w:ind w:left="274" w:right="216"/>
              <w:rPr>
                <w:b/>
                <w:sz w:val="22"/>
              </w:rPr>
            </w:pPr>
            <w:r>
              <w:rPr>
                <w:b/>
                <w:sz w:val="22"/>
              </w:rPr>
              <w:t>319</w:t>
            </w:r>
          </w:p>
        </w:tc>
      </w:tr>
    </w:tbl>
    <w:p>
      <w:pPr>
        <w:pStyle w:val="BodyText"/>
        <w:spacing w:before="232"/>
        <w:ind w:left="2414"/>
        <w:jc w:val="both"/>
      </w:pPr>
      <w:r>
        <w:rPr>
          <w:b/>
        </w:rPr>
        <w:t>Source : </w:t>
      </w:r>
      <w:r>
        <w:rPr/>
        <w:t>élaboré par nous-même sur la base des outputs SPSS</w:t>
      </w:r>
    </w:p>
    <w:p>
      <w:pPr>
        <w:spacing w:after="0"/>
        <w:jc w:val="both"/>
        <w:sectPr>
          <w:pgSz w:w="12240" w:h="15840"/>
          <w:pgMar w:header="723" w:footer="850" w:top="1080" w:bottom="1040" w:left="1000" w:right="820"/>
        </w:sectPr>
      </w:pPr>
    </w:p>
    <w:p>
      <w:pPr>
        <w:pStyle w:val="BodyText"/>
        <w:rPr>
          <w:sz w:val="20"/>
        </w:rPr>
      </w:pPr>
    </w:p>
    <w:p>
      <w:pPr>
        <w:pStyle w:val="BodyText"/>
        <w:spacing w:line="348" w:lineRule="auto" w:before="209"/>
        <w:ind w:left="699" w:right="311" w:firstLine="720"/>
        <w:jc w:val="both"/>
      </w:pPr>
      <w:r>
        <w:rPr/>
        <w:t>Les</w:t>
      </w:r>
      <w:r>
        <w:rPr>
          <w:spacing w:val="-18"/>
        </w:rPr>
        <w:t> </w:t>
      </w:r>
      <w:r>
        <w:rPr/>
        <w:t>12</w:t>
      </w:r>
      <w:r>
        <w:rPr>
          <w:spacing w:val="-14"/>
        </w:rPr>
        <w:t> </w:t>
      </w:r>
      <w:r>
        <w:rPr/>
        <w:t>utilisateurs</w:t>
      </w:r>
      <w:r>
        <w:rPr>
          <w:spacing w:val="-18"/>
        </w:rPr>
        <w:t> </w:t>
      </w:r>
      <w:r>
        <w:rPr/>
        <w:t>qui</w:t>
      </w:r>
      <w:r>
        <w:rPr>
          <w:spacing w:val="-19"/>
        </w:rPr>
        <w:t> </w:t>
      </w:r>
      <w:r>
        <w:rPr>
          <w:spacing w:val="-3"/>
        </w:rPr>
        <w:t>ne</w:t>
      </w:r>
      <w:r>
        <w:rPr>
          <w:spacing w:val="-16"/>
        </w:rPr>
        <w:t> </w:t>
      </w:r>
      <w:r>
        <w:rPr/>
        <w:t>sont</w:t>
      </w:r>
      <w:r>
        <w:rPr>
          <w:spacing w:val="-10"/>
        </w:rPr>
        <w:t> </w:t>
      </w:r>
      <w:r>
        <w:rPr/>
        <w:t>pas</w:t>
      </w:r>
      <w:r>
        <w:rPr>
          <w:spacing w:val="-17"/>
        </w:rPr>
        <w:t> </w:t>
      </w:r>
      <w:r>
        <w:rPr/>
        <w:t>du</w:t>
      </w:r>
      <w:r>
        <w:rPr>
          <w:spacing w:val="-19"/>
        </w:rPr>
        <w:t> </w:t>
      </w:r>
      <w:r>
        <w:rPr/>
        <w:t>tout</w:t>
      </w:r>
      <w:r>
        <w:rPr>
          <w:spacing w:val="-10"/>
        </w:rPr>
        <w:t> </w:t>
      </w:r>
      <w:r>
        <w:rPr/>
        <w:t>satisfaits</w:t>
      </w:r>
      <w:r>
        <w:rPr>
          <w:spacing w:val="-17"/>
        </w:rPr>
        <w:t> </w:t>
      </w:r>
      <w:r>
        <w:rPr/>
        <w:t>disent</w:t>
      </w:r>
      <w:r>
        <w:rPr>
          <w:spacing w:val="-10"/>
        </w:rPr>
        <w:t> </w:t>
      </w:r>
      <w:r>
        <w:rPr/>
        <w:t>qu’ils</w:t>
      </w:r>
      <w:r>
        <w:rPr>
          <w:spacing w:val="-18"/>
        </w:rPr>
        <w:t> </w:t>
      </w:r>
      <w:r>
        <w:rPr/>
        <w:t>utilisent</w:t>
      </w:r>
      <w:r>
        <w:rPr>
          <w:spacing w:val="-10"/>
        </w:rPr>
        <w:t> </w:t>
      </w:r>
      <w:r>
        <w:rPr>
          <w:spacing w:val="-3"/>
        </w:rPr>
        <w:t>moins</w:t>
      </w:r>
      <w:r>
        <w:rPr>
          <w:spacing w:val="-12"/>
        </w:rPr>
        <w:t> </w:t>
      </w:r>
      <w:r>
        <w:rPr/>
        <w:t>l’application à   cause   des   bugs,   et   7   trouvent   que   </w:t>
      </w:r>
      <w:r>
        <w:rPr>
          <w:spacing w:val="-3"/>
        </w:rPr>
        <w:t>c’est   </w:t>
      </w:r>
      <w:r>
        <w:rPr/>
        <w:t>gênant   </w:t>
      </w:r>
      <w:r>
        <w:rPr>
          <w:spacing w:val="-3"/>
        </w:rPr>
        <w:t>mais   </w:t>
      </w:r>
      <w:r>
        <w:rPr/>
        <w:t>continuent   à    l’utiliser. Parmi les 30 utilisateurs peu satisfaits, 14 trouvent </w:t>
      </w:r>
      <w:r>
        <w:rPr>
          <w:spacing w:val="-3"/>
        </w:rPr>
        <w:t>les </w:t>
      </w:r>
      <w:r>
        <w:rPr/>
        <w:t>bugs gênants mais continuent à utiliser l’application, et 12 l’utilisent </w:t>
      </w:r>
      <w:r>
        <w:rPr>
          <w:spacing w:val="-3"/>
        </w:rPr>
        <w:t>moins </w:t>
      </w:r>
      <w:r>
        <w:rPr/>
        <w:t>à cause des bugs. Les 123 utilisateurs moyennement satisfaits sont 84 à </w:t>
      </w:r>
      <w:r>
        <w:rPr>
          <w:spacing w:val="-3"/>
        </w:rPr>
        <w:t>dire </w:t>
      </w:r>
      <w:r>
        <w:rPr/>
        <w:t>que les bugs sont gênants mais qu’ils continuent à utiliser l’application, </w:t>
      </w:r>
      <w:r>
        <w:rPr>
          <w:spacing w:val="-3"/>
        </w:rPr>
        <w:t>et </w:t>
      </w:r>
      <w:r>
        <w:rPr/>
        <w:t>34 l’utilisent moins à cause des bugs. Parmi les 109 utilisateurs satisfaits, 80 trouvent aussi que les bugs sont gênants, </w:t>
      </w:r>
      <w:r>
        <w:rPr>
          <w:spacing w:val="-3"/>
        </w:rPr>
        <w:t>mais </w:t>
      </w:r>
      <w:r>
        <w:rPr/>
        <w:t>ils continuent à utiliser l’application, et 23 l’utilisent </w:t>
      </w:r>
      <w:r>
        <w:rPr>
          <w:spacing w:val="-3"/>
        </w:rPr>
        <w:t>moins. </w:t>
      </w:r>
      <w:r>
        <w:rPr/>
        <w:t>Les 32 utilisateurs très satisfaits, 21 trouvent que </w:t>
      </w:r>
      <w:r>
        <w:rPr>
          <w:spacing w:val="-3"/>
        </w:rPr>
        <w:t>les </w:t>
      </w:r>
      <w:r>
        <w:rPr/>
        <w:t>bugs sont gênants, </w:t>
      </w:r>
      <w:r>
        <w:rPr>
          <w:spacing w:val="-3"/>
        </w:rPr>
        <w:t>mais </w:t>
      </w:r>
      <w:r>
        <w:rPr/>
        <w:t>ils continuent à utiliser l’application, et 6 </w:t>
      </w:r>
      <w:r>
        <w:rPr>
          <w:spacing w:val="-3"/>
        </w:rPr>
        <w:t>disent </w:t>
      </w:r>
      <w:r>
        <w:rPr/>
        <w:t>qu’ils l’utilisent </w:t>
      </w:r>
      <w:r>
        <w:rPr>
          <w:spacing w:val="-3"/>
        </w:rPr>
        <w:t>moins </w:t>
      </w:r>
      <w:r>
        <w:rPr/>
        <w:t>à cause des</w:t>
      </w:r>
      <w:r>
        <w:rPr>
          <w:spacing w:val="27"/>
        </w:rPr>
        <w:t> </w:t>
      </w:r>
      <w:r>
        <w:rPr/>
        <w:t>bugs.</w:t>
      </w:r>
    </w:p>
    <w:p>
      <w:pPr>
        <w:pStyle w:val="BodyText"/>
        <w:rPr>
          <w:sz w:val="26"/>
        </w:rPr>
      </w:pPr>
    </w:p>
    <w:p>
      <w:pPr>
        <w:pStyle w:val="Heading5"/>
        <w:spacing w:line="280" w:lineRule="auto" w:before="162"/>
        <w:ind w:left="699" w:right="508" w:firstLine="0"/>
        <w:jc w:val="left"/>
      </w:pPr>
      <w:r>
        <w:rPr/>
        <w:t>Q8_Évaluation de l’expérience des utilisateurs*Q22_L’indisponibilité du service affecte-t- elle votre confiance envers BaridiMob ?</w:t>
      </w:r>
    </w:p>
    <w:p>
      <w:pPr>
        <w:spacing w:before="145"/>
        <w:ind w:left="699" w:right="0" w:firstLine="0"/>
        <w:jc w:val="left"/>
        <w:rPr>
          <w:sz w:val="22"/>
        </w:rPr>
      </w:pPr>
      <w:bookmarkStart w:name="_bookmark68" w:id="262"/>
      <w:bookmarkEnd w:id="262"/>
      <w:r>
        <w:rPr/>
      </w:r>
      <w:r>
        <w:rPr>
          <w:b/>
          <w:color w:val="44536A"/>
          <w:sz w:val="22"/>
        </w:rPr>
        <w:t>Tableau 32 : Évaluation </w:t>
      </w:r>
      <w:r>
        <w:rPr>
          <w:color w:val="44536A"/>
          <w:sz w:val="22"/>
        </w:rPr>
        <w:t>de l’expérience des utilisateurs par rapport l’indisponibilité du service BaridiMob</w:t>
      </w:r>
    </w:p>
    <w:p>
      <w:pPr>
        <w:pStyle w:val="BodyText"/>
        <w:spacing w:before="3"/>
        <w:rPr>
          <w:sz w:val="14"/>
        </w:rPr>
      </w:pPr>
    </w:p>
    <w:tbl>
      <w:tblPr>
        <w:tblW w:w="0" w:type="auto"/>
        <w:jc w:val="left"/>
        <w:tblInd w:w="73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96"/>
        <w:gridCol w:w="3516"/>
        <w:gridCol w:w="1590"/>
        <w:gridCol w:w="1355"/>
        <w:gridCol w:w="1710"/>
        <w:gridCol w:w="736"/>
      </w:tblGrid>
      <w:tr>
        <w:trPr>
          <w:trHeight w:val="396" w:hRule="atLeast"/>
        </w:trPr>
        <w:tc>
          <w:tcPr>
            <w:tcW w:w="4112" w:type="dxa"/>
            <w:gridSpan w:val="2"/>
            <w:vMerge w:val="restart"/>
            <w:tcBorders>
              <w:top w:val="nil"/>
              <w:left w:val="nil"/>
            </w:tcBorders>
          </w:tcPr>
          <w:p>
            <w:pPr>
              <w:pStyle w:val="TableParagraph"/>
              <w:jc w:val="left"/>
              <w:rPr>
                <w:sz w:val="22"/>
              </w:rPr>
            </w:pPr>
          </w:p>
        </w:tc>
        <w:tc>
          <w:tcPr>
            <w:tcW w:w="4655" w:type="dxa"/>
            <w:gridSpan w:val="3"/>
            <w:tcBorders>
              <w:bottom w:val="single" w:sz="8" w:space="0" w:color="000000"/>
              <w:right w:val="single" w:sz="8" w:space="0" w:color="000000"/>
            </w:tcBorders>
          </w:tcPr>
          <w:p>
            <w:pPr>
              <w:pStyle w:val="TableParagraph"/>
              <w:spacing w:line="246" w:lineRule="exact"/>
              <w:ind w:left="1674" w:right="1624"/>
              <w:rPr>
                <w:sz w:val="22"/>
              </w:rPr>
            </w:pPr>
            <w:r>
              <w:rPr>
                <w:sz w:val="22"/>
              </w:rPr>
              <w:t>Indisponibilité</w:t>
            </w:r>
          </w:p>
        </w:tc>
        <w:tc>
          <w:tcPr>
            <w:tcW w:w="736" w:type="dxa"/>
            <w:vMerge w:val="restart"/>
            <w:tcBorders>
              <w:left w:val="single" w:sz="8" w:space="0" w:color="000000"/>
            </w:tcBorders>
          </w:tcPr>
          <w:p>
            <w:pPr>
              <w:pStyle w:val="TableParagraph"/>
              <w:spacing w:before="9"/>
              <w:jc w:val="left"/>
              <w:rPr>
                <w:sz w:val="19"/>
              </w:rPr>
            </w:pPr>
          </w:p>
          <w:p>
            <w:pPr>
              <w:pStyle w:val="TableParagraph"/>
              <w:ind w:left="63"/>
              <w:jc w:val="left"/>
              <w:rPr>
                <w:b/>
                <w:sz w:val="22"/>
              </w:rPr>
            </w:pPr>
            <w:r>
              <w:rPr>
                <w:b/>
                <w:sz w:val="22"/>
              </w:rPr>
              <w:t>Total</w:t>
            </w:r>
          </w:p>
        </w:tc>
      </w:tr>
      <w:tr>
        <w:trPr>
          <w:trHeight w:val="421" w:hRule="atLeast"/>
        </w:trPr>
        <w:tc>
          <w:tcPr>
            <w:tcW w:w="4112" w:type="dxa"/>
            <w:gridSpan w:val="2"/>
            <w:vMerge/>
            <w:tcBorders>
              <w:top w:val="nil"/>
              <w:left w:val="nil"/>
            </w:tcBorders>
          </w:tcPr>
          <w:p>
            <w:pPr>
              <w:rPr>
                <w:sz w:val="2"/>
                <w:szCs w:val="2"/>
              </w:rPr>
            </w:pPr>
          </w:p>
        </w:tc>
        <w:tc>
          <w:tcPr>
            <w:tcW w:w="1590" w:type="dxa"/>
            <w:tcBorders>
              <w:top w:val="single" w:sz="8" w:space="0" w:color="000000"/>
              <w:right w:val="single" w:sz="8" w:space="0" w:color="000000"/>
            </w:tcBorders>
          </w:tcPr>
          <w:p>
            <w:pPr>
              <w:pStyle w:val="TableParagraph"/>
              <w:spacing w:before="7"/>
              <w:ind w:left="139" w:right="94"/>
              <w:rPr>
                <w:sz w:val="22"/>
              </w:rPr>
            </w:pPr>
            <w:r>
              <w:rPr>
                <w:sz w:val="22"/>
              </w:rPr>
              <w:t>Oui, beaucoup</w:t>
            </w:r>
          </w:p>
        </w:tc>
        <w:tc>
          <w:tcPr>
            <w:tcW w:w="1355" w:type="dxa"/>
            <w:tcBorders>
              <w:top w:val="single" w:sz="8" w:space="0" w:color="000000"/>
              <w:left w:val="single" w:sz="8" w:space="0" w:color="000000"/>
              <w:right w:val="single" w:sz="8" w:space="0" w:color="000000"/>
            </w:tcBorders>
          </w:tcPr>
          <w:p>
            <w:pPr>
              <w:pStyle w:val="TableParagraph"/>
              <w:spacing w:before="7"/>
              <w:ind w:left="151" w:right="110"/>
              <w:rPr>
                <w:sz w:val="22"/>
              </w:rPr>
            </w:pPr>
            <w:r>
              <w:rPr>
                <w:sz w:val="22"/>
              </w:rPr>
              <w:t>Oui, un peu</w:t>
            </w:r>
          </w:p>
        </w:tc>
        <w:tc>
          <w:tcPr>
            <w:tcW w:w="1710" w:type="dxa"/>
            <w:tcBorders>
              <w:top w:val="single" w:sz="8" w:space="0" w:color="000000"/>
              <w:left w:val="single" w:sz="8" w:space="0" w:color="000000"/>
              <w:right w:val="single" w:sz="8" w:space="0" w:color="000000"/>
            </w:tcBorders>
          </w:tcPr>
          <w:p>
            <w:pPr>
              <w:pStyle w:val="TableParagraph"/>
              <w:spacing w:before="7"/>
              <w:ind w:left="119" w:right="76"/>
              <w:rPr>
                <w:sz w:val="22"/>
              </w:rPr>
            </w:pPr>
            <w:r>
              <w:rPr>
                <w:sz w:val="22"/>
              </w:rPr>
              <w:t>Non, pas du tout</w:t>
            </w:r>
          </w:p>
        </w:tc>
        <w:tc>
          <w:tcPr>
            <w:tcW w:w="736" w:type="dxa"/>
            <w:vMerge/>
            <w:tcBorders>
              <w:top w:val="nil"/>
              <w:left w:val="single" w:sz="8" w:space="0" w:color="000000"/>
            </w:tcBorders>
          </w:tcPr>
          <w:p>
            <w:pPr>
              <w:rPr>
                <w:sz w:val="2"/>
                <w:szCs w:val="2"/>
              </w:rPr>
            </w:pPr>
          </w:p>
        </w:tc>
      </w:tr>
      <w:tr>
        <w:trPr>
          <w:trHeight w:val="270" w:hRule="atLeast"/>
        </w:trPr>
        <w:tc>
          <w:tcPr>
            <w:tcW w:w="596" w:type="dxa"/>
            <w:tcBorders>
              <w:bottom w:val="nil"/>
              <w:right w:val="nil"/>
            </w:tcBorders>
          </w:tcPr>
          <w:p>
            <w:pPr>
              <w:pStyle w:val="TableParagraph"/>
              <w:jc w:val="left"/>
              <w:rPr>
                <w:sz w:val="20"/>
              </w:rPr>
            </w:pPr>
          </w:p>
        </w:tc>
        <w:tc>
          <w:tcPr>
            <w:tcW w:w="3516" w:type="dxa"/>
            <w:tcBorders>
              <w:left w:val="nil"/>
              <w:bottom w:val="nil"/>
            </w:tcBorders>
          </w:tcPr>
          <w:p>
            <w:pPr>
              <w:pStyle w:val="TableParagraph"/>
              <w:spacing w:line="251" w:lineRule="exact"/>
              <w:ind w:left="143"/>
              <w:jc w:val="left"/>
              <w:rPr>
                <w:sz w:val="22"/>
              </w:rPr>
            </w:pPr>
            <w:r>
              <w:rPr>
                <w:sz w:val="22"/>
              </w:rPr>
              <w:t>Pas du tout satisfait(e)</w:t>
            </w:r>
          </w:p>
        </w:tc>
        <w:tc>
          <w:tcPr>
            <w:tcW w:w="1590" w:type="dxa"/>
            <w:tcBorders>
              <w:bottom w:val="nil"/>
              <w:right w:val="single" w:sz="8" w:space="0" w:color="000000"/>
            </w:tcBorders>
          </w:tcPr>
          <w:p>
            <w:pPr>
              <w:pStyle w:val="TableParagraph"/>
              <w:spacing w:line="251" w:lineRule="exact"/>
              <w:ind w:left="41"/>
              <w:rPr>
                <w:sz w:val="22"/>
              </w:rPr>
            </w:pPr>
            <w:r>
              <w:rPr>
                <w:w w:val="100"/>
                <w:sz w:val="22"/>
              </w:rPr>
              <w:t>4</w:t>
            </w:r>
          </w:p>
        </w:tc>
        <w:tc>
          <w:tcPr>
            <w:tcW w:w="1355" w:type="dxa"/>
            <w:tcBorders>
              <w:left w:val="single" w:sz="8" w:space="0" w:color="000000"/>
              <w:bottom w:val="nil"/>
              <w:right w:val="single" w:sz="8" w:space="0" w:color="000000"/>
            </w:tcBorders>
          </w:tcPr>
          <w:p>
            <w:pPr>
              <w:pStyle w:val="TableParagraph"/>
              <w:spacing w:line="251" w:lineRule="exact"/>
              <w:ind w:left="37"/>
              <w:rPr>
                <w:sz w:val="22"/>
              </w:rPr>
            </w:pPr>
            <w:r>
              <w:rPr>
                <w:w w:val="100"/>
                <w:sz w:val="22"/>
              </w:rPr>
              <w:t>8</w:t>
            </w:r>
          </w:p>
        </w:tc>
        <w:tc>
          <w:tcPr>
            <w:tcW w:w="1710" w:type="dxa"/>
            <w:tcBorders>
              <w:left w:val="single" w:sz="8" w:space="0" w:color="000000"/>
              <w:bottom w:val="nil"/>
              <w:right w:val="single" w:sz="8" w:space="0" w:color="000000"/>
            </w:tcBorders>
          </w:tcPr>
          <w:p>
            <w:pPr>
              <w:pStyle w:val="TableParagraph"/>
              <w:spacing w:line="251" w:lineRule="exact"/>
              <w:ind w:left="117" w:right="76"/>
              <w:rPr>
                <w:sz w:val="22"/>
              </w:rPr>
            </w:pPr>
            <w:r>
              <w:rPr>
                <w:sz w:val="22"/>
              </w:rPr>
              <w:t>15</w:t>
            </w:r>
          </w:p>
        </w:tc>
        <w:tc>
          <w:tcPr>
            <w:tcW w:w="736" w:type="dxa"/>
            <w:tcBorders>
              <w:left w:val="single" w:sz="8" w:space="0" w:color="000000"/>
              <w:bottom w:val="nil"/>
              <w:right w:val="single" w:sz="18" w:space="0" w:color="EC7C30"/>
            </w:tcBorders>
          </w:tcPr>
          <w:p>
            <w:pPr>
              <w:pStyle w:val="TableParagraph"/>
              <w:spacing w:line="248" w:lineRule="exact" w:before="2"/>
              <w:ind w:left="255"/>
              <w:jc w:val="left"/>
              <w:rPr>
                <w:b/>
                <w:sz w:val="22"/>
              </w:rPr>
            </w:pPr>
            <w:r>
              <w:rPr>
                <w:b/>
                <w:sz w:val="22"/>
              </w:rPr>
              <w:t>27</w:t>
            </w:r>
          </w:p>
        </w:tc>
      </w:tr>
      <w:tr>
        <w:trPr>
          <w:trHeight w:val="357" w:hRule="atLeast"/>
        </w:trPr>
        <w:tc>
          <w:tcPr>
            <w:tcW w:w="596" w:type="dxa"/>
            <w:vMerge w:val="restart"/>
            <w:tcBorders>
              <w:top w:val="nil"/>
              <w:bottom w:val="nil"/>
              <w:right w:val="nil"/>
            </w:tcBorders>
            <w:textDirection w:val="btLr"/>
          </w:tcPr>
          <w:p>
            <w:pPr>
              <w:pStyle w:val="TableParagraph"/>
              <w:spacing w:before="200"/>
              <w:jc w:val="left"/>
              <w:rPr>
                <w:sz w:val="22"/>
              </w:rPr>
            </w:pPr>
            <w:r>
              <w:rPr>
                <w:sz w:val="22"/>
              </w:rPr>
              <w:t>Satisfaction</w:t>
            </w:r>
          </w:p>
        </w:tc>
        <w:tc>
          <w:tcPr>
            <w:tcW w:w="3516" w:type="dxa"/>
            <w:tcBorders>
              <w:top w:val="nil"/>
              <w:left w:val="nil"/>
              <w:bottom w:val="nil"/>
            </w:tcBorders>
          </w:tcPr>
          <w:p>
            <w:pPr>
              <w:pStyle w:val="TableParagraph"/>
              <w:spacing w:before="58"/>
              <w:ind w:left="158"/>
              <w:jc w:val="left"/>
              <w:rPr>
                <w:sz w:val="22"/>
              </w:rPr>
            </w:pPr>
            <w:r>
              <w:rPr>
                <w:sz w:val="22"/>
              </w:rPr>
              <w:t>Peu satisfait(e)</w:t>
            </w:r>
          </w:p>
        </w:tc>
        <w:tc>
          <w:tcPr>
            <w:tcW w:w="1590" w:type="dxa"/>
            <w:tcBorders>
              <w:top w:val="nil"/>
              <w:bottom w:val="nil"/>
              <w:right w:val="single" w:sz="8" w:space="0" w:color="000000"/>
            </w:tcBorders>
          </w:tcPr>
          <w:p>
            <w:pPr>
              <w:pStyle w:val="TableParagraph"/>
              <w:spacing w:before="58"/>
              <w:ind w:left="41"/>
              <w:rPr>
                <w:sz w:val="22"/>
              </w:rPr>
            </w:pPr>
            <w:r>
              <w:rPr>
                <w:w w:val="100"/>
                <w:sz w:val="22"/>
              </w:rPr>
              <w:t>2</w:t>
            </w:r>
          </w:p>
        </w:tc>
        <w:tc>
          <w:tcPr>
            <w:tcW w:w="1355" w:type="dxa"/>
            <w:tcBorders>
              <w:top w:val="nil"/>
              <w:left w:val="single" w:sz="8" w:space="0" w:color="000000"/>
              <w:bottom w:val="nil"/>
              <w:right w:val="single" w:sz="8" w:space="0" w:color="000000"/>
            </w:tcBorders>
          </w:tcPr>
          <w:p>
            <w:pPr>
              <w:pStyle w:val="TableParagraph"/>
              <w:spacing w:before="58"/>
              <w:ind w:left="142" w:right="110"/>
              <w:rPr>
                <w:sz w:val="22"/>
              </w:rPr>
            </w:pPr>
            <w:r>
              <w:rPr>
                <w:sz w:val="22"/>
              </w:rPr>
              <w:t>20</w:t>
            </w:r>
          </w:p>
        </w:tc>
        <w:tc>
          <w:tcPr>
            <w:tcW w:w="1710" w:type="dxa"/>
            <w:tcBorders>
              <w:top w:val="nil"/>
              <w:left w:val="single" w:sz="8" w:space="0" w:color="000000"/>
              <w:bottom w:val="nil"/>
              <w:right w:val="single" w:sz="8" w:space="0" w:color="000000"/>
            </w:tcBorders>
          </w:tcPr>
          <w:p>
            <w:pPr>
              <w:pStyle w:val="TableParagraph"/>
              <w:spacing w:before="58"/>
              <w:ind w:left="117" w:right="76"/>
              <w:rPr>
                <w:sz w:val="22"/>
              </w:rPr>
            </w:pPr>
            <w:r>
              <w:rPr>
                <w:sz w:val="22"/>
              </w:rPr>
              <w:t>12</w:t>
            </w:r>
          </w:p>
        </w:tc>
        <w:tc>
          <w:tcPr>
            <w:tcW w:w="736" w:type="dxa"/>
            <w:tcBorders>
              <w:top w:val="nil"/>
              <w:left w:val="single" w:sz="8" w:space="0" w:color="000000"/>
              <w:bottom w:val="nil"/>
              <w:right w:val="single" w:sz="18" w:space="0" w:color="EC7C30"/>
            </w:tcBorders>
          </w:tcPr>
          <w:p>
            <w:pPr>
              <w:pStyle w:val="TableParagraph"/>
              <w:spacing w:before="63"/>
              <w:ind w:left="255"/>
              <w:jc w:val="left"/>
              <w:rPr>
                <w:b/>
                <w:sz w:val="22"/>
              </w:rPr>
            </w:pPr>
            <w:r>
              <w:rPr>
                <w:b/>
                <w:sz w:val="22"/>
              </w:rPr>
              <w:t>34</w:t>
            </w:r>
          </w:p>
        </w:tc>
      </w:tr>
      <w:tr>
        <w:trPr>
          <w:trHeight w:val="328" w:hRule="atLeast"/>
        </w:trPr>
        <w:tc>
          <w:tcPr>
            <w:tcW w:w="596" w:type="dxa"/>
            <w:vMerge/>
            <w:tcBorders>
              <w:top w:val="nil"/>
              <w:bottom w:val="nil"/>
              <w:right w:val="nil"/>
            </w:tcBorders>
            <w:textDirection w:val="btLr"/>
          </w:tcPr>
          <w:p>
            <w:pPr>
              <w:rPr>
                <w:sz w:val="2"/>
                <w:szCs w:val="2"/>
              </w:rPr>
            </w:pPr>
          </w:p>
        </w:tc>
        <w:tc>
          <w:tcPr>
            <w:tcW w:w="3516" w:type="dxa"/>
            <w:tcBorders>
              <w:top w:val="nil"/>
              <w:left w:val="nil"/>
              <w:bottom w:val="nil"/>
            </w:tcBorders>
          </w:tcPr>
          <w:p>
            <w:pPr>
              <w:pStyle w:val="TableParagraph"/>
              <w:spacing w:before="32"/>
              <w:ind w:left="158"/>
              <w:jc w:val="left"/>
              <w:rPr>
                <w:sz w:val="22"/>
              </w:rPr>
            </w:pPr>
            <w:r>
              <w:rPr>
                <w:sz w:val="22"/>
              </w:rPr>
              <w:t>Moyennement satisfait(e)</w:t>
            </w:r>
          </w:p>
        </w:tc>
        <w:tc>
          <w:tcPr>
            <w:tcW w:w="1590" w:type="dxa"/>
            <w:tcBorders>
              <w:top w:val="nil"/>
              <w:bottom w:val="nil"/>
              <w:right w:val="single" w:sz="8" w:space="0" w:color="000000"/>
            </w:tcBorders>
          </w:tcPr>
          <w:p>
            <w:pPr>
              <w:pStyle w:val="TableParagraph"/>
              <w:spacing w:before="32"/>
              <w:ind w:left="41"/>
              <w:rPr>
                <w:sz w:val="22"/>
              </w:rPr>
            </w:pPr>
            <w:r>
              <w:rPr>
                <w:w w:val="100"/>
                <w:sz w:val="22"/>
              </w:rPr>
              <w:t>6</w:t>
            </w:r>
          </w:p>
        </w:tc>
        <w:tc>
          <w:tcPr>
            <w:tcW w:w="1355" w:type="dxa"/>
            <w:tcBorders>
              <w:top w:val="nil"/>
              <w:left w:val="single" w:sz="8" w:space="0" w:color="000000"/>
              <w:bottom w:val="nil"/>
              <w:right w:val="single" w:sz="8" w:space="0" w:color="000000"/>
            </w:tcBorders>
          </w:tcPr>
          <w:p>
            <w:pPr>
              <w:pStyle w:val="TableParagraph"/>
              <w:spacing w:before="32"/>
              <w:ind w:left="142" w:right="110"/>
              <w:rPr>
                <w:sz w:val="22"/>
              </w:rPr>
            </w:pPr>
            <w:r>
              <w:rPr>
                <w:sz w:val="22"/>
              </w:rPr>
              <w:t>75</w:t>
            </w:r>
          </w:p>
        </w:tc>
        <w:tc>
          <w:tcPr>
            <w:tcW w:w="1710" w:type="dxa"/>
            <w:tcBorders>
              <w:top w:val="nil"/>
              <w:left w:val="single" w:sz="8" w:space="0" w:color="000000"/>
              <w:bottom w:val="nil"/>
              <w:right w:val="single" w:sz="8" w:space="0" w:color="000000"/>
            </w:tcBorders>
          </w:tcPr>
          <w:p>
            <w:pPr>
              <w:pStyle w:val="TableParagraph"/>
              <w:spacing w:before="32"/>
              <w:ind w:left="117" w:right="76"/>
              <w:rPr>
                <w:sz w:val="22"/>
              </w:rPr>
            </w:pPr>
            <w:r>
              <w:rPr>
                <w:sz w:val="22"/>
              </w:rPr>
              <w:t>55</w:t>
            </w:r>
          </w:p>
        </w:tc>
        <w:tc>
          <w:tcPr>
            <w:tcW w:w="736" w:type="dxa"/>
            <w:tcBorders>
              <w:top w:val="nil"/>
              <w:left w:val="single" w:sz="8" w:space="0" w:color="000000"/>
              <w:bottom w:val="nil"/>
              <w:right w:val="single" w:sz="18" w:space="0" w:color="EC7C30"/>
            </w:tcBorders>
          </w:tcPr>
          <w:p>
            <w:pPr>
              <w:pStyle w:val="TableParagraph"/>
              <w:spacing w:before="37"/>
              <w:ind w:left="202"/>
              <w:jc w:val="left"/>
              <w:rPr>
                <w:b/>
                <w:sz w:val="22"/>
              </w:rPr>
            </w:pPr>
            <w:r>
              <w:rPr>
                <w:b/>
                <w:sz w:val="22"/>
              </w:rPr>
              <w:t>136</w:t>
            </w:r>
          </w:p>
        </w:tc>
      </w:tr>
      <w:tr>
        <w:trPr>
          <w:trHeight w:val="369" w:hRule="atLeast"/>
        </w:trPr>
        <w:tc>
          <w:tcPr>
            <w:tcW w:w="596" w:type="dxa"/>
            <w:vMerge/>
            <w:tcBorders>
              <w:top w:val="nil"/>
              <w:bottom w:val="nil"/>
              <w:right w:val="nil"/>
            </w:tcBorders>
            <w:textDirection w:val="btLr"/>
          </w:tcPr>
          <w:p>
            <w:pPr>
              <w:rPr>
                <w:sz w:val="2"/>
                <w:szCs w:val="2"/>
              </w:rPr>
            </w:pPr>
          </w:p>
        </w:tc>
        <w:tc>
          <w:tcPr>
            <w:tcW w:w="3516" w:type="dxa"/>
            <w:tcBorders>
              <w:top w:val="nil"/>
              <w:left w:val="nil"/>
              <w:bottom w:val="nil"/>
            </w:tcBorders>
          </w:tcPr>
          <w:p>
            <w:pPr>
              <w:pStyle w:val="TableParagraph"/>
              <w:spacing w:before="30"/>
              <w:ind w:left="162"/>
              <w:jc w:val="left"/>
              <w:rPr>
                <w:sz w:val="22"/>
              </w:rPr>
            </w:pPr>
            <w:r>
              <w:rPr>
                <w:sz w:val="22"/>
              </w:rPr>
              <w:t>Satisfait(e)</w:t>
            </w:r>
          </w:p>
        </w:tc>
        <w:tc>
          <w:tcPr>
            <w:tcW w:w="1590" w:type="dxa"/>
            <w:tcBorders>
              <w:top w:val="nil"/>
              <w:bottom w:val="nil"/>
              <w:right w:val="single" w:sz="8" w:space="0" w:color="000000"/>
            </w:tcBorders>
          </w:tcPr>
          <w:p>
            <w:pPr>
              <w:pStyle w:val="TableParagraph"/>
              <w:spacing w:before="30"/>
              <w:ind w:left="130" w:right="94"/>
              <w:rPr>
                <w:sz w:val="22"/>
              </w:rPr>
            </w:pPr>
            <w:r>
              <w:rPr>
                <w:sz w:val="22"/>
              </w:rPr>
              <w:t>21</w:t>
            </w:r>
          </w:p>
        </w:tc>
        <w:tc>
          <w:tcPr>
            <w:tcW w:w="1355" w:type="dxa"/>
            <w:tcBorders>
              <w:top w:val="nil"/>
              <w:left w:val="single" w:sz="8" w:space="0" w:color="000000"/>
              <w:bottom w:val="nil"/>
              <w:right w:val="single" w:sz="8" w:space="0" w:color="000000"/>
            </w:tcBorders>
          </w:tcPr>
          <w:p>
            <w:pPr>
              <w:pStyle w:val="TableParagraph"/>
              <w:spacing w:before="30"/>
              <w:ind w:left="142" w:right="110"/>
              <w:rPr>
                <w:sz w:val="22"/>
              </w:rPr>
            </w:pPr>
            <w:r>
              <w:rPr>
                <w:sz w:val="22"/>
              </w:rPr>
              <w:t>83</w:t>
            </w:r>
          </w:p>
        </w:tc>
        <w:tc>
          <w:tcPr>
            <w:tcW w:w="1710" w:type="dxa"/>
            <w:tcBorders>
              <w:top w:val="nil"/>
              <w:left w:val="single" w:sz="8" w:space="0" w:color="000000"/>
              <w:bottom w:val="nil"/>
              <w:right w:val="single" w:sz="8" w:space="0" w:color="000000"/>
            </w:tcBorders>
          </w:tcPr>
          <w:p>
            <w:pPr>
              <w:pStyle w:val="TableParagraph"/>
              <w:spacing w:before="30"/>
              <w:ind w:left="117" w:right="76"/>
              <w:rPr>
                <w:sz w:val="22"/>
              </w:rPr>
            </w:pPr>
            <w:r>
              <w:rPr>
                <w:sz w:val="22"/>
              </w:rPr>
              <w:t>31</w:t>
            </w:r>
          </w:p>
        </w:tc>
        <w:tc>
          <w:tcPr>
            <w:tcW w:w="736" w:type="dxa"/>
            <w:tcBorders>
              <w:top w:val="nil"/>
              <w:left w:val="single" w:sz="8" w:space="0" w:color="000000"/>
              <w:bottom w:val="nil"/>
              <w:right w:val="single" w:sz="18" w:space="0" w:color="EC7C30"/>
            </w:tcBorders>
          </w:tcPr>
          <w:p>
            <w:pPr>
              <w:pStyle w:val="TableParagraph"/>
              <w:spacing w:before="34"/>
              <w:ind w:left="202"/>
              <w:jc w:val="left"/>
              <w:rPr>
                <w:b/>
                <w:sz w:val="22"/>
              </w:rPr>
            </w:pPr>
            <w:r>
              <w:rPr>
                <w:b/>
                <w:sz w:val="22"/>
              </w:rPr>
              <w:t>135</w:t>
            </w:r>
          </w:p>
        </w:tc>
      </w:tr>
      <w:tr>
        <w:trPr>
          <w:trHeight w:val="273" w:hRule="atLeast"/>
        </w:trPr>
        <w:tc>
          <w:tcPr>
            <w:tcW w:w="596" w:type="dxa"/>
            <w:tcBorders>
              <w:top w:val="nil"/>
              <w:bottom w:val="nil"/>
              <w:right w:val="nil"/>
            </w:tcBorders>
          </w:tcPr>
          <w:p>
            <w:pPr>
              <w:pStyle w:val="TableParagraph"/>
              <w:jc w:val="left"/>
              <w:rPr>
                <w:sz w:val="20"/>
              </w:rPr>
            </w:pPr>
          </w:p>
        </w:tc>
        <w:tc>
          <w:tcPr>
            <w:tcW w:w="3516" w:type="dxa"/>
            <w:tcBorders>
              <w:top w:val="nil"/>
              <w:left w:val="nil"/>
              <w:bottom w:val="nil"/>
            </w:tcBorders>
          </w:tcPr>
          <w:p>
            <w:pPr>
              <w:pStyle w:val="TableParagraph"/>
              <w:spacing w:line="245" w:lineRule="exact"/>
              <w:ind w:left="162"/>
              <w:jc w:val="left"/>
              <w:rPr>
                <w:sz w:val="22"/>
              </w:rPr>
            </w:pPr>
            <w:r>
              <w:rPr>
                <w:sz w:val="22"/>
              </w:rPr>
              <w:t>Très satisfait(e)</w:t>
            </w:r>
          </w:p>
        </w:tc>
        <w:tc>
          <w:tcPr>
            <w:tcW w:w="1590" w:type="dxa"/>
            <w:tcBorders>
              <w:top w:val="nil"/>
              <w:bottom w:val="nil"/>
              <w:right w:val="single" w:sz="8" w:space="0" w:color="000000"/>
            </w:tcBorders>
          </w:tcPr>
          <w:p>
            <w:pPr>
              <w:pStyle w:val="TableParagraph"/>
              <w:spacing w:line="245" w:lineRule="exact"/>
              <w:ind w:left="130" w:right="94"/>
              <w:rPr>
                <w:sz w:val="22"/>
              </w:rPr>
            </w:pPr>
            <w:r>
              <w:rPr>
                <w:sz w:val="22"/>
              </w:rPr>
              <w:t>19</w:t>
            </w:r>
          </w:p>
        </w:tc>
        <w:tc>
          <w:tcPr>
            <w:tcW w:w="1355" w:type="dxa"/>
            <w:tcBorders>
              <w:top w:val="nil"/>
              <w:left w:val="single" w:sz="8" w:space="0" w:color="000000"/>
              <w:bottom w:val="nil"/>
              <w:right w:val="single" w:sz="8" w:space="0" w:color="000000"/>
            </w:tcBorders>
          </w:tcPr>
          <w:p>
            <w:pPr>
              <w:pStyle w:val="TableParagraph"/>
              <w:spacing w:line="245" w:lineRule="exact"/>
              <w:ind w:left="142" w:right="110"/>
              <w:rPr>
                <w:sz w:val="22"/>
              </w:rPr>
            </w:pPr>
            <w:r>
              <w:rPr>
                <w:sz w:val="22"/>
              </w:rPr>
              <w:t>18</w:t>
            </w:r>
          </w:p>
        </w:tc>
        <w:tc>
          <w:tcPr>
            <w:tcW w:w="1710" w:type="dxa"/>
            <w:tcBorders>
              <w:top w:val="nil"/>
              <w:left w:val="single" w:sz="8" w:space="0" w:color="000000"/>
              <w:bottom w:val="nil"/>
              <w:right w:val="single" w:sz="8" w:space="0" w:color="000000"/>
            </w:tcBorders>
          </w:tcPr>
          <w:p>
            <w:pPr>
              <w:pStyle w:val="TableParagraph"/>
              <w:spacing w:line="245" w:lineRule="exact"/>
              <w:ind w:left="36"/>
              <w:rPr>
                <w:sz w:val="22"/>
              </w:rPr>
            </w:pPr>
            <w:r>
              <w:rPr>
                <w:w w:val="100"/>
                <w:sz w:val="22"/>
              </w:rPr>
              <w:t>7</w:t>
            </w:r>
          </w:p>
        </w:tc>
        <w:tc>
          <w:tcPr>
            <w:tcW w:w="736" w:type="dxa"/>
            <w:tcBorders>
              <w:top w:val="nil"/>
              <w:left w:val="single" w:sz="8" w:space="0" w:color="000000"/>
              <w:bottom w:val="nil"/>
              <w:right w:val="single" w:sz="18" w:space="0" w:color="EC7C30"/>
            </w:tcBorders>
          </w:tcPr>
          <w:p>
            <w:pPr>
              <w:pStyle w:val="TableParagraph"/>
              <w:spacing w:line="249" w:lineRule="exact"/>
              <w:ind w:left="255"/>
              <w:jc w:val="left"/>
              <w:rPr>
                <w:b/>
                <w:sz w:val="22"/>
              </w:rPr>
            </w:pPr>
            <w:r>
              <w:rPr>
                <w:b/>
                <w:sz w:val="22"/>
              </w:rPr>
              <w:t>44</w:t>
            </w:r>
          </w:p>
        </w:tc>
      </w:tr>
      <w:tr>
        <w:trPr>
          <w:trHeight w:val="303" w:hRule="atLeast"/>
        </w:trPr>
        <w:tc>
          <w:tcPr>
            <w:tcW w:w="596" w:type="dxa"/>
            <w:tcBorders>
              <w:top w:val="nil"/>
              <w:right w:val="nil"/>
            </w:tcBorders>
          </w:tcPr>
          <w:p>
            <w:pPr>
              <w:pStyle w:val="TableParagraph"/>
              <w:spacing w:before="15"/>
              <w:ind w:left="83" w:right="-15"/>
              <w:jc w:val="left"/>
              <w:rPr>
                <w:b/>
                <w:sz w:val="22"/>
              </w:rPr>
            </w:pPr>
            <w:r>
              <w:rPr>
                <w:b/>
                <w:spacing w:val="-1"/>
                <w:sz w:val="22"/>
              </w:rPr>
              <w:t>Total</w:t>
            </w:r>
          </w:p>
        </w:tc>
        <w:tc>
          <w:tcPr>
            <w:tcW w:w="3516" w:type="dxa"/>
            <w:tcBorders>
              <w:top w:val="nil"/>
              <w:left w:val="nil"/>
            </w:tcBorders>
          </w:tcPr>
          <w:p>
            <w:pPr>
              <w:pStyle w:val="TableParagraph"/>
              <w:jc w:val="left"/>
              <w:rPr>
                <w:sz w:val="22"/>
              </w:rPr>
            </w:pPr>
          </w:p>
        </w:tc>
        <w:tc>
          <w:tcPr>
            <w:tcW w:w="1590" w:type="dxa"/>
            <w:tcBorders>
              <w:top w:val="nil"/>
              <w:right w:val="single" w:sz="8" w:space="0" w:color="000000"/>
            </w:tcBorders>
          </w:tcPr>
          <w:p>
            <w:pPr>
              <w:pStyle w:val="TableParagraph"/>
              <w:spacing w:before="15"/>
              <w:ind w:left="139" w:right="93"/>
              <w:rPr>
                <w:b/>
                <w:sz w:val="22"/>
              </w:rPr>
            </w:pPr>
            <w:r>
              <w:rPr>
                <w:b/>
                <w:sz w:val="22"/>
              </w:rPr>
              <w:t>52</w:t>
            </w:r>
          </w:p>
        </w:tc>
        <w:tc>
          <w:tcPr>
            <w:tcW w:w="1355" w:type="dxa"/>
            <w:tcBorders>
              <w:top w:val="nil"/>
              <w:left w:val="single" w:sz="8" w:space="0" w:color="000000"/>
              <w:right w:val="single" w:sz="8" w:space="0" w:color="000000"/>
            </w:tcBorders>
          </w:tcPr>
          <w:p>
            <w:pPr>
              <w:pStyle w:val="TableParagraph"/>
              <w:spacing w:before="15"/>
              <w:ind w:left="151" w:right="95"/>
              <w:rPr>
                <w:b/>
                <w:sz w:val="22"/>
              </w:rPr>
            </w:pPr>
            <w:r>
              <w:rPr>
                <w:b/>
                <w:sz w:val="22"/>
              </w:rPr>
              <w:t>204</w:t>
            </w:r>
          </w:p>
        </w:tc>
        <w:tc>
          <w:tcPr>
            <w:tcW w:w="1710" w:type="dxa"/>
            <w:tcBorders>
              <w:top w:val="nil"/>
              <w:left w:val="single" w:sz="8" w:space="0" w:color="000000"/>
              <w:right w:val="single" w:sz="8" w:space="0" w:color="000000"/>
            </w:tcBorders>
          </w:tcPr>
          <w:p>
            <w:pPr>
              <w:pStyle w:val="TableParagraph"/>
              <w:spacing w:before="15"/>
              <w:ind w:left="119" w:right="74"/>
              <w:rPr>
                <w:b/>
                <w:sz w:val="22"/>
              </w:rPr>
            </w:pPr>
            <w:r>
              <w:rPr>
                <w:b/>
                <w:sz w:val="22"/>
              </w:rPr>
              <w:t>120</w:t>
            </w:r>
          </w:p>
        </w:tc>
        <w:tc>
          <w:tcPr>
            <w:tcW w:w="736" w:type="dxa"/>
            <w:tcBorders>
              <w:top w:val="nil"/>
              <w:left w:val="single" w:sz="8" w:space="0" w:color="000000"/>
            </w:tcBorders>
          </w:tcPr>
          <w:p>
            <w:pPr>
              <w:pStyle w:val="TableParagraph"/>
              <w:spacing w:before="15"/>
              <w:ind w:left="207"/>
              <w:jc w:val="left"/>
              <w:rPr>
                <w:b/>
                <w:sz w:val="22"/>
              </w:rPr>
            </w:pPr>
            <w:r>
              <w:rPr>
                <w:b/>
                <w:sz w:val="22"/>
              </w:rPr>
              <w:t>376</w:t>
            </w:r>
          </w:p>
        </w:tc>
      </w:tr>
    </w:tbl>
    <w:p>
      <w:pPr>
        <w:pStyle w:val="BodyText"/>
        <w:spacing w:before="4"/>
        <w:rPr>
          <w:sz w:val="29"/>
        </w:rPr>
      </w:pPr>
    </w:p>
    <w:p>
      <w:pPr>
        <w:pStyle w:val="BodyText"/>
        <w:ind w:left="2414"/>
        <w:jc w:val="both"/>
      </w:pPr>
      <w:r>
        <w:rPr>
          <w:b/>
        </w:rPr>
        <w:t>Source : </w:t>
      </w:r>
      <w:r>
        <w:rPr/>
        <w:t>élaboré par nous-même sur la base des outputs SPSS</w:t>
      </w:r>
    </w:p>
    <w:p>
      <w:pPr>
        <w:pStyle w:val="BodyText"/>
        <w:spacing w:line="360" w:lineRule="auto" w:before="137"/>
        <w:ind w:left="699" w:right="321" w:firstLine="360"/>
        <w:jc w:val="both"/>
      </w:pPr>
      <w:r>
        <w:rPr/>
        <w:t>Parmi les 27 utilisateurs pas du tout satisfaits, 15 disent que l’application est souvent indisponible, 8 un peu, et seulement 4 n’ont </w:t>
      </w:r>
      <w:r>
        <w:rPr>
          <w:spacing w:val="-3"/>
        </w:rPr>
        <w:t>jamais </w:t>
      </w:r>
      <w:r>
        <w:rPr/>
        <w:t>eu de coupures. Parmi les 34 peu satisfaits, 12 ont rencontré beaucoup d’indisponibilité, 20 un peu, </w:t>
      </w:r>
      <w:r>
        <w:rPr>
          <w:spacing w:val="-3"/>
        </w:rPr>
        <w:t>et </w:t>
      </w:r>
      <w:r>
        <w:rPr/>
        <w:t>2 </w:t>
      </w:r>
      <w:r>
        <w:rPr>
          <w:spacing w:val="-3"/>
        </w:rPr>
        <w:t>jamais. </w:t>
      </w:r>
      <w:r>
        <w:rPr/>
        <w:t>Pour </w:t>
      </w:r>
      <w:r>
        <w:rPr>
          <w:spacing w:val="-4"/>
        </w:rPr>
        <w:t>les </w:t>
      </w:r>
      <w:r>
        <w:rPr/>
        <w:t>136 moyennement satisfaits, 75 ont eu un peu d’indisponibilité, 55 souvent, </w:t>
      </w:r>
      <w:r>
        <w:rPr>
          <w:spacing w:val="-3"/>
        </w:rPr>
        <w:t>et </w:t>
      </w:r>
      <w:r>
        <w:rPr/>
        <w:t>seulement 6 aucun problème. Chez </w:t>
      </w:r>
      <w:r>
        <w:rPr>
          <w:spacing w:val="-4"/>
        </w:rPr>
        <w:t>les </w:t>
      </w:r>
      <w:r>
        <w:rPr/>
        <w:t>135 utilisateurs satisfaits, 83 ont </w:t>
      </w:r>
      <w:r>
        <w:rPr>
          <w:spacing w:val="-3"/>
        </w:rPr>
        <w:t>connu </w:t>
      </w:r>
      <w:r>
        <w:rPr/>
        <w:t>un peu de coupures, 31 souvent, </w:t>
      </w:r>
      <w:r>
        <w:rPr>
          <w:spacing w:val="-3"/>
        </w:rPr>
        <w:t>et </w:t>
      </w:r>
      <w:r>
        <w:rPr/>
        <w:t>21 pas du tout. Parmi les 44 très satisfaits, 19 n’ont </w:t>
      </w:r>
      <w:r>
        <w:rPr>
          <w:spacing w:val="-3"/>
        </w:rPr>
        <w:t>jamais </w:t>
      </w:r>
      <w:r>
        <w:rPr/>
        <w:t>eu de souci, 18 </w:t>
      </w:r>
      <w:r>
        <w:rPr>
          <w:spacing w:val="2"/>
        </w:rPr>
        <w:t>ont </w:t>
      </w:r>
      <w:r>
        <w:rPr/>
        <w:t>eu un peu d’indisponibilité, et 7 souvent.</w:t>
      </w:r>
    </w:p>
    <w:p>
      <w:pPr>
        <w:spacing w:after="0" w:line="360" w:lineRule="auto"/>
        <w:jc w:val="both"/>
        <w:sectPr>
          <w:pgSz w:w="12240" w:h="15840"/>
          <w:pgMar w:header="723" w:footer="850" w:top="1080" w:bottom="1040" w:left="1000" w:right="820"/>
        </w:sectPr>
      </w:pPr>
    </w:p>
    <w:p>
      <w:pPr>
        <w:pStyle w:val="BodyText"/>
        <w:spacing w:before="10"/>
        <w:rPr>
          <w:sz w:val="19"/>
        </w:rPr>
      </w:pPr>
    </w:p>
    <w:p>
      <w:pPr>
        <w:pStyle w:val="Heading5"/>
        <w:spacing w:before="90"/>
        <w:ind w:left="699" w:firstLine="0"/>
        <w:jc w:val="left"/>
      </w:pPr>
      <w:r>
        <w:rPr/>
        <w:t>Q8_Évaluation de l’expérience des utilisateurs*Q24_Si oui, comment évaluez-vous (de 1 à</w:t>
      </w:r>
    </w:p>
    <w:p>
      <w:pPr>
        <w:pStyle w:val="ListParagraph"/>
        <w:numPr>
          <w:ilvl w:val="0"/>
          <w:numId w:val="28"/>
        </w:numPr>
        <w:tabs>
          <w:tab w:pos="964" w:val="left" w:leader="none"/>
        </w:tabs>
        <w:spacing w:line="240" w:lineRule="auto" w:before="22" w:after="0"/>
        <w:ind w:left="963" w:right="0" w:hanging="265"/>
        <w:jc w:val="left"/>
        <w:rPr>
          <w:b/>
          <w:sz w:val="24"/>
        </w:rPr>
      </w:pPr>
      <w:r>
        <w:rPr>
          <w:b/>
          <w:spacing w:val="-3"/>
          <w:sz w:val="24"/>
        </w:rPr>
        <w:t>la </w:t>
      </w:r>
      <w:r>
        <w:rPr>
          <w:b/>
          <w:sz w:val="24"/>
        </w:rPr>
        <w:t>rapidité de réponse ? (1=Très lente, 5=Très</w:t>
      </w:r>
      <w:r>
        <w:rPr>
          <w:b/>
          <w:spacing w:val="10"/>
          <w:sz w:val="24"/>
        </w:rPr>
        <w:t> </w:t>
      </w:r>
      <w:r>
        <w:rPr>
          <w:b/>
          <w:sz w:val="24"/>
        </w:rPr>
        <w:t>rapide)</w:t>
      </w:r>
    </w:p>
    <w:p>
      <w:pPr>
        <w:pStyle w:val="BodyText"/>
        <w:spacing w:before="180"/>
        <w:ind w:left="699"/>
      </w:pPr>
      <w:bookmarkStart w:name="_bookmark69" w:id="263"/>
      <w:bookmarkEnd w:id="263"/>
      <w:r>
        <w:rPr/>
      </w:r>
      <w:r>
        <w:rPr>
          <w:b/>
          <w:color w:val="44536A"/>
        </w:rPr>
        <w:t>Tableau 33:</w:t>
      </w:r>
      <w:r>
        <w:rPr>
          <w:color w:val="44536A"/>
        </w:rPr>
        <w:t>Évaluation de l’expérience des utilisateurs par la rapidité de réponse du service client</w:t>
      </w:r>
    </w:p>
    <w:p>
      <w:pPr>
        <w:pStyle w:val="BodyText"/>
        <w:spacing w:before="1"/>
        <w:rPr>
          <w:sz w:val="18"/>
        </w:rPr>
      </w:pPr>
    </w:p>
    <w:tbl>
      <w:tblPr>
        <w:tblW w:w="0" w:type="auto"/>
        <w:jc w:val="left"/>
        <w:tblInd w:w="71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4"/>
        <w:gridCol w:w="2922"/>
        <w:gridCol w:w="1143"/>
        <w:gridCol w:w="739"/>
        <w:gridCol w:w="1023"/>
        <w:gridCol w:w="1009"/>
        <w:gridCol w:w="1249"/>
        <w:gridCol w:w="827"/>
      </w:tblGrid>
      <w:tr>
        <w:trPr>
          <w:trHeight w:val="238" w:hRule="atLeast"/>
        </w:trPr>
        <w:tc>
          <w:tcPr>
            <w:tcW w:w="3486" w:type="dxa"/>
            <w:gridSpan w:val="2"/>
            <w:vMerge w:val="restart"/>
            <w:tcBorders>
              <w:top w:val="nil"/>
              <w:left w:val="nil"/>
            </w:tcBorders>
          </w:tcPr>
          <w:p>
            <w:pPr>
              <w:pStyle w:val="TableParagraph"/>
              <w:jc w:val="left"/>
              <w:rPr>
                <w:sz w:val="22"/>
              </w:rPr>
            </w:pPr>
          </w:p>
        </w:tc>
        <w:tc>
          <w:tcPr>
            <w:tcW w:w="5163" w:type="dxa"/>
            <w:gridSpan w:val="5"/>
            <w:tcBorders>
              <w:bottom w:val="single" w:sz="8" w:space="0" w:color="000000"/>
              <w:right w:val="single" w:sz="8" w:space="0" w:color="000000"/>
            </w:tcBorders>
          </w:tcPr>
          <w:p>
            <w:pPr>
              <w:pStyle w:val="TableParagraph"/>
              <w:spacing w:line="218" w:lineRule="exact"/>
              <w:ind w:left="1957" w:right="1930"/>
              <w:rPr>
                <w:sz w:val="22"/>
              </w:rPr>
            </w:pPr>
            <w:r>
              <w:rPr>
                <w:sz w:val="22"/>
              </w:rPr>
              <w:t>Service client</w:t>
            </w:r>
          </w:p>
        </w:tc>
        <w:tc>
          <w:tcPr>
            <w:tcW w:w="827" w:type="dxa"/>
            <w:vMerge w:val="restart"/>
            <w:tcBorders>
              <w:left w:val="single" w:sz="8" w:space="0" w:color="000000"/>
            </w:tcBorders>
          </w:tcPr>
          <w:p>
            <w:pPr>
              <w:pStyle w:val="TableParagraph"/>
              <w:spacing w:before="146"/>
              <w:ind w:left="166"/>
              <w:jc w:val="left"/>
              <w:rPr>
                <w:b/>
                <w:sz w:val="22"/>
              </w:rPr>
            </w:pPr>
            <w:r>
              <w:rPr>
                <w:b/>
                <w:sz w:val="22"/>
              </w:rPr>
              <w:t>Total</w:t>
            </w:r>
          </w:p>
        </w:tc>
      </w:tr>
      <w:tr>
        <w:trPr>
          <w:trHeight w:val="262" w:hRule="atLeast"/>
        </w:trPr>
        <w:tc>
          <w:tcPr>
            <w:tcW w:w="3486" w:type="dxa"/>
            <w:gridSpan w:val="2"/>
            <w:vMerge/>
            <w:tcBorders>
              <w:top w:val="nil"/>
              <w:left w:val="nil"/>
            </w:tcBorders>
          </w:tcPr>
          <w:p>
            <w:pPr>
              <w:rPr>
                <w:sz w:val="2"/>
                <w:szCs w:val="2"/>
              </w:rPr>
            </w:pPr>
          </w:p>
        </w:tc>
        <w:tc>
          <w:tcPr>
            <w:tcW w:w="1143" w:type="dxa"/>
            <w:tcBorders>
              <w:top w:val="single" w:sz="8" w:space="0" w:color="000000"/>
              <w:right w:val="single" w:sz="8" w:space="0" w:color="000000"/>
            </w:tcBorders>
          </w:tcPr>
          <w:p>
            <w:pPr>
              <w:pStyle w:val="TableParagraph"/>
              <w:spacing w:line="235" w:lineRule="exact" w:before="7"/>
              <w:ind w:left="112" w:right="85"/>
              <w:rPr>
                <w:sz w:val="22"/>
              </w:rPr>
            </w:pPr>
            <w:r>
              <w:rPr>
                <w:sz w:val="22"/>
              </w:rPr>
              <w:t>Très lente</w:t>
            </w:r>
          </w:p>
        </w:tc>
        <w:tc>
          <w:tcPr>
            <w:tcW w:w="739" w:type="dxa"/>
            <w:tcBorders>
              <w:top w:val="single" w:sz="8" w:space="0" w:color="000000"/>
              <w:left w:val="single" w:sz="8" w:space="0" w:color="000000"/>
              <w:right w:val="single" w:sz="8" w:space="0" w:color="000000"/>
            </w:tcBorders>
          </w:tcPr>
          <w:p>
            <w:pPr>
              <w:pStyle w:val="TableParagraph"/>
              <w:spacing w:line="235" w:lineRule="exact" w:before="7"/>
              <w:ind w:left="109" w:right="69"/>
              <w:rPr>
                <w:sz w:val="22"/>
              </w:rPr>
            </w:pPr>
            <w:r>
              <w:rPr>
                <w:sz w:val="22"/>
              </w:rPr>
              <w:t>Lente</w:t>
            </w:r>
          </w:p>
        </w:tc>
        <w:tc>
          <w:tcPr>
            <w:tcW w:w="1023" w:type="dxa"/>
            <w:tcBorders>
              <w:top w:val="single" w:sz="8" w:space="0" w:color="000000"/>
              <w:left w:val="single" w:sz="8" w:space="0" w:color="000000"/>
              <w:right w:val="single" w:sz="8" w:space="0" w:color="000000"/>
            </w:tcBorders>
          </w:tcPr>
          <w:p>
            <w:pPr>
              <w:pStyle w:val="TableParagraph"/>
              <w:spacing w:line="235" w:lineRule="exact" w:before="7"/>
              <w:ind w:left="91" w:right="41"/>
              <w:rPr>
                <w:sz w:val="22"/>
              </w:rPr>
            </w:pPr>
            <w:r>
              <w:rPr>
                <w:sz w:val="22"/>
              </w:rPr>
              <w:t>Moyenne</w:t>
            </w:r>
          </w:p>
        </w:tc>
        <w:tc>
          <w:tcPr>
            <w:tcW w:w="1009" w:type="dxa"/>
            <w:tcBorders>
              <w:top w:val="single" w:sz="8" w:space="0" w:color="000000"/>
              <w:left w:val="single" w:sz="8" w:space="0" w:color="000000"/>
              <w:right w:val="single" w:sz="8" w:space="0" w:color="000000"/>
            </w:tcBorders>
          </w:tcPr>
          <w:p>
            <w:pPr>
              <w:pStyle w:val="TableParagraph"/>
              <w:spacing w:line="235" w:lineRule="exact" w:before="7"/>
              <w:ind w:left="186" w:right="138"/>
              <w:rPr>
                <w:sz w:val="22"/>
              </w:rPr>
            </w:pPr>
            <w:r>
              <w:rPr>
                <w:sz w:val="22"/>
              </w:rPr>
              <w:t>Rapide</w:t>
            </w:r>
          </w:p>
        </w:tc>
        <w:tc>
          <w:tcPr>
            <w:tcW w:w="1249" w:type="dxa"/>
            <w:tcBorders>
              <w:top w:val="single" w:sz="8" w:space="0" w:color="000000"/>
              <w:left w:val="single" w:sz="8" w:space="0" w:color="000000"/>
              <w:right w:val="single" w:sz="8" w:space="0" w:color="000000"/>
            </w:tcBorders>
          </w:tcPr>
          <w:p>
            <w:pPr>
              <w:pStyle w:val="TableParagraph"/>
              <w:spacing w:line="235" w:lineRule="exact" w:before="7"/>
              <w:ind w:left="118" w:right="75"/>
              <w:rPr>
                <w:sz w:val="22"/>
              </w:rPr>
            </w:pPr>
            <w:r>
              <w:rPr>
                <w:sz w:val="22"/>
              </w:rPr>
              <w:t>Très rapide</w:t>
            </w:r>
          </w:p>
        </w:tc>
        <w:tc>
          <w:tcPr>
            <w:tcW w:w="827" w:type="dxa"/>
            <w:vMerge/>
            <w:tcBorders>
              <w:top w:val="nil"/>
              <w:left w:val="single" w:sz="8" w:space="0" w:color="000000"/>
            </w:tcBorders>
          </w:tcPr>
          <w:p>
            <w:pPr>
              <w:rPr>
                <w:sz w:val="2"/>
                <w:szCs w:val="2"/>
              </w:rPr>
            </w:pPr>
          </w:p>
        </w:tc>
      </w:tr>
      <w:tr>
        <w:trPr>
          <w:trHeight w:val="268" w:hRule="atLeast"/>
        </w:trPr>
        <w:tc>
          <w:tcPr>
            <w:tcW w:w="564" w:type="dxa"/>
            <w:tcBorders>
              <w:bottom w:val="nil"/>
              <w:right w:val="nil"/>
            </w:tcBorders>
          </w:tcPr>
          <w:p>
            <w:pPr>
              <w:pStyle w:val="TableParagraph"/>
              <w:jc w:val="left"/>
              <w:rPr>
                <w:sz w:val="18"/>
              </w:rPr>
            </w:pPr>
          </w:p>
        </w:tc>
        <w:tc>
          <w:tcPr>
            <w:tcW w:w="2922" w:type="dxa"/>
            <w:tcBorders>
              <w:left w:val="nil"/>
              <w:bottom w:val="nil"/>
            </w:tcBorders>
          </w:tcPr>
          <w:p>
            <w:pPr>
              <w:pStyle w:val="TableParagraph"/>
              <w:spacing w:line="246" w:lineRule="exact"/>
              <w:ind w:left="151"/>
              <w:jc w:val="left"/>
              <w:rPr>
                <w:sz w:val="22"/>
              </w:rPr>
            </w:pPr>
            <w:r>
              <w:rPr>
                <w:sz w:val="22"/>
              </w:rPr>
              <w:t>Pas du tout satisfait(e)</w:t>
            </w:r>
          </w:p>
        </w:tc>
        <w:tc>
          <w:tcPr>
            <w:tcW w:w="1143" w:type="dxa"/>
            <w:tcBorders>
              <w:bottom w:val="nil"/>
              <w:right w:val="single" w:sz="8" w:space="0" w:color="000000"/>
            </w:tcBorders>
          </w:tcPr>
          <w:p>
            <w:pPr>
              <w:pStyle w:val="TableParagraph"/>
              <w:spacing w:line="246" w:lineRule="exact"/>
              <w:ind w:left="30"/>
              <w:rPr>
                <w:sz w:val="22"/>
              </w:rPr>
            </w:pPr>
            <w:r>
              <w:rPr>
                <w:w w:val="100"/>
                <w:sz w:val="22"/>
              </w:rPr>
              <w:t>7</w:t>
            </w:r>
          </w:p>
        </w:tc>
        <w:tc>
          <w:tcPr>
            <w:tcW w:w="739" w:type="dxa"/>
            <w:tcBorders>
              <w:left w:val="single" w:sz="8" w:space="0" w:color="000000"/>
              <w:bottom w:val="nil"/>
              <w:right w:val="single" w:sz="8" w:space="0" w:color="000000"/>
            </w:tcBorders>
          </w:tcPr>
          <w:p>
            <w:pPr>
              <w:pStyle w:val="TableParagraph"/>
              <w:spacing w:line="246" w:lineRule="exact"/>
              <w:ind w:left="43"/>
              <w:rPr>
                <w:sz w:val="22"/>
              </w:rPr>
            </w:pPr>
            <w:r>
              <w:rPr>
                <w:w w:val="100"/>
                <w:sz w:val="22"/>
              </w:rPr>
              <w:t>0</w:t>
            </w:r>
          </w:p>
        </w:tc>
        <w:tc>
          <w:tcPr>
            <w:tcW w:w="1023" w:type="dxa"/>
            <w:tcBorders>
              <w:left w:val="single" w:sz="8" w:space="0" w:color="000000"/>
              <w:bottom w:val="nil"/>
              <w:right w:val="single" w:sz="8" w:space="0" w:color="000000"/>
            </w:tcBorders>
          </w:tcPr>
          <w:p>
            <w:pPr>
              <w:pStyle w:val="TableParagraph"/>
              <w:spacing w:line="246" w:lineRule="exact"/>
              <w:ind w:left="48"/>
              <w:rPr>
                <w:sz w:val="22"/>
              </w:rPr>
            </w:pPr>
            <w:r>
              <w:rPr>
                <w:w w:val="100"/>
                <w:sz w:val="22"/>
              </w:rPr>
              <w:t>1</w:t>
            </w:r>
          </w:p>
        </w:tc>
        <w:tc>
          <w:tcPr>
            <w:tcW w:w="1009" w:type="dxa"/>
            <w:tcBorders>
              <w:left w:val="single" w:sz="8" w:space="0" w:color="000000"/>
              <w:bottom w:val="nil"/>
              <w:right w:val="single" w:sz="8" w:space="0" w:color="000000"/>
            </w:tcBorders>
          </w:tcPr>
          <w:p>
            <w:pPr>
              <w:pStyle w:val="TableParagraph"/>
              <w:spacing w:line="246" w:lineRule="exact"/>
              <w:ind w:left="43"/>
              <w:rPr>
                <w:sz w:val="22"/>
              </w:rPr>
            </w:pPr>
            <w:r>
              <w:rPr>
                <w:w w:val="100"/>
                <w:sz w:val="22"/>
              </w:rPr>
              <w:t>0</w:t>
            </w:r>
          </w:p>
        </w:tc>
        <w:tc>
          <w:tcPr>
            <w:tcW w:w="1249" w:type="dxa"/>
            <w:tcBorders>
              <w:left w:val="single" w:sz="8" w:space="0" w:color="000000"/>
              <w:bottom w:val="nil"/>
              <w:right w:val="single" w:sz="8" w:space="0" w:color="000000"/>
            </w:tcBorders>
          </w:tcPr>
          <w:p>
            <w:pPr>
              <w:pStyle w:val="TableParagraph"/>
              <w:spacing w:line="246" w:lineRule="exact"/>
              <w:ind w:left="51"/>
              <w:rPr>
                <w:sz w:val="22"/>
              </w:rPr>
            </w:pPr>
            <w:r>
              <w:rPr>
                <w:w w:val="100"/>
                <w:sz w:val="22"/>
              </w:rPr>
              <w:t>1</w:t>
            </w:r>
          </w:p>
        </w:tc>
        <w:tc>
          <w:tcPr>
            <w:tcW w:w="827" w:type="dxa"/>
            <w:tcBorders>
              <w:left w:val="single" w:sz="8" w:space="0" w:color="000000"/>
              <w:bottom w:val="nil"/>
              <w:right w:val="single" w:sz="18" w:space="0" w:color="EC7C30"/>
            </w:tcBorders>
          </w:tcPr>
          <w:p>
            <w:pPr>
              <w:pStyle w:val="TableParagraph"/>
              <w:spacing w:line="248" w:lineRule="exact"/>
              <w:ind w:left="42"/>
              <w:rPr>
                <w:b/>
                <w:sz w:val="22"/>
              </w:rPr>
            </w:pPr>
            <w:r>
              <w:rPr>
                <w:b/>
                <w:w w:val="100"/>
                <w:sz w:val="22"/>
              </w:rPr>
              <w:t>9</w:t>
            </w:r>
          </w:p>
        </w:tc>
      </w:tr>
      <w:tr>
        <w:trPr>
          <w:trHeight w:val="354" w:hRule="atLeast"/>
        </w:trPr>
        <w:tc>
          <w:tcPr>
            <w:tcW w:w="564" w:type="dxa"/>
            <w:vMerge w:val="restart"/>
            <w:tcBorders>
              <w:top w:val="nil"/>
              <w:bottom w:val="nil"/>
              <w:right w:val="nil"/>
            </w:tcBorders>
            <w:textDirection w:val="btLr"/>
          </w:tcPr>
          <w:p>
            <w:pPr>
              <w:pStyle w:val="TableParagraph"/>
              <w:spacing w:before="176"/>
              <w:jc w:val="left"/>
              <w:rPr>
                <w:sz w:val="22"/>
              </w:rPr>
            </w:pPr>
            <w:r>
              <w:rPr>
                <w:sz w:val="22"/>
              </w:rPr>
              <w:t>Satisfaction</w:t>
            </w:r>
          </w:p>
        </w:tc>
        <w:tc>
          <w:tcPr>
            <w:tcW w:w="2922" w:type="dxa"/>
            <w:tcBorders>
              <w:top w:val="nil"/>
              <w:left w:val="nil"/>
              <w:bottom w:val="nil"/>
            </w:tcBorders>
          </w:tcPr>
          <w:p>
            <w:pPr>
              <w:pStyle w:val="TableParagraph"/>
              <w:spacing w:before="55"/>
              <w:ind w:left="151"/>
              <w:jc w:val="left"/>
              <w:rPr>
                <w:sz w:val="22"/>
              </w:rPr>
            </w:pPr>
            <w:r>
              <w:rPr>
                <w:sz w:val="22"/>
              </w:rPr>
              <w:t>Peu satisfait(e)</w:t>
            </w:r>
          </w:p>
        </w:tc>
        <w:tc>
          <w:tcPr>
            <w:tcW w:w="1143" w:type="dxa"/>
            <w:tcBorders>
              <w:top w:val="nil"/>
              <w:bottom w:val="nil"/>
              <w:right w:val="single" w:sz="8" w:space="0" w:color="000000"/>
            </w:tcBorders>
          </w:tcPr>
          <w:p>
            <w:pPr>
              <w:pStyle w:val="TableParagraph"/>
              <w:spacing w:before="55"/>
              <w:ind w:left="30"/>
              <w:rPr>
                <w:sz w:val="22"/>
              </w:rPr>
            </w:pPr>
            <w:r>
              <w:rPr>
                <w:w w:val="100"/>
                <w:sz w:val="22"/>
              </w:rPr>
              <w:t>3</w:t>
            </w:r>
          </w:p>
        </w:tc>
        <w:tc>
          <w:tcPr>
            <w:tcW w:w="739" w:type="dxa"/>
            <w:tcBorders>
              <w:top w:val="nil"/>
              <w:left w:val="single" w:sz="8" w:space="0" w:color="000000"/>
              <w:bottom w:val="nil"/>
              <w:right w:val="single" w:sz="8" w:space="0" w:color="000000"/>
            </w:tcBorders>
          </w:tcPr>
          <w:p>
            <w:pPr>
              <w:pStyle w:val="TableParagraph"/>
              <w:spacing w:before="55"/>
              <w:ind w:left="43"/>
              <w:rPr>
                <w:sz w:val="22"/>
              </w:rPr>
            </w:pPr>
            <w:r>
              <w:rPr>
                <w:w w:val="100"/>
                <w:sz w:val="22"/>
              </w:rPr>
              <w:t>2</w:t>
            </w:r>
          </w:p>
        </w:tc>
        <w:tc>
          <w:tcPr>
            <w:tcW w:w="1023" w:type="dxa"/>
            <w:tcBorders>
              <w:top w:val="nil"/>
              <w:left w:val="single" w:sz="8" w:space="0" w:color="000000"/>
              <w:bottom w:val="nil"/>
              <w:right w:val="single" w:sz="8" w:space="0" w:color="000000"/>
            </w:tcBorders>
          </w:tcPr>
          <w:p>
            <w:pPr>
              <w:pStyle w:val="TableParagraph"/>
              <w:spacing w:before="55"/>
              <w:ind w:left="48"/>
              <w:rPr>
                <w:sz w:val="22"/>
              </w:rPr>
            </w:pPr>
            <w:r>
              <w:rPr>
                <w:w w:val="100"/>
                <w:sz w:val="22"/>
              </w:rPr>
              <w:t>1</w:t>
            </w:r>
          </w:p>
        </w:tc>
        <w:tc>
          <w:tcPr>
            <w:tcW w:w="1009" w:type="dxa"/>
            <w:tcBorders>
              <w:top w:val="nil"/>
              <w:left w:val="single" w:sz="8" w:space="0" w:color="000000"/>
              <w:bottom w:val="nil"/>
              <w:right w:val="single" w:sz="8" w:space="0" w:color="000000"/>
            </w:tcBorders>
          </w:tcPr>
          <w:p>
            <w:pPr>
              <w:pStyle w:val="TableParagraph"/>
              <w:spacing w:before="55"/>
              <w:ind w:left="43"/>
              <w:rPr>
                <w:sz w:val="22"/>
              </w:rPr>
            </w:pPr>
            <w:r>
              <w:rPr>
                <w:w w:val="100"/>
                <w:sz w:val="22"/>
              </w:rPr>
              <w:t>1</w:t>
            </w:r>
          </w:p>
        </w:tc>
        <w:tc>
          <w:tcPr>
            <w:tcW w:w="1249" w:type="dxa"/>
            <w:tcBorders>
              <w:top w:val="nil"/>
              <w:left w:val="single" w:sz="8" w:space="0" w:color="000000"/>
              <w:bottom w:val="nil"/>
              <w:right w:val="single" w:sz="8" w:space="0" w:color="000000"/>
            </w:tcBorders>
          </w:tcPr>
          <w:p>
            <w:pPr>
              <w:pStyle w:val="TableParagraph"/>
              <w:spacing w:before="55"/>
              <w:ind w:left="51"/>
              <w:rPr>
                <w:sz w:val="22"/>
              </w:rPr>
            </w:pPr>
            <w:r>
              <w:rPr>
                <w:w w:val="100"/>
                <w:sz w:val="22"/>
              </w:rPr>
              <w:t>0</w:t>
            </w:r>
          </w:p>
        </w:tc>
        <w:tc>
          <w:tcPr>
            <w:tcW w:w="827" w:type="dxa"/>
            <w:tcBorders>
              <w:top w:val="nil"/>
              <w:left w:val="single" w:sz="8" w:space="0" w:color="000000"/>
              <w:bottom w:val="nil"/>
              <w:right w:val="single" w:sz="18" w:space="0" w:color="EC7C30"/>
            </w:tcBorders>
          </w:tcPr>
          <w:p>
            <w:pPr>
              <w:pStyle w:val="TableParagraph"/>
              <w:spacing w:before="60"/>
              <w:ind w:left="42"/>
              <w:rPr>
                <w:b/>
                <w:sz w:val="22"/>
              </w:rPr>
            </w:pPr>
            <w:r>
              <w:rPr>
                <w:b/>
                <w:w w:val="100"/>
                <w:sz w:val="22"/>
              </w:rPr>
              <w:t>7</w:t>
            </w:r>
          </w:p>
        </w:tc>
      </w:tr>
      <w:tr>
        <w:trPr>
          <w:trHeight w:val="331" w:hRule="atLeast"/>
        </w:trPr>
        <w:tc>
          <w:tcPr>
            <w:tcW w:w="564" w:type="dxa"/>
            <w:vMerge/>
            <w:tcBorders>
              <w:top w:val="nil"/>
              <w:bottom w:val="nil"/>
              <w:right w:val="nil"/>
            </w:tcBorders>
            <w:textDirection w:val="btLr"/>
          </w:tcPr>
          <w:p>
            <w:pPr>
              <w:rPr>
                <w:sz w:val="2"/>
                <w:szCs w:val="2"/>
              </w:rPr>
            </w:pPr>
          </w:p>
        </w:tc>
        <w:tc>
          <w:tcPr>
            <w:tcW w:w="2922" w:type="dxa"/>
            <w:tcBorders>
              <w:top w:val="nil"/>
              <w:left w:val="nil"/>
              <w:bottom w:val="nil"/>
            </w:tcBorders>
          </w:tcPr>
          <w:p>
            <w:pPr>
              <w:pStyle w:val="TableParagraph"/>
              <w:spacing w:before="32"/>
              <w:ind w:left="151"/>
              <w:jc w:val="left"/>
              <w:rPr>
                <w:sz w:val="22"/>
              </w:rPr>
            </w:pPr>
            <w:r>
              <w:rPr>
                <w:sz w:val="22"/>
              </w:rPr>
              <w:t>Moyennement satisfait(e)</w:t>
            </w:r>
          </w:p>
        </w:tc>
        <w:tc>
          <w:tcPr>
            <w:tcW w:w="1143" w:type="dxa"/>
            <w:tcBorders>
              <w:top w:val="nil"/>
              <w:bottom w:val="nil"/>
              <w:right w:val="single" w:sz="8" w:space="0" w:color="000000"/>
            </w:tcBorders>
          </w:tcPr>
          <w:p>
            <w:pPr>
              <w:pStyle w:val="TableParagraph"/>
              <w:spacing w:before="32"/>
              <w:ind w:left="30"/>
              <w:rPr>
                <w:sz w:val="22"/>
              </w:rPr>
            </w:pPr>
            <w:r>
              <w:rPr>
                <w:w w:val="100"/>
                <w:sz w:val="22"/>
              </w:rPr>
              <w:t>5</w:t>
            </w:r>
          </w:p>
        </w:tc>
        <w:tc>
          <w:tcPr>
            <w:tcW w:w="739" w:type="dxa"/>
            <w:tcBorders>
              <w:top w:val="nil"/>
              <w:left w:val="single" w:sz="8" w:space="0" w:color="000000"/>
              <w:bottom w:val="nil"/>
              <w:right w:val="single" w:sz="8" w:space="0" w:color="000000"/>
            </w:tcBorders>
          </w:tcPr>
          <w:p>
            <w:pPr>
              <w:pStyle w:val="TableParagraph"/>
              <w:spacing w:before="32"/>
              <w:ind w:left="43"/>
              <w:rPr>
                <w:sz w:val="22"/>
              </w:rPr>
            </w:pPr>
            <w:r>
              <w:rPr>
                <w:w w:val="100"/>
                <w:sz w:val="22"/>
              </w:rPr>
              <w:t>3</w:t>
            </w:r>
          </w:p>
        </w:tc>
        <w:tc>
          <w:tcPr>
            <w:tcW w:w="1023" w:type="dxa"/>
            <w:tcBorders>
              <w:top w:val="nil"/>
              <w:left w:val="single" w:sz="8" w:space="0" w:color="000000"/>
              <w:bottom w:val="nil"/>
              <w:right w:val="single" w:sz="8" w:space="0" w:color="000000"/>
            </w:tcBorders>
          </w:tcPr>
          <w:p>
            <w:pPr>
              <w:pStyle w:val="TableParagraph"/>
              <w:spacing w:before="32"/>
              <w:ind w:left="48"/>
              <w:rPr>
                <w:sz w:val="22"/>
              </w:rPr>
            </w:pPr>
            <w:r>
              <w:rPr>
                <w:w w:val="100"/>
                <w:sz w:val="22"/>
              </w:rPr>
              <w:t>6</w:t>
            </w:r>
          </w:p>
        </w:tc>
        <w:tc>
          <w:tcPr>
            <w:tcW w:w="1009" w:type="dxa"/>
            <w:tcBorders>
              <w:top w:val="nil"/>
              <w:left w:val="single" w:sz="8" w:space="0" w:color="000000"/>
              <w:bottom w:val="nil"/>
              <w:right w:val="single" w:sz="8" w:space="0" w:color="000000"/>
            </w:tcBorders>
          </w:tcPr>
          <w:p>
            <w:pPr>
              <w:pStyle w:val="TableParagraph"/>
              <w:spacing w:before="32"/>
              <w:ind w:left="43"/>
              <w:rPr>
                <w:sz w:val="22"/>
              </w:rPr>
            </w:pPr>
            <w:r>
              <w:rPr>
                <w:w w:val="100"/>
                <w:sz w:val="22"/>
              </w:rPr>
              <w:t>4</w:t>
            </w:r>
          </w:p>
        </w:tc>
        <w:tc>
          <w:tcPr>
            <w:tcW w:w="1249" w:type="dxa"/>
            <w:tcBorders>
              <w:top w:val="nil"/>
              <w:left w:val="single" w:sz="8" w:space="0" w:color="000000"/>
              <w:bottom w:val="nil"/>
              <w:right w:val="single" w:sz="8" w:space="0" w:color="000000"/>
            </w:tcBorders>
          </w:tcPr>
          <w:p>
            <w:pPr>
              <w:pStyle w:val="TableParagraph"/>
              <w:spacing w:before="32"/>
              <w:ind w:left="51"/>
              <w:rPr>
                <w:sz w:val="22"/>
              </w:rPr>
            </w:pPr>
            <w:r>
              <w:rPr>
                <w:w w:val="100"/>
                <w:sz w:val="22"/>
              </w:rPr>
              <w:t>2</w:t>
            </w:r>
          </w:p>
        </w:tc>
        <w:tc>
          <w:tcPr>
            <w:tcW w:w="827" w:type="dxa"/>
            <w:tcBorders>
              <w:top w:val="nil"/>
              <w:left w:val="single" w:sz="8" w:space="0" w:color="000000"/>
              <w:bottom w:val="nil"/>
              <w:right w:val="single" w:sz="18" w:space="0" w:color="EC7C30"/>
            </w:tcBorders>
          </w:tcPr>
          <w:p>
            <w:pPr>
              <w:pStyle w:val="TableParagraph"/>
              <w:spacing w:before="37"/>
              <w:ind w:left="286" w:right="248"/>
              <w:rPr>
                <w:b/>
                <w:sz w:val="22"/>
              </w:rPr>
            </w:pPr>
            <w:r>
              <w:rPr>
                <w:b/>
                <w:sz w:val="22"/>
              </w:rPr>
              <w:t>20</w:t>
            </w:r>
          </w:p>
        </w:tc>
      </w:tr>
      <w:tr>
        <w:trPr>
          <w:trHeight w:val="372" w:hRule="atLeast"/>
        </w:trPr>
        <w:tc>
          <w:tcPr>
            <w:tcW w:w="564" w:type="dxa"/>
            <w:vMerge/>
            <w:tcBorders>
              <w:top w:val="nil"/>
              <w:bottom w:val="nil"/>
              <w:right w:val="nil"/>
            </w:tcBorders>
            <w:textDirection w:val="btLr"/>
          </w:tcPr>
          <w:p>
            <w:pPr>
              <w:rPr>
                <w:sz w:val="2"/>
                <w:szCs w:val="2"/>
              </w:rPr>
            </w:pPr>
          </w:p>
        </w:tc>
        <w:tc>
          <w:tcPr>
            <w:tcW w:w="2922" w:type="dxa"/>
            <w:tcBorders>
              <w:top w:val="nil"/>
              <w:left w:val="nil"/>
              <w:bottom w:val="nil"/>
            </w:tcBorders>
          </w:tcPr>
          <w:p>
            <w:pPr>
              <w:pStyle w:val="TableParagraph"/>
              <w:spacing w:before="32"/>
              <w:ind w:left="151"/>
              <w:jc w:val="left"/>
              <w:rPr>
                <w:sz w:val="22"/>
              </w:rPr>
            </w:pPr>
            <w:r>
              <w:rPr>
                <w:sz w:val="22"/>
              </w:rPr>
              <w:t>Satisfait(e)</w:t>
            </w:r>
          </w:p>
        </w:tc>
        <w:tc>
          <w:tcPr>
            <w:tcW w:w="1143" w:type="dxa"/>
            <w:tcBorders>
              <w:top w:val="nil"/>
              <w:bottom w:val="nil"/>
              <w:right w:val="single" w:sz="8" w:space="0" w:color="000000"/>
            </w:tcBorders>
          </w:tcPr>
          <w:p>
            <w:pPr>
              <w:pStyle w:val="TableParagraph"/>
              <w:spacing w:before="32"/>
              <w:ind w:left="30"/>
              <w:rPr>
                <w:sz w:val="22"/>
              </w:rPr>
            </w:pPr>
            <w:r>
              <w:rPr>
                <w:w w:val="100"/>
                <w:sz w:val="22"/>
              </w:rPr>
              <w:t>3</w:t>
            </w:r>
          </w:p>
        </w:tc>
        <w:tc>
          <w:tcPr>
            <w:tcW w:w="739" w:type="dxa"/>
            <w:tcBorders>
              <w:top w:val="nil"/>
              <w:left w:val="single" w:sz="8" w:space="0" w:color="000000"/>
              <w:bottom w:val="nil"/>
              <w:right w:val="single" w:sz="8" w:space="0" w:color="000000"/>
            </w:tcBorders>
          </w:tcPr>
          <w:p>
            <w:pPr>
              <w:pStyle w:val="TableParagraph"/>
              <w:spacing w:before="32"/>
              <w:ind w:left="43"/>
              <w:rPr>
                <w:sz w:val="22"/>
              </w:rPr>
            </w:pPr>
            <w:r>
              <w:rPr>
                <w:w w:val="100"/>
                <w:sz w:val="22"/>
              </w:rPr>
              <w:t>5</w:t>
            </w:r>
          </w:p>
        </w:tc>
        <w:tc>
          <w:tcPr>
            <w:tcW w:w="1023" w:type="dxa"/>
            <w:tcBorders>
              <w:top w:val="nil"/>
              <w:left w:val="single" w:sz="8" w:space="0" w:color="000000"/>
              <w:bottom w:val="nil"/>
              <w:right w:val="single" w:sz="8" w:space="0" w:color="000000"/>
            </w:tcBorders>
          </w:tcPr>
          <w:p>
            <w:pPr>
              <w:pStyle w:val="TableParagraph"/>
              <w:spacing w:before="32"/>
              <w:ind w:left="48"/>
              <w:rPr>
                <w:sz w:val="22"/>
              </w:rPr>
            </w:pPr>
            <w:r>
              <w:rPr>
                <w:w w:val="100"/>
                <w:sz w:val="22"/>
              </w:rPr>
              <w:t>6</w:t>
            </w:r>
          </w:p>
        </w:tc>
        <w:tc>
          <w:tcPr>
            <w:tcW w:w="1009" w:type="dxa"/>
            <w:tcBorders>
              <w:top w:val="nil"/>
              <w:left w:val="single" w:sz="8" w:space="0" w:color="000000"/>
              <w:bottom w:val="nil"/>
              <w:right w:val="single" w:sz="8" w:space="0" w:color="000000"/>
            </w:tcBorders>
          </w:tcPr>
          <w:p>
            <w:pPr>
              <w:pStyle w:val="TableParagraph"/>
              <w:spacing w:before="32"/>
              <w:ind w:left="43"/>
              <w:rPr>
                <w:sz w:val="22"/>
              </w:rPr>
            </w:pPr>
            <w:r>
              <w:rPr>
                <w:w w:val="100"/>
                <w:sz w:val="22"/>
              </w:rPr>
              <w:t>7</w:t>
            </w:r>
          </w:p>
        </w:tc>
        <w:tc>
          <w:tcPr>
            <w:tcW w:w="1249" w:type="dxa"/>
            <w:tcBorders>
              <w:top w:val="nil"/>
              <w:left w:val="single" w:sz="8" w:space="0" w:color="000000"/>
              <w:bottom w:val="nil"/>
              <w:right w:val="single" w:sz="8" w:space="0" w:color="000000"/>
            </w:tcBorders>
          </w:tcPr>
          <w:p>
            <w:pPr>
              <w:pStyle w:val="TableParagraph"/>
              <w:spacing w:before="32"/>
              <w:ind w:left="51"/>
              <w:rPr>
                <w:sz w:val="22"/>
              </w:rPr>
            </w:pPr>
            <w:r>
              <w:rPr>
                <w:w w:val="100"/>
                <w:sz w:val="22"/>
              </w:rPr>
              <w:t>1</w:t>
            </w:r>
          </w:p>
        </w:tc>
        <w:tc>
          <w:tcPr>
            <w:tcW w:w="827" w:type="dxa"/>
            <w:tcBorders>
              <w:top w:val="nil"/>
              <w:left w:val="single" w:sz="8" w:space="0" w:color="000000"/>
              <w:bottom w:val="nil"/>
              <w:right w:val="single" w:sz="18" w:space="0" w:color="EC7C30"/>
            </w:tcBorders>
          </w:tcPr>
          <w:p>
            <w:pPr>
              <w:pStyle w:val="TableParagraph"/>
              <w:spacing w:before="37"/>
              <w:ind w:left="286" w:right="248"/>
              <w:rPr>
                <w:b/>
                <w:sz w:val="22"/>
              </w:rPr>
            </w:pPr>
            <w:r>
              <w:rPr>
                <w:b/>
                <w:sz w:val="22"/>
              </w:rPr>
              <w:t>22</w:t>
            </w:r>
          </w:p>
        </w:tc>
      </w:tr>
      <w:tr>
        <w:trPr>
          <w:trHeight w:val="273" w:hRule="atLeast"/>
        </w:trPr>
        <w:tc>
          <w:tcPr>
            <w:tcW w:w="564" w:type="dxa"/>
            <w:tcBorders>
              <w:top w:val="nil"/>
              <w:bottom w:val="nil"/>
              <w:right w:val="nil"/>
            </w:tcBorders>
          </w:tcPr>
          <w:p>
            <w:pPr>
              <w:pStyle w:val="TableParagraph"/>
              <w:jc w:val="left"/>
              <w:rPr>
                <w:sz w:val="20"/>
              </w:rPr>
            </w:pPr>
          </w:p>
        </w:tc>
        <w:tc>
          <w:tcPr>
            <w:tcW w:w="2922" w:type="dxa"/>
            <w:tcBorders>
              <w:top w:val="nil"/>
              <w:left w:val="nil"/>
              <w:bottom w:val="nil"/>
            </w:tcBorders>
          </w:tcPr>
          <w:p>
            <w:pPr>
              <w:pStyle w:val="TableParagraph"/>
              <w:spacing w:line="244" w:lineRule="exact"/>
              <w:ind w:left="151"/>
              <w:jc w:val="left"/>
              <w:rPr>
                <w:sz w:val="22"/>
              </w:rPr>
            </w:pPr>
            <w:r>
              <w:rPr>
                <w:sz w:val="22"/>
              </w:rPr>
              <w:t>Très satisfait(e)</w:t>
            </w:r>
          </w:p>
        </w:tc>
        <w:tc>
          <w:tcPr>
            <w:tcW w:w="1143" w:type="dxa"/>
            <w:tcBorders>
              <w:top w:val="nil"/>
              <w:bottom w:val="nil"/>
              <w:right w:val="single" w:sz="8" w:space="0" w:color="000000"/>
            </w:tcBorders>
          </w:tcPr>
          <w:p>
            <w:pPr>
              <w:pStyle w:val="TableParagraph"/>
              <w:spacing w:line="244" w:lineRule="exact"/>
              <w:ind w:left="30"/>
              <w:rPr>
                <w:sz w:val="22"/>
              </w:rPr>
            </w:pPr>
            <w:r>
              <w:rPr>
                <w:w w:val="100"/>
                <w:sz w:val="22"/>
              </w:rPr>
              <w:t>4</w:t>
            </w:r>
          </w:p>
        </w:tc>
        <w:tc>
          <w:tcPr>
            <w:tcW w:w="739" w:type="dxa"/>
            <w:tcBorders>
              <w:top w:val="nil"/>
              <w:left w:val="single" w:sz="8" w:space="0" w:color="000000"/>
              <w:bottom w:val="nil"/>
              <w:right w:val="single" w:sz="8" w:space="0" w:color="000000"/>
            </w:tcBorders>
          </w:tcPr>
          <w:p>
            <w:pPr>
              <w:pStyle w:val="TableParagraph"/>
              <w:spacing w:line="244" w:lineRule="exact"/>
              <w:ind w:left="43"/>
              <w:rPr>
                <w:sz w:val="22"/>
              </w:rPr>
            </w:pPr>
            <w:r>
              <w:rPr>
                <w:w w:val="100"/>
                <w:sz w:val="22"/>
              </w:rPr>
              <w:t>2</w:t>
            </w:r>
          </w:p>
        </w:tc>
        <w:tc>
          <w:tcPr>
            <w:tcW w:w="1023" w:type="dxa"/>
            <w:tcBorders>
              <w:top w:val="nil"/>
              <w:left w:val="single" w:sz="8" w:space="0" w:color="000000"/>
              <w:bottom w:val="nil"/>
              <w:right w:val="single" w:sz="8" w:space="0" w:color="000000"/>
            </w:tcBorders>
          </w:tcPr>
          <w:p>
            <w:pPr>
              <w:pStyle w:val="TableParagraph"/>
              <w:spacing w:line="244" w:lineRule="exact"/>
              <w:ind w:left="48"/>
              <w:rPr>
                <w:sz w:val="22"/>
              </w:rPr>
            </w:pPr>
            <w:r>
              <w:rPr>
                <w:w w:val="100"/>
                <w:sz w:val="22"/>
              </w:rPr>
              <w:t>1</w:t>
            </w:r>
          </w:p>
        </w:tc>
        <w:tc>
          <w:tcPr>
            <w:tcW w:w="1009" w:type="dxa"/>
            <w:tcBorders>
              <w:top w:val="nil"/>
              <w:left w:val="single" w:sz="8" w:space="0" w:color="000000"/>
              <w:bottom w:val="nil"/>
              <w:right w:val="single" w:sz="8" w:space="0" w:color="000000"/>
            </w:tcBorders>
          </w:tcPr>
          <w:p>
            <w:pPr>
              <w:pStyle w:val="TableParagraph"/>
              <w:spacing w:line="244" w:lineRule="exact"/>
              <w:ind w:left="43"/>
              <w:rPr>
                <w:sz w:val="22"/>
              </w:rPr>
            </w:pPr>
            <w:r>
              <w:rPr>
                <w:w w:val="100"/>
                <w:sz w:val="22"/>
              </w:rPr>
              <w:t>1</w:t>
            </w:r>
          </w:p>
        </w:tc>
        <w:tc>
          <w:tcPr>
            <w:tcW w:w="1249" w:type="dxa"/>
            <w:tcBorders>
              <w:top w:val="nil"/>
              <w:left w:val="single" w:sz="8" w:space="0" w:color="000000"/>
              <w:bottom w:val="nil"/>
              <w:right w:val="single" w:sz="8" w:space="0" w:color="000000"/>
            </w:tcBorders>
          </w:tcPr>
          <w:p>
            <w:pPr>
              <w:pStyle w:val="TableParagraph"/>
              <w:spacing w:line="244" w:lineRule="exact"/>
              <w:ind w:left="51"/>
              <w:rPr>
                <w:sz w:val="22"/>
              </w:rPr>
            </w:pPr>
            <w:r>
              <w:rPr>
                <w:w w:val="100"/>
                <w:sz w:val="22"/>
              </w:rPr>
              <w:t>2</w:t>
            </w:r>
          </w:p>
        </w:tc>
        <w:tc>
          <w:tcPr>
            <w:tcW w:w="827" w:type="dxa"/>
            <w:tcBorders>
              <w:top w:val="nil"/>
              <w:left w:val="single" w:sz="8" w:space="0" w:color="000000"/>
              <w:bottom w:val="nil"/>
              <w:right w:val="single" w:sz="18" w:space="0" w:color="EC7C30"/>
            </w:tcBorders>
          </w:tcPr>
          <w:p>
            <w:pPr>
              <w:pStyle w:val="TableParagraph"/>
              <w:spacing w:line="249" w:lineRule="exact"/>
              <w:ind w:left="286" w:right="248"/>
              <w:rPr>
                <w:b/>
                <w:sz w:val="22"/>
              </w:rPr>
            </w:pPr>
            <w:r>
              <w:rPr>
                <w:b/>
                <w:sz w:val="22"/>
              </w:rPr>
              <w:t>10</w:t>
            </w:r>
          </w:p>
        </w:tc>
      </w:tr>
      <w:tr>
        <w:trPr>
          <w:trHeight w:val="303" w:hRule="atLeast"/>
        </w:trPr>
        <w:tc>
          <w:tcPr>
            <w:tcW w:w="564" w:type="dxa"/>
            <w:tcBorders>
              <w:top w:val="nil"/>
              <w:right w:val="nil"/>
            </w:tcBorders>
          </w:tcPr>
          <w:p>
            <w:pPr>
              <w:pStyle w:val="TableParagraph"/>
              <w:spacing w:before="30"/>
              <w:ind w:left="15"/>
              <w:jc w:val="left"/>
              <w:rPr>
                <w:b/>
                <w:i/>
                <w:sz w:val="22"/>
              </w:rPr>
            </w:pPr>
            <w:r>
              <w:rPr>
                <w:b/>
                <w:i/>
                <w:sz w:val="22"/>
              </w:rPr>
              <w:t>Total</w:t>
            </w:r>
          </w:p>
        </w:tc>
        <w:tc>
          <w:tcPr>
            <w:tcW w:w="2922" w:type="dxa"/>
            <w:tcBorders>
              <w:top w:val="nil"/>
              <w:left w:val="nil"/>
            </w:tcBorders>
          </w:tcPr>
          <w:p>
            <w:pPr>
              <w:pStyle w:val="TableParagraph"/>
              <w:jc w:val="left"/>
              <w:rPr>
                <w:sz w:val="22"/>
              </w:rPr>
            </w:pPr>
          </w:p>
        </w:tc>
        <w:tc>
          <w:tcPr>
            <w:tcW w:w="1143" w:type="dxa"/>
            <w:tcBorders>
              <w:top w:val="nil"/>
              <w:right w:val="single" w:sz="8" w:space="0" w:color="000000"/>
            </w:tcBorders>
          </w:tcPr>
          <w:p>
            <w:pPr>
              <w:pStyle w:val="TableParagraph"/>
              <w:spacing w:before="15"/>
              <w:ind w:left="112" w:right="77"/>
              <w:rPr>
                <w:b/>
                <w:sz w:val="22"/>
              </w:rPr>
            </w:pPr>
            <w:r>
              <w:rPr>
                <w:b/>
                <w:sz w:val="22"/>
              </w:rPr>
              <w:t>22</w:t>
            </w:r>
          </w:p>
        </w:tc>
        <w:tc>
          <w:tcPr>
            <w:tcW w:w="739" w:type="dxa"/>
            <w:tcBorders>
              <w:top w:val="nil"/>
              <w:left w:val="single" w:sz="8" w:space="0" w:color="000000"/>
              <w:right w:val="single" w:sz="8" w:space="0" w:color="000000"/>
            </w:tcBorders>
          </w:tcPr>
          <w:p>
            <w:pPr>
              <w:pStyle w:val="TableParagraph"/>
              <w:spacing w:before="15"/>
              <w:ind w:left="107" w:right="69"/>
              <w:rPr>
                <w:b/>
                <w:sz w:val="22"/>
              </w:rPr>
            </w:pPr>
            <w:r>
              <w:rPr>
                <w:b/>
                <w:sz w:val="22"/>
              </w:rPr>
              <w:t>12</w:t>
            </w:r>
          </w:p>
        </w:tc>
        <w:tc>
          <w:tcPr>
            <w:tcW w:w="1023" w:type="dxa"/>
            <w:tcBorders>
              <w:top w:val="nil"/>
              <w:left w:val="single" w:sz="8" w:space="0" w:color="000000"/>
              <w:right w:val="single" w:sz="8" w:space="0" w:color="000000"/>
            </w:tcBorders>
          </w:tcPr>
          <w:p>
            <w:pPr>
              <w:pStyle w:val="TableParagraph"/>
              <w:spacing w:before="15"/>
              <w:ind w:left="85" w:right="41"/>
              <w:rPr>
                <w:b/>
                <w:sz w:val="22"/>
              </w:rPr>
            </w:pPr>
            <w:r>
              <w:rPr>
                <w:b/>
                <w:sz w:val="22"/>
              </w:rPr>
              <w:t>15</w:t>
            </w:r>
          </w:p>
        </w:tc>
        <w:tc>
          <w:tcPr>
            <w:tcW w:w="1009" w:type="dxa"/>
            <w:tcBorders>
              <w:top w:val="nil"/>
              <w:left w:val="single" w:sz="8" w:space="0" w:color="000000"/>
              <w:right w:val="single" w:sz="8" w:space="0" w:color="000000"/>
            </w:tcBorders>
          </w:tcPr>
          <w:p>
            <w:pPr>
              <w:pStyle w:val="TableParagraph"/>
              <w:spacing w:before="15"/>
              <w:ind w:left="186" w:right="138"/>
              <w:rPr>
                <w:b/>
                <w:sz w:val="22"/>
              </w:rPr>
            </w:pPr>
            <w:r>
              <w:rPr>
                <w:b/>
                <w:sz w:val="22"/>
              </w:rPr>
              <w:t>13</w:t>
            </w:r>
          </w:p>
        </w:tc>
        <w:tc>
          <w:tcPr>
            <w:tcW w:w="1249" w:type="dxa"/>
            <w:tcBorders>
              <w:top w:val="nil"/>
              <w:left w:val="single" w:sz="8" w:space="0" w:color="000000"/>
              <w:right w:val="single" w:sz="8" w:space="0" w:color="000000"/>
            </w:tcBorders>
          </w:tcPr>
          <w:p>
            <w:pPr>
              <w:pStyle w:val="TableParagraph"/>
              <w:spacing w:before="15"/>
              <w:ind w:left="51"/>
              <w:rPr>
                <w:b/>
                <w:sz w:val="22"/>
              </w:rPr>
            </w:pPr>
            <w:r>
              <w:rPr>
                <w:b/>
                <w:w w:val="100"/>
                <w:sz w:val="22"/>
              </w:rPr>
              <w:t>6</w:t>
            </w:r>
          </w:p>
        </w:tc>
        <w:tc>
          <w:tcPr>
            <w:tcW w:w="827" w:type="dxa"/>
            <w:tcBorders>
              <w:top w:val="nil"/>
              <w:left w:val="single" w:sz="8" w:space="0" w:color="000000"/>
            </w:tcBorders>
          </w:tcPr>
          <w:p>
            <w:pPr>
              <w:pStyle w:val="TableParagraph"/>
              <w:spacing w:before="15"/>
              <w:ind w:left="286" w:right="248"/>
              <w:rPr>
                <w:b/>
                <w:sz w:val="22"/>
              </w:rPr>
            </w:pPr>
            <w:r>
              <w:rPr>
                <w:b/>
                <w:sz w:val="22"/>
              </w:rPr>
              <w:t>68</w:t>
            </w:r>
          </w:p>
        </w:tc>
      </w:tr>
    </w:tbl>
    <w:p>
      <w:pPr>
        <w:pStyle w:val="BodyText"/>
        <w:spacing w:before="6"/>
        <w:rPr>
          <w:sz w:val="20"/>
        </w:rPr>
      </w:pPr>
    </w:p>
    <w:p>
      <w:pPr>
        <w:pStyle w:val="BodyText"/>
        <w:ind w:left="825" w:right="445"/>
        <w:jc w:val="center"/>
      </w:pPr>
      <w:r>
        <w:rPr>
          <w:b/>
        </w:rPr>
        <w:t>Source : </w:t>
      </w:r>
      <w:r>
        <w:rPr/>
        <w:t>élaboré par nous-même sur la base des outputs SPSS</w:t>
      </w:r>
    </w:p>
    <w:p>
      <w:pPr>
        <w:pStyle w:val="BodyText"/>
        <w:spacing w:before="4"/>
        <w:rPr>
          <w:sz w:val="25"/>
        </w:rPr>
      </w:pPr>
    </w:p>
    <w:p>
      <w:pPr>
        <w:pStyle w:val="BodyText"/>
        <w:spacing w:line="360" w:lineRule="auto"/>
        <w:ind w:left="699" w:right="307" w:firstLine="360"/>
        <w:jc w:val="both"/>
      </w:pPr>
      <w:r>
        <w:rPr/>
        <w:t>Les 9 utilisateurs pas du tout satisfaits sont 7 à </w:t>
      </w:r>
      <w:r>
        <w:rPr>
          <w:spacing w:val="-3"/>
        </w:rPr>
        <w:t>dire </w:t>
      </w:r>
      <w:r>
        <w:rPr/>
        <w:t>que </w:t>
      </w:r>
      <w:r>
        <w:rPr>
          <w:spacing w:val="-5"/>
        </w:rPr>
        <w:t>le </w:t>
      </w:r>
      <w:r>
        <w:rPr/>
        <w:t>service client est très lent. Un seul pense qu’il est moyen, </w:t>
      </w:r>
      <w:r>
        <w:rPr>
          <w:spacing w:val="-3"/>
        </w:rPr>
        <w:t>et </w:t>
      </w:r>
      <w:r>
        <w:rPr/>
        <w:t>un autre très rapide. Les 7 utilisateurs peu satisfaits sont 3 à </w:t>
      </w:r>
      <w:r>
        <w:rPr>
          <w:spacing w:val="-3"/>
        </w:rPr>
        <w:t>dire </w:t>
      </w:r>
      <w:r>
        <w:rPr/>
        <w:t>que </w:t>
      </w:r>
      <w:r>
        <w:rPr>
          <w:spacing w:val="-5"/>
        </w:rPr>
        <w:t>le </w:t>
      </w:r>
      <w:r>
        <w:rPr/>
        <w:t>service est très lent, 2 </w:t>
      </w:r>
      <w:r>
        <w:rPr>
          <w:spacing w:val="-5"/>
        </w:rPr>
        <w:t>le </w:t>
      </w:r>
      <w:r>
        <w:rPr/>
        <w:t>trouvent lent, </w:t>
      </w:r>
      <w:r>
        <w:rPr>
          <w:spacing w:val="-3"/>
        </w:rPr>
        <w:t>et </w:t>
      </w:r>
      <w:r>
        <w:rPr>
          <w:spacing w:val="-4"/>
        </w:rPr>
        <w:t>les </w:t>
      </w:r>
      <w:r>
        <w:rPr/>
        <w:t>autres pensent qu’il est moyen ou rapide. Les 20 utilisateurs moyennement satisfaits donnent des avis partagés : 6 trouvent </w:t>
      </w:r>
      <w:r>
        <w:rPr>
          <w:spacing w:val="-5"/>
        </w:rPr>
        <w:t>le </w:t>
      </w:r>
      <w:r>
        <w:rPr/>
        <w:t>service </w:t>
      </w:r>
      <w:r>
        <w:rPr>
          <w:spacing w:val="-3"/>
        </w:rPr>
        <w:t>moyen, </w:t>
      </w:r>
      <w:r>
        <w:rPr/>
        <w:t>5 </w:t>
      </w:r>
      <w:r>
        <w:rPr>
          <w:spacing w:val="-5"/>
        </w:rPr>
        <w:t>le </w:t>
      </w:r>
      <w:r>
        <w:rPr/>
        <w:t>jugent très lent, 4 </w:t>
      </w:r>
      <w:r>
        <w:rPr>
          <w:spacing w:val="-5"/>
        </w:rPr>
        <w:t>le </w:t>
      </w:r>
      <w:r>
        <w:rPr/>
        <w:t>trouvent rapide, et les autres pensent qu’il est lent ou très rapide. Les 22 utilisateurs</w:t>
      </w:r>
      <w:r>
        <w:rPr>
          <w:spacing w:val="-13"/>
        </w:rPr>
        <w:t> </w:t>
      </w:r>
      <w:r>
        <w:rPr/>
        <w:t>satisfaits</w:t>
      </w:r>
      <w:r>
        <w:rPr>
          <w:spacing w:val="-13"/>
        </w:rPr>
        <w:t> </w:t>
      </w:r>
      <w:r>
        <w:rPr/>
        <w:t>sont</w:t>
      </w:r>
      <w:r>
        <w:rPr>
          <w:spacing w:val="-6"/>
        </w:rPr>
        <w:t> </w:t>
      </w:r>
      <w:r>
        <w:rPr/>
        <w:t>7</w:t>
      </w:r>
      <w:r>
        <w:rPr>
          <w:spacing w:val="-11"/>
        </w:rPr>
        <w:t> </w:t>
      </w:r>
      <w:r>
        <w:rPr/>
        <w:t>à</w:t>
      </w:r>
      <w:r>
        <w:rPr>
          <w:spacing w:val="-11"/>
        </w:rPr>
        <w:t> </w:t>
      </w:r>
      <w:r>
        <w:rPr/>
        <w:t>trouver</w:t>
      </w:r>
      <w:r>
        <w:rPr>
          <w:spacing w:val="-4"/>
        </w:rPr>
        <w:t> </w:t>
      </w:r>
      <w:r>
        <w:rPr>
          <w:spacing w:val="-5"/>
        </w:rPr>
        <w:t>le</w:t>
      </w:r>
      <w:r>
        <w:rPr>
          <w:spacing w:val="-12"/>
        </w:rPr>
        <w:t> </w:t>
      </w:r>
      <w:r>
        <w:rPr/>
        <w:t>service</w:t>
      </w:r>
      <w:r>
        <w:rPr>
          <w:spacing w:val="-12"/>
        </w:rPr>
        <w:t> </w:t>
      </w:r>
      <w:r>
        <w:rPr/>
        <w:t>rapide,</w:t>
      </w:r>
      <w:r>
        <w:rPr>
          <w:spacing w:val="-9"/>
        </w:rPr>
        <w:t> </w:t>
      </w:r>
      <w:r>
        <w:rPr/>
        <w:t>6</w:t>
      </w:r>
      <w:r>
        <w:rPr>
          <w:spacing w:val="-10"/>
        </w:rPr>
        <w:t> </w:t>
      </w:r>
      <w:r>
        <w:rPr>
          <w:spacing w:val="-5"/>
        </w:rPr>
        <w:t>le</w:t>
      </w:r>
      <w:r>
        <w:rPr>
          <w:spacing w:val="-12"/>
        </w:rPr>
        <w:t> </w:t>
      </w:r>
      <w:r>
        <w:rPr/>
        <w:t>trouvent</w:t>
      </w:r>
      <w:r>
        <w:rPr>
          <w:spacing w:val="-6"/>
        </w:rPr>
        <w:t> </w:t>
      </w:r>
      <w:r>
        <w:rPr/>
        <w:t>moyen,</w:t>
      </w:r>
      <w:r>
        <w:rPr>
          <w:spacing w:val="-9"/>
        </w:rPr>
        <w:t> </w:t>
      </w:r>
      <w:r>
        <w:rPr/>
        <w:t>5</w:t>
      </w:r>
      <w:r>
        <w:rPr>
          <w:spacing w:val="-11"/>
        </w:rPr>
        <w:t> </w:t>
      </w:r>
      <w:r>
        <w:rPr/>
        <w:t>pensent</w:t>
      </w:r>
      <w:r>
        <w:rPr>
          <w:spacing w:val="-6"/>
        </w:rPr>
        <w:t> </w:t>
      </w:r>
      <w:r>
        <w:rPr/>
        <w:t>qu’il</w:t>
      </w:r>
      <w:r>
        <w:rPr>
          <w:spacing w:val="-13"/>
        </w:rPr>
        <w:t> </w:t>
      </w:r>
      <w:r>
        <w:rPr/>
        <w:t>est</w:t>
      </w:r>
      <w:r>
        <w:rPr>
          <w:spacing w:val="-2"/>
        </w:rPr>
        <w:t> </w:t>
      </w:r>
      <w:r>
        <w:rPr/>
        <w:t>lent, 3 </w:t>
      </w:r>
      <w:r>
        <w:rPr>
          <w:spacing w:val="-5"/>
        </w:rPr>
        <w:t>le </w:t>
      </w:r>
      <w:r>
        <w:rPr/>
        <w:t>trouvent très lent, </w:t>
      </w:r>
      <w:r>
        <w:rPr>
          <w:spacing w:val="-3"/>
        </w:rPr>
        <w:t>et </w:t>
      </w:r>
      <w:r>
        <w:rPr/>
        <w:t>1 très rapide. Les 10 utilisateurs très satisfaits sont 2 à trouver </w:t>
      </w:r>
      <w:r>
        <w:rPr>
          <w:spacing w:val="-3"/>
        </w:rPr>
        <w:t>le </w:t>
      </w:r>
      <w:r>
        <w:rPr/>
        <w:t>service très rapide, 1 rapide, 1 moyen, 2 </w:t>
      </w:r>
      <w:r>
        <w:rPr>
          <w:spacing w:val="-3"/>
        </w:rPr>
        <w:t>lent </w:t>
      </w:r>
      <w:r>
        <w:rPr/>
        <w:t>et 4 très</w:t>
      </w:r>
      <w:r>
        <w:rPr>
          <w:spacing w:val="18"/>
        </w:rPr>
        <w:t> </w:t>
      </w:r>
      <w:r>
        <w:rPr/>
        <w:t>lent.</w:t>
      </w:r>
    </w:p>
    <w:p>
      <w:pPr>
        <w:pStyle w:val="Heading5"/>
        <w:numPr>
          <w:ilvl w:val="1"/>
          <w:numId w:val="28"/>
        </w:numPr>
        <w:tabs>
          <w:tab w:pos="1421" w:val="left" w:leader="none"/>
        </w:tabs>
        <w:spacing w:line="240" w:lineRule="auto" w:before="176" w:after="0"/>
        <w:ind w:left="1420" w:right="0" w:hanging="361"/>
        <w:jc w:val="both"/>
      </w:pPr>
      <w:r>
        <w:rPr/>
        <w:t>Analyse de </w:t>
      </w:r>
      <w:r>
        <w:rPr>
          <w:spacing w:val="-3"/>
        </w:rPr>
        <w:t>la </w:t>
      </w:r>
      <w:r>
        <w:rPr/>
        <w:t>corrélation</w:t>
      </w:r>
      <w:r>
        <w:rPr>
          <w:spacing w:val="2"/>
        </w:rPr>
        <w:t> </w:t>
      </w:r>
      <w:r>
        <w:rPr/>
        <w:t>:</w:t>
      </w:r>
    </w:p>
    <w:p>
      <w:pPr>
        <w:pStyle w:val="BodyText"/>
        <w:spacing w:line="362" w:lineRule="auto" w:before="189"/>
        <w:ind w:left="699" w:right="317" w:firstLine="427"/>
        <w:jc w:val="both"/>
      </w:pPr>
      <w:r>
        <w:rPr/>
        <w:t>Afin d’analyser en profondeur les perceptions des utilisateurs de l’application BaridiMob, nous avons réalisé une analyse corrélationnelle à l’aide du logiciel SPSS. Nous avons utilisé le coefficient de Spearman (rho) pour mesurer les relations entre les dimensions clés évaluées dans le questionnaire, à savoir : l’évaluation de la sécurité, disponibilité du service, bugs et dysfonctionnements, ainsi que la satisfaction globale de l’expérience utilisateur.</w:t>
      </w:r>
    </w:p>
    <w:p>
      <w:pPr>
        <w:spacing w:after="0" w:line="362" w:lineRule="auto"/>
        <w:jc w:val="both"/>
        <w:sectPr>
          <w:pgSz w:w="12240" w:h="15840"/>
          <w:pgMar w:header="723" w:footer="850" w:top="1080" w:bottom="1040" w:left="1000" w:right="820"/>
        </w:sectPr>
      </w:pPr>
    </w:p>
    <w:p>
      <w:pPr>
        <w:pStyle w:val="BodyText"/>
        <w:spacing w:before="6"/>
        <w:rPr>
          <w:sz w:val="19"/>
        </w:rPr>
      </w:pPr>
    </w:p>
    <w:p>
      <w:pPr>
        <w:pStyle w:val="BodyText"/>
        <w:spacing w:before="90"/>
        <w:ind w:left="699"/>
      </w:pPr>
      <w:bookmarkStart w:name="_bookmark70" w:id="264"/>
      <w:bookmarkEnd w:id="264"/>
      <w:r>
        <w:rPr/>
      </w:r>
      <w:r>
        <w:rPr>
          <w:b/>
          <w:color w:val="44536A"/>
        </w:rPr>
        <w:t>Tableau 34 : </w:t>
      </w:r>
      <w:r>
        <w:rPr>
          <w:color w:val="44536A"/>
        </w:rPr>
        <w:t>Analyse des liens entre sécurité, confiance, confidentialité et satisfaction</w:t>
      </w:r>
    </w:p>
    <w:p>
      <w:pPr>
        <w:pStyle w:val="BodyText"/>
        <w:spacing w:before="4"/>
        <w:rPr>
          <w:sz w:val="21"/>
        </w:rPr>
      </w:pPr>
    </w:p>
    <w:p>
      <w:pPr>
        <w:spacing w:before="0"/>
        <w:ind w:left="699" w:right="0" w:firstLine="0"/>
        <w:jc w:val="left"/>
        <w:rPr>
          <w:b/>
          <w:sz w:val="20"/>
        </w:rPr>
      </w:pPr>
      <w:r>
        <w:rPr>
          <w:b/>
          <w:sz w:val="20"/>
        </w:rPr>
        <w:t>Correlations</w:t>
      </w:r>
    </w:p>
    <w:p>
      <w:pPr>
        <w:pStyle w:val="BodyText"/>
        <w:spacing w:before="10"/>
        <w:rPr>
          <w:b/>
          <w:sz w:val="5"/>
        </w:rPr>
      </w:pPr>
    </w:p>
    <w:tbl>
      <w:tblPr>
        <w:tblW w:w="0" w:type="auto"/>
        <w:jc w:val="left"/>
        <w:tblInd w:w="72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417"/>
        <w:gridCol w:w="1459"/>
        <w:gridCol w:w="2364"/>
        <w:gridCol w:w="846"/>
        <w:gridCol w:w="779"/>
        <w:gridCol w:w="778"/>
        <w:gridCol w:w="932"/>
        <w:gridCol w:w="779"/>
      </w:tblGrid>
      <w:tr>
        <w:trPr>
          <w:trHeight w:val="1522" w:hRule="atLeast"/>
        </w:trPr>
        <w:tc>
          <w:tcPr>
            <w:tcW w:w="5240" w:type="dxa"/>
            <w:gridSpan w:val="3"/>
            <w:tcBorders>
              <w:top w:val="nil"/>
              <w:left w:val="nil"/>
            </w:tcBorders>
          </w:tcPr>
          <w:p>
            <w:pPr>
              <w:pStyle w:val="TableParagraph"/>
              <w:jc w:val="left"/>
              <w:rPr>
                <w:sz w:val="22"/>
              </w:rPr>
            </w:pPr>
          </w:p>
        </w:tc>
        <w:tc>
          <w:tcPr>
            <w:tcW w:w="846" w:type="dxa"/>
            <w:tcBorders>
              <w:right w:val="single" w:sz="8" w:space="0" w:color="000000"/>
            </w:tcBorders>
            <w:textDirection w:val="btLr"/>
          </w:tcPr>
          <w:p>
            <w:pPr>
              <w:pStyle w:val="TableParagraph"/>
              <w:spacing w:before="6"/>
              <w:jc w:val="left"/>
              <w:rPr>
                <w:b/>
                <w:sz w:val="25"/>
              </w:rPr>
            </w:pPr>
          </w:p>
          <w:p>
            <w:pPr>
              <w:pStyle w:val="TableParagraph"/>
              <w:ind w:left="243"/>
              <w:jc w:val="left"/>
              <w:rPr>
                <w:b/>
                <w:sz w:val="20"/>
              </w:rPr>
            </w:pPr>
            <w:r>
              <w:rPr>
                <w:b/>
                <w:sz w:val="20"/>
              </w:rPr>
              <w:t>Satisfaction</w:t>
            </w:r>
          </w:p>
        </w:tc>
        <w:tc>
          <w:tcPr>
            <w:tcW w:w="779" w:type="dxa"/>
            <w:tcBorders>
              <w:left w:val="single" w:sz="8" w:space="0" w:color="000000"/>
              <w:right w:val="single" w:sz="8" w:space="0" w:color="000000"/>
            </w:tcBorders>
            <w:textDirection w:val="btLr"/>
          </w:tcPr>
          <w:p>
            <w:pPr>
              <w:pStyle w:val="TableParagraph"/>
              <w:spacing w:before="2"/>
              <w:jc w:val="left"/>
              <w:rPr>
                <w:b/>
                <w:sz w:val="23"/>
              </w:rPr>
            </w:pPr>
          </w:p>
          <w:p>
            <w:pPr>
              <w:pStyle w:val="TableParagraph"/>
              <w:ind w:left="392"/>
              <w:jc w:val="left"/>
              <w:rPr>
                <w:b/>
                <w:sz w:val="20"/>
              </w:rPr>
            </w:pPr>
            <w:r>
              <w:rPr>
                <w:b/>
                <w:sz w:val="20"/>
              </w:rPr>
              <w:t>Sécurité</w:t>
            </w:r>
          </w:p>
        </w:tc>
        <w:tc>
          <w:tcPr>
            <w:tcW w:w="778" w:type="dxa"/>
            <w:tcBorders>
              <w:left w:val="single" w:sz="8" w:space="0" w:color="000000"/>
              <w:right w:val="single" w:sz="8" w:space="0" w:color="000000"/>
            </w:tcBorders>
            <w:textDirection w:val="btLr"/>
          </w:tcPr>
          <w:p>
            <w:pPr>
              <w:pStyle w:val="TableParagraph"/>
              <w:spacing w:before="1"/>
              <w:jc w:val="left"/>
              <w:rPr>
                <w:b/>
                <w:sz w:val="23"/>
              </w:rPr>
            </w:pPr>
          </w:p>
          <w:p>
            <w:pPr>
              <w:pStyle w:val="TableParagraph"/>
              <w:ind w:left="513" w:right="546"/>
              <w:rPr>
                <w:b/>
                <w:sz w:val="20"/>
              </w:rPr>
            </w:pPr>
            <w:r>
              <w:rPr>
                <w:b/>
                <w:sz w:val="20"/>
              </w:rPr>
              <w:t>Bugs</w:t>
            </w:r>
          </w:p>
        </w:tc>
        <w:tc>
          <w:tcPr>
            <w:tcW w:w="932" w:type="dxa"/>
            <w:tcBorders>
              <w:left w:val="single" w:sz="8" w:space="0" w:color="000000"/>
              <w:right w:val="single" w:sz="8" w:space="0" w:color="000000"/>
            </w:tcBorders>
            <w:textDirection w:val="btLr"/>
          </w:tcPr>
          <w:p>
            <w:pPr>
              <w:pStyle w:val="TableParagraph"/>
              <w:spacing w:before="9"/>
              <w:jc w:val="left"/>
              <w:rPr>
                <w:b/>
                <w:sz w:val="29"/>
              </w:rPr>
            </w:pPr>
          </w:p>
          <w:p>
            <w:pPr>
              <w:pStyle w:val="TableParagraph"/>
              <w:ind w:left="119"/>
              <w:jc w:val="left"/>
              <w:rPr>
                <w:b/>
                <w:sz w:val="20"/>
              </w:rPr>
            </w:pPr>
            <w:r>
              <w:rPr>
                <w:b/>
                <w:sz w:val="20"/>
              </w:rPr>
              <w:t>Indisponibilité</w:t>
            </w:r>
          </w:p>
        </w:tc>
        <w:tc>
          <w:tcPr>
            <w:tcW w:w="779" w:type="dxa"/>
            <w:tcBorders>
              <w:left w:val="single" w:sz="8" w:space="0" w:color="000000"/>
            </w:tcBorders>
            <w:textDirection w:val="btLr"/>
          </w:tcPr>
          <w:p>
            <w:pPr>
              <w:pStyle w:val="TableParagraph"/>
              <w:spacing w:before="7"/>
              <w:jc w:val="left"/>
              <w:rPr>
                <w:b/>
                <w:sz w:val="22"/>
              </w:rPr>
            </w:pPr>
          </w:p>
          <w:p>
            <w:pPr>
              <w:pStyle w:val="TableParagraph"/>
              <w:ind w:left="171"/>
              <w:jc w:val="left"/>
              <w:rPr>
                <w:b/>
                <w:sz w:val="20"/>
              </w:rPr>
            </w:pPr>
            <w:r>
              <w:rPr>
                <w:b/>
                <w:sz w:val="20"/>
              </w:rPr>
              <w:t>Service client</w:t>
            </w:r>
          </w:p>
        </w:tc>
      </w:tr>
      <w:tr>
        <w:trPr>
          <w:trHeight w:val="290" w:hRule="atLeast"/>
        </w:trPr>
        <w:tc>
          <w:tcPr>
            <w:tcW w:w="1417" w:type="dxa"/>
            <w:vMerge w:val="restart"/>
            <w:tcBorders>
              <w:right w:val="nil"/>
            </w:tcBorders>
            <w:textDirection w:val="btLr"/>
          </w:tcPr>
          <w:p>
            <w:pPr>
              <w:pStyle w:val="TableParagraph"/>
              <w:jc w:val="left"/>
              <w:rPr>
                <w:b/>
                <w:sz w:val="22"/>
              </w:rPr>
            </w:pPr>
          </w:p>
          <w:p>
            <w:pPr>
              <w:pStyle w:val="TableParagraph"/>
              <w:spacing w:before="1"/>
              <w:jc w:val="left"/>
              <w:rPr>
                <w:b/>
                <w:sz w:val="29"/>
              </w:rPr>
            </w:pPr>
          </w:p>
          <w:p>
            <w:pPr>
              <w:pStyle w:val="TableParagraph"/>
              <w:ind w:left="1575" w:right="1620"/>
              <w:rPr>
                <w:b/>
                <w:sz w:val="20"/>
              </w:rPr>
            </w:pPr>
            <w:r>
              <w:rPr>
                <w:b/>
                <w:sz w:val="20"/>
              </w:rPr>
              <w:t>Spearman's rho</w:t>
            </w:r>
          </w:p>
        </w:tc>
        <w:tc>
          <w:tcPr>
            <w:tcW w:w="1459" w:type="dxa"/>
            <w:tcBorders>
              <w:left w:val="nil"/>
              <w:bottom w:val="nil"/>
              <w:right w:val="nil"/>
            </w:tcBorders>
          </w:tcPr>
          <w:p>
            <w:pPr>
              <w:pStyle w:val="TableParagraph"/>
              <w:jc w:val="left"/>
              <w:rPr>
                <w:sz w:val="20"/>
              </w:rPr>
            </w:pPr>
          </w:p>
        </w:tc>
        <w:tc>
          <w:tcPr>
            <w:tcW w:w="2364" w:type="dxa"/>
            <w:tcBorders>
              <w:left w:val="nil"/>
              <w:bottom w:val="nil"/>
            </w:tcBorders>
          </w:tcPr>
          <w:p>
            <w:pPr>
              <w:pStyle w:val="TableParagraph"/>
              <w:spacing w:line="228" w:lineRule="exact" w:before="42"/>
              <w:ind w:left="82"/>
              <w:jc w:val="left"/>
              <w:rPr>
                <w:b/>
                <w:sz w:val="20"/>
              </w:rPr>
            </w:pPr>
            <w:r>
              <w:rPr>
                <w:b/>
                <w:sz w:val="20"/>
              </w:rPr>
              <w:t>Correlation Coefficient</w:t>
            </w:r>
          </w:p>
        </w:tc>
        <w:tc>
          <w:tcPr>
            <w:tcW w:w="846" w:type="dxa"/>
            <w:tcBorders>
              <w:bottom w:val="nil"/>
              <w:right w:val="single" w:sz="8" w:space="0" w:color="000000"/>
            </w:tcBorders>
          </w:tcPr>
          <w:p>
            <w:pPr>
              <w:pStyle w:val="TableParagraph"/>
              <w:spacing w:before="38"/>
              <w:ind w:left="130" w:right="26"/>
              <w:rPr>
                <w:sz w:val="20"/>
              </w:rPr>
            </w:pPr>
            <w:r>
              <w:rPr>
                <w:sz w:val="20"/>
              </w:rPr>
              <w:t>1,000</w:t>
            </w:r>
          </w:p>
        </w:tc>
        <w:tc>
          <w:tcPr>
            <w:tcW w:w="779" w:type="dxa"/>
            <w:tcBorders>
              <w:left w:val="single" w:sz="8" w:space="0" w:color="000000"/>
              <w:bottom w:val="nil"/>
              <w:right w:val="single" w:sz="8" w:space="0" w:color="000000"/>
            </w:tcBorders>
          </w:tcPr>
          <w:p>
            <w:pPr>
              <w:pStyle w:val="TableParagraph"/>
              <w:spacing w:line="228" w:lineRule="exact" w:before="42"/>
              <w:ind w:right="39"/>
              <w:jc w:val="right"/>
              <w:rPr>
                <w:b/>
                <w:sz w:val="20"/>
              </w:rPr>
            </w:pPr>
            <w:r>
              <w:rPr>
                <w:b/>
                <w:sz w:val="20"/>
              </w:rPr>
              <w:t>,447**</w:t>
            </w:r>
          </w:p>
        </w:tc>
        <w:tc>
          <w:tcPr>
            <w:tcW w:w="778" w:type="dxa"/>
            <w:tcBorders>
              <w:left w:val="single" w:sz="8" w:space="0" w:color="000000"/>
              <w:bottom w:val="nil"/>
              <w:right w:val="single" w:sz="8" w:space="0" w:color="000000"/>
            </w:tcBorders>
          </w:tcPr>
          <w:p>
            <w:pPr>
              <w:pStyle w:val="TableParagraph"/>
              <w:spacing w:line="228" w:lineRule="exact" w:before="42"/>
              <w:ind w:left="113"/>
              <w:rPr>
                <w:b/>
                <w:sz w:val="20"/>
              </w:rPr>
            </w:pPr>
            <w:r>
              <w:rPr>
                <w:b/>
                <w:sz w:val="20"/>
              </w:rPr>
              <w:t>-,202**</w:t>
            </w:r>
          </w:p>
        </w:tc>
        <w:tc>
          <w:tcPr>
            <w:tcW w:w="932" w:type="dxa"/>
            <w:tcBorders>
              <w:left w:val="single" w:sz="8" w:space="0" w:color="000000"/>
              <w:bottom w:val="nil"/>
              <w:right w:val="single" w:sz="8" w:space="0" w:color="000000"/>
            </w:tcBorders>
          </w:tcPr>
          <w:p>
            <w:pPr>
              <w:pStyle w:val="TableParagraph"/>
              <w:spacing w:line="228" w:lineRule="exact" w:before="42"/>
              <w:ind w:right="88"/>
              <w:jc w:val="right"/>
              <w:rPr>
                <w:b/>
                <w:sz w:val="20"/>
              </w:rPr>
            </w:pPr>
            <w:r>
              <w:rPr>
                <w:b/>
                <w:sz w:val="20"/>
              </w:rPr>
              <w:t>-,290**</w:t>
            </w:r>
          </w:p>
        </w:tc>
        <w:tc>
          <w:tcPr>
            <w:tcW w:w="779" w:type="dxa"/>
            <w:tcBorders>
              <w:left w:val="single" w:sz="8" w:space="0" w:color="000000"/>
              <w:bottom w:val="nil"/>
            </w:tcBorders>
          </w:tcPr>
          <w:p>
            <w:pPr>
              <w:pStyle w:val="TableParagraph"/>
              <w:spacing w:before="38"/>
              <w:ind w:left="132" w:right="23"/>
              <w:rPr>
                <w:sz w:val="20"/>
              </w:rPr>
            </w:pPr>
            <w:r>
              <w:rPr>
                <w:sz w:val="20"/>
              </w:rPr>
              <w:t>,225</w:t>
            </w:r>
          </w:p>
        </w:tc>
      </w:tr>
      <w:tr>
        <w:trPr>
          <w:trHeight w:val="295" w:hRule="atLeast"/>
        </w:trPr>
        <w:tc>
          <w:tcPr>
            <w:tcW w:w="1417" w:type="dxa"/>
            <w:vMerge/>
            <w:tcBorders>
              <w:top w:val="nil"/>
              <w:right w:val="nil"/>
            </w:tcBorders>
            <w:textDirection w:val="btLr"/>
          </w:tcPr>
          <w:p>
            <w:pPr>
              <w:rPr>
                <w:sz w:val="2"/>
                <w:szCs w:val="2"/>
              </w:rPr>
            </w:pPr>
          </w:p>
        </w:tc>
        <w:tc>
          <w:tcPr>
            <w:tcW w:w="1459" w:type="dxa"/>
            <w:tcBorders>
              <w:top w:val="nil"/>
              <w:left w:val="nil"/>
              <w:bottom w:val="nil"/>
              <w:right w:val="nil"/>
            </w:tcBorders>
          </w:tcPr>
          <w:p>
            <w:pPr>
              <w:pStyle w:val="TableParagraph"/>
              <w:spacing w:before="10"/>
              <w:ind w:left="95"/>
              <w:jc w:val="left"/>
              <w:rPr>
                <w:b/>
                <w:sz w:val="20"/>
              </w:rPr>
            </w:pPr>
            <w:r>
              <w:rPr>
                <w:b/>
                <w:sz w:val="20"/>
              </w:rPr>
              <w:t>Satisfaction</w:t>
            </w:r>
          </w:p>
        </w:tc>
        <w:tc>
          <w:tcPr>
            <w:tcW w:w="2364" w:type="dxa"/>
            <w:tcBorders>
              <w:top w:val="nil"/>
              <w:left w:val="nil"/>
              <w:bottom w:val="nil"/>
            </w:tcBorders>
          </w:tcPr>
          <w:p>
            <w:pPr>
              <w:pStyle w:val="TableParagraph"/>
              <w:spacing w:line="227" w:lineRule="exact" w:before="48"/>
              <w:ind w:left="154"/>
              <w:jc w:val="left"/>
              <w:rPr>
                <w:b/>
                <w:sz w:val="20"/>
              </w:rPr>
            </w:pPr>
            <w:r>
              <w:rPr>
                <w:b/>
                <w:sz w:val="20"/>
              </w:rPr>
              <w:t>Sig. (2-tailed)</w:t>
            </w:r>
          </w:p>
        </w:tc>
        <w:tc>
          <w:tcPr>
            <w:tcW w:w="846" w:type="dxa"/>
            <w:tcBorders>
              <w:top w:val="nil"/>
              <w:bottom w:val="nil"/>
              <w:right w:val="single" w:sz="8" w:space="0" w:color="000000"/>
            </w:tcBorders>
          </w:tcPr>
          <w:p>
            <w:pPr>
              <w:pStyle w:val="TableParagraph"/>
              <w:spacing w:before="44"/>
              <w:ind w:left="102"/>
              <w:rPr>
                <w:sz w:val="20"/>
              </w:rPr>
            </w:pPr>
            <w:r>
              <w:rPr>
                <w:w w:val="100"/>
                <w:sz w:val="20"/>
              </w:rPr>
              <w:t>.</w:t>
            </w:r>
          </w:p>
        </w:tc>
        <w:tc>
          <w:tcPr>
            <w:tcW w:w="779" w:type="dxa"/>
            <w:tcBorders>
              <w:top w:val="nil"/>
              <w:left w:val="single" w:sz="8" w:space="0" w:color="000000"/>
              <w:bottom w:val="nil"/>
              <w:right w:val="single" w:sz="8" w:space="0" w:color="000000"/>
            </w:tcBorders>
          </w:tcPr>
          <w:p>
            <w:pPr>
              <w:pStyle w:val="TableParagraph"/>
              <w:spacing w:before="44"/>
              <w:ind w:left="261"/>
              <w:jc w:val="left"/>
              <w:rPr>
                <w:sz w:val="20"/>
              </w:rPr>
            </w:pPr>
            <w:r>
              <w:rPr>
                <w:sz w:val="20"/>
              </w:rPr>
              <w:t>,000</w:t>
            </w:r>
          </w:p>
        </w:tc>
        <w:tc>
          <w:tcPr>
            <w:tcW w:w="778" w:type="dxa"/>
            <w:tcBorders>
              <w:top w:val="nil"/>
              <w:left w:val="single" w:sz="8" w:space="0" w:color="000000"/>
              <w:bottom w:val="nil"/>
              <w:right w:val="single" w:sz="8" w:space="0" w:color="000000"/>
            </w:tcBorders>
          </w:tcPr>
          <w:p>
            <w:pPr>
              <w:pStyle w:val="TableParagraph"/>
              <w:spacing w:before="44"/>
              <w:ind w:left="118"/>
              <w:rPr>
                <w:sz w:val="20"/>
              </w:rPr>
            </w:pPr>
            <w:r>
              <w:rPr>
                <w:sz w:val="20"/>
              </w:rPr>
              <w:t>,000</w:t>
            </w:r>
          </w:p>
        </w:tc>
        <w:tc>
          <w:tcPr>
            <w:tcW w:w="932" w:type="dxa"/>
            <w:tcBorders>
              <w:top w:val="nil"/>
              <w:left w:val="single" w:sz="8" w:space="0" w:color="000000"/>
              <w:bottom w:val="nil"/>
              <w:right w:val="single" w:sz="8" w:space="0" w:color="000000"/>
            </w:tcBorders>
          </w:tcPr>
          <w:p>
            <w:pPr>
              <w:pStyle w:val="TableParagraph"/>
              <w:spacing w:before="44"/>
              <w:ind w:left="337"/>
              <w:jc w:val="left"/>
              <w:rPr>
                <w:sz w:val="20"/>
              </w:rPr>
            </w:pPr>
            <w:r>
              <w:rPr>
                <w:sz w:val="20"/>
              </w:rPr>
              <w:t>,000</w:t>
            </w:r>
          </w:p>
        </w:tc>
        <w:tc>
          <w:tcPr>
            <w:tcW w:w="779" w:type="dxa"/>
            <w:tcBorders>
              <w:top w:val="nil"/>
              <w:left w:val="single" w:sz="8" w:space="0" w:color="000000"/>
              <w:bottom w:val="nil"/>
            </w:tcBorders>
          </w:tcPr>
          <w:p>
            <w:pPr>
              <w:pStyle w:val="TableParagraph"/>
              <w:spacing w:before="44"/>
              <w:ind w:left="132" w:right="23"/>
              <w:rPr>
                <w:sz w:val="20"/>
              </w:rPr>
            </w:pPr>
            <w:r>
              <w:rPr>
                <w:sz w:val="20"/>
              </w:rPr>
              <w:t>,065</w:t>
            </w:r>
          </w:p>
        </w:tc>
      </w:tr>
      <w:tr>
        <w:trPr>
          <w:trHeight w:val="265" w:hRule="atLeast"/>
        </w:trPr>
        <w:tc>
          <w:tcPr>
            <w:tcW w:w="1417" w:type="dxa"/>
            <w:vMerge/>
            <w:tcBorders>
              <w:top w:val="nil"/>
              <w:right w:val="nil"/>
            </w:tcBorders>
            <w:textDirection w:val="btLr"/>
          </w:tcPr>
          <w:p>
            <w:pPr>
              <w:rPr>
                <w:sz w:val="2"/>
                <w:szCs w:val="2"/>
              </w:rPr>
            </w:pPr>
          </w:p>
        </w:tc>
        <w:tc>
          <w:tcPr>
            <w:tcW w:w="1459" w:type="dxa"/>
            <w:tcBorders>
              <w:top w:val="nil"/>
              <w:left w:val="nil"/>
              <w:bottom w:val="single" w:sz="8" w:space="0" w:color="000000"/>
              <w:right w:val="nil"/>
            </w:tcBorders>
          </w:tcPr>
          <w:p>
            <w:pPr>
              <w:pStyle w:val="TableParagraph"/>
              <w:jc w:val="left"/>
              <w:rPr>
                <w:sz w:val="18"/>
              </w:rPr>
            </w:pPr>
          </w:p>
        </w:tc>
        <w:tc>
          <w:tcPr>
            <w:tcW w:w="2364" w:type="dxa"/>
            <w:tcBorders>
              <w:top w:val="nil"/>
              <w:left w:val="nil"/>
              <w:bottom w:val="single" w:sz="8" w:space="0" w:color="000000"/>
            </w:tcBorders>
          </w:tcPr>
          <w:p>
            <w:pPr>
              <w:pStyle w:val="TableParagraph"/>
              <w:spacing w:before="15"/>
              <w:ind w:left="154"/>
              <w:jc w:val="left"/>
              <w:rPr>
                <w:b/>
                <w:sz w:val="20"/>
              </w:rPr>
            </w:pPr>
            <w:r>
              <w:rPr>
                <w:b/>
                <w:w w:val="100"/>
                <w:sz w:val="20"/>
              </w:rPr>
              <w:t>N</w:t>
            </w:r>
          </w:p>
        </w:tc>
        <w:tc>
          <w:tcPr>
            <w:tcW w:w="846" w:type="dxa"/>
            <w:tcBorders>
              <w:top w:val="nil"/>
              <w:bottom w:val="single" w:sz="8" w:space="0" w:color="000000"/>
              <w:right w:val="single" w:sz="8" w:space="0" w:color="000000"/>
            </w:tcBorders>
          </w:tcPr>
          <w:p>
            <w:pPr>
              <w:pStyle w:val="TableParagraph"/>
              <w:spacing w:before="10"/>
              <w:ind w:left="130" w:right="26"/>
              <w:rPr>
                <w:sz w:val="20"/>
              </w:rPr>
            </w:pPr>
            <w:r>
              <w:rPr>
                <w:sz w:val="20"/>
              </w:rPr>
              <w:t>376</w:t>
            </w:r>
          </w:p>
        </w:tc>
        <w:tc>
          <w:tcPr>
            <w:tcW w:w="779" w:type="dxa"/>
            <w:tcBorders>
              <w:top w:val="nil"/>
              <w:left w:val="single" w:sz="8" w:space="0" w:color="000000"/>
              <w:bottom w:val="single" w:sz="8" w:space="0" w:color="000000"/>
              <w:right w:val="single" w:sz="8" w:space="0" w:color="000000"/>
            </w:tcBorders>
          </w:tcPr>
          <w:p>
            <w:pPr>
              <w:pStyle w:val="TableParagraph"/>
              <w:spacing w:before="10"/>
              <w:ind w:left="285"/>
              <w:jc w:val="left"/>
              <w:rPr>
                <w:sz w:val="20"/>
              </w:rPr>
            </w:pPr>
            <w:r>
              <w:rPr>
                <w:sz w:val="20"/>
              </w:rPr>
              <w:t>376</w:t>
            </w:r>
          </w:p>
        </w:tc>
        <w:tc>
          <w:tcPr>
            <w:tcW w:w="778" w:type="dxa"/>
            <w:tcBorders>
              <w:top w:val="nil"/>
              <w:left w:val="single" w:sz="8" w:space="0" w:color="000000"/>
              <w:bottom w:val="single" w:sz="8" w:space="0" w:color="000000"/>
              <w:right w:val="single" w:sz="8" w:space="0" w:color="000000"/>
            </w:tcBorders>
          </w:tcPr>
          <w:p>
            <w:pPr>
              <w:pStyle w:val="TableParagraph"/>
              <w:spacing w:before="10"/>
              <w:ind w:left="113"/>
              <w:rPr>
                <w:sz w:val="20"/>
              </w:rPr>
            </w:pPr>
            <w:r>
              <w:rPr>
                <w:sz w:val="20"/>
              </w:rPr>
              <w:t>319</w:t>
            </w:r>
          </w:p>
        </w:tc>
        <w:tc>
          <w:tcPr>
            <w:tcW w:w="932" w:type="dxa"/>
            <w:tcBorders>
              <w:top w:val="nil"/>
              <w:left w:val="single" w:sz="8" w:space="0" w:color="000000"/>
              <w:bottom w:val="single" w:sz="8" w:space="0" w:color="000000"/>
              <w:right w:val="single" w:sz="8" w:space="0" w:color="000000"/>
            </w:tcBorders>
          </w:tcPr>
          <w:p>
            <w:pPr>
              <w:pStyle w:val="TableParagraph"/>
              <w:spacing w:before="10"/>
              <w:ind w:left="361"/>
              <w:jc w:val="left"/>
              <w:rPr>
                <w:sz w:val="20"/>
              </w:rPr>
            </w:pPr>
            <w:r>
              <w:rPr>
                <w:sz w:val="20"/>
              </w:rPr>
              <w:t>376</w:t>
            </w:r>
          </w:p>
        </w:tc>
        <w:tc>
          <w:tcPr>
            <w:tcW w:w="779" w:type="dxa"/>
            <w:tcBorders>
              <w:top w:val="nil"/>
              <w:left w:val="single" w:sz="8" w:space="0" w:color="000000"/>
              <w:bottom w:val="single" w:sz="8" w:space="0" w:color="000000"/>
            </w:tcBorders>
          </w:tcPr>
          <w:p>
            <w:pPr>
              <w:pStyle w:val="TableParagraph"/>
              <w:spacing w:before="10"/>
              <w:ind w:left="122" w:right="23"/>
              <w:rPr>
                <w:sz w:val="20"/>
              </w:rPr>
            </w:pPr>
            <w:r>
              <w:rPr>
                <w:sz w:val="20"/>
              </w:rPr>
              <w:t>68</w:t>
            </w:r>
          </w:p>
        </w:tc>
      </w:tr>
      <w:tr>
        <w:trPr>
          <w:trHeight w:val="251" w:hRule="atLeast"/>
        </w:trPr>
        <w:tc>
          <w:tcPr>
            <w:tcW w:w="1417" w:type="dxa"/>
            <w:vMerge/>
            <w:tcBorders>
              <w:top w:val="nil"/>
              <w:right w:val="nil"/>
            </w:tcBorders>
            <w:textDirection w:val="btLr"/>
          </w:tcPr>
          <w:p>
            <w:pPr>
              <w:rPr>
                <w:sz w:val="2"/>
                <w:szCs w:val="2"/>
              </w:rPr>
            </w:pPr>
          </w:p>
        </w:tc>
        <w:tc>
          <w:tcPr>
            <w:tcW w:w="1459" w:type="dxa"/>
            <w:tcBorders>
              <w:top w:val="single" w:sz="8" w:space="0" w:color="000000"/>
              <w:left w:val="nil"/>
              <w:bottom w:val="nil"/>
              <w:right w:val="nil"/>
            </w:tcBorders>
          </w:tcPr>
          <w:p>
            <w:pPr>
              <w:pStyle w:val="TableParagraph"/>
              <w:jc w:val="left"/>
              <w:rPr>
                <w:sz w:val="18"/>
              </w:rPr>
            </w:pPr>
          </w:p>
        </w:tc>
        <w:tc>
          <w:tcPr>
            <w:tcW w:w="2364" w:type="dxa"/>
            <w:tcBorders>
              <w:top w:val="single" w:sz="8" w:space="0" w:color="000000"/>
              <w:left w:val="nil"/>
              <w:bottom w:val="nil"/>
            </w:tcBorders>
          </w:tcPr>
          <w:p>
            <w:pPr>
              <w:pStyle w:val="TableParagraph"/>
              <w:spacing w:line="225" w:lineRule="exact" w:before="6"/>
              <w:ind w:left="82"/>
              <w:jc w:val="left"/>
              <w:rPr>
                <w:b/>
                <w:sz w:val="20"/>
              </w:rPr>
            </w:pPr>
            <w:r>
              <w:rPr>
                <w:b/>
                <w:sz w:val="20"/>
              </w:rPr>
              <w:t>Correlation Coefficient</w:t>
            </w:r>
          </w:p>
        </w:tc>
        <w:tc>
          <w:tcPr>
            <w:tcW w:w="846" w:type="dxa"/>
            <w:tcBorders>
              <w:top w:val="single" w:sz="8" w:space="0" w:color="000000"/>
              <w:bottom w:val="nil"/>
              <w:right w:val="single" w:sz="8" w:space="0" w:color="000000"/>
            </w:tcBorders>
          </w:tcPr>
          <w:p>
            <w:pPr>
              <w:pStyle w:val="TableParagraph"/>
              <w:spacing w:line="225" w:lineRule="exact" w:before="6"/>
              <w:ind w:left="130" w:right="21"/>
              <w:rPr>
                <w:b/>
                <w:sz w:val="20"/>
              </w:rPr>
            </w:pPr>
            <w:r>
              <w:rPr>
                <w:b/>
                <w:sz w:val="20"/>
              </w:rPr>
              <w:t>,447**</w:t>
            </w:r>
          </w:p>
        </w:tc>
        <w:tc>
          <w:tcPr>
            <w:tcW w:w="779" w:type="dxa"/>
            <w:tcBorders>
              <w:top w:val="single" w:sz="8" w:space="0" w:color="000000"/>
              <w:left w:val="single" w:sz="8" w:space="0" w:color="000000"/>
              <w:bottom w:val="nil"/>
              <w:right w:val="single" w:sz="8" w:space="0" w:color="000000"/>
            </w:tcBorders>
          </w:tcPr>
          <w:p>
            <w:pPr>
              <w:pStyle w:val="TableParagraph"/>
              <w:spacing w:before="2"/>
              <w:ind w:right="92"/>
              <w:jc w:val="right"/>
              <w:rPr>
                <w:sz w:val="20"/>
              </w:rPr>
            </w:pPr>
            <w:r>
              <w:rPr>
                <w:sz w:val="20"/>
              </w:rPr>
              <w:t>1,000</w:t>
            </w:r>
          </w:p>
        </w:tc>
        <w:tc>
          <w:tcPr>
            <w:tcW w:w="778" w:type="dxa"/>
            <w:tcBorders>
              <w:top w:val="single" w:sz="8" w:space="0" w:color="000000"/>
              <w:left w:val="single" w:sz="8" w:space="0" w:color="000000"/>
              <w:bottom w:val="nil"/>
              <w:right w:val="single" w:sz="8" w:space="0" w:color="000000"/>
            </w:tcBorders>
          </w:tcPr>
          <w:p>
            <w:pPr>
              <w:pStyle w:val="TableParagraph"/>
              <w:spacing w:before="2"/>
              <w:ind w:left="113"/>
              <w:rPr>
                <w:sz w:val="20"/>
              </w:rPr>
            </w:pPr>
            <w:r>
              <w:rPr>
                <w:sz w:val="20"/>
              </w:rPr>
              <w:t>-,258**</w:t>
            </w:r>
          </w:p>
        </w:tc>
        <w:tc>
          <w:tcPr>
            <w:tcW w:w="932" w:type="dxa"/>
            <w:tcBorders>
              <w:top w:val="single" w:sz="8" w:space="0" w:color="000000"/>
              <w:left w:val="single" w:sz="8" w:space="0" w:color="000000"/>
              <w:bottom w:val="nil"/>
              <w:right w:val="single" w:sz="8" w:space="0" w:color="000000"/>
            </w:tcBorders>
          </w:tcPr>
          <w:p>
            <w:pPr>
              <w:pStyle w:val="TableParagraph"/>
              <w:spacing w:before="2"/>
              <w:ind w:right="88"/>
              <w:jc w:val="right"/>
              <w:rPr>
                <w:sz w:val="20"/>
              </w:rPr>
            </w:pPr>
            <w:r>
              <w:rPr>
                <w:sz w:val="20"/>
              </w:rPr>
              <w:t>-,319**</w:t>
            </w:r>
          </w:p>
        </w:tc>
        <w:tc>
          <w:tcPr>
            <w:tcW w:w="779" w:type="dxa"/>
            <w:tcBorders>
              <w:top w:val="single" w:sz="8" w:space="0" w:color="000000"/>
              <w:left w:val="single" w:sz="8" w:space="0" w:color="000000"/>
              <w:bottom w:val="nil"/>
            </w:tcBorders>
          </w:tcPr>
          <w:p>
            <w:pPr>
              <w:pStyle w:val="TableParagraph"/>
              <w:spacing w:before="2"/>
              <w:ind w:left="132" w:right="23"/>
              <w:rPr>
                <w:sz w:val="20"/>
              </w:rPr>
            </w:pPr>
            <w:r>
              <w:rPr>
                <w:sz w:val="20"/>
              </w:rPr>
              <w:t>,478**</w:t>
            </w:r>
          </w:p>
        </w:tc>
      </w:tr>
      <w:tr>
        <w:trPr>
          <w:trHeight w:val="259" w:hRule="atLeast"/>
        </w:trPr>
        <w:tc>
          <w:tcPr>
            <w:tcW w:w="1417" w:type="dxa"/>
            <w:vMerge/>
            <w:tcBorders>
              <w:top w:val="nil"/>
              <w:right w:val="nil"/>
            </w:tcBorders>
            <w:textDirection w:val="btLr"/>
          </w:tcPr>
          <w:p>
            <w:pPr>
              <w:rPr>
                <w:sz w:val="2"/>
                <w:szCs w:val="2"/>
              </w:rPr>
            </w:pPr>
          </w:p>
        </w:tc>
        <w:tc>
          <w:tcPr>
            <w:tcW w:w="1459" w:type="dxa"/>
            <w:tcBorders>
              <w:top w:val="nil"/>
              <w:left w:val="nil"/>
              <w:bottom w:val="nil"/>
              <w:right w:val="nil"/>
            </w:tcBorders>
          </w:tcPr>
          <w:p>
            <w:pPr>
              <w:pStyle w:val="TableParagraph"/>
              <w:spacing w:line="227" w:lineRule="exact" w:before="12"/>
              <w:ind w:left="95"/>
              <w:jc w:val="left"/>
              <w:rPr>
                <w:b/>
                <w:sz w:val="20"/>
              </w:rPr>
            </w:pPr>
            <w:r>
              <w:rPr>
                <w:b/>
                <w:sz w:val="20"/>
              </w:rPr>
              <w:t>Sécurité</w:t>
            </w:r>
          </w:p>
        </w:tc>
        <w:tc>
          <w:tcPr>
            <w:tcW w:w="2364" w:type="dxa"/>
            <w:tcBorders>
              <w:top w:val="nil"/>
              <w:left w:val="nil"/>
              <w:bottom w:val="nil"/>
            </w:tcBorders>
          </w:tcPr>
          <w:p>
            <w:pPr>
              <w:pStyle w:val="TableParagraph"/>
              <w:spacing w:line="227" w:lineRule="exact" w:before="12"/>
              <w:ind w:left="154"/>
              <w:jc w:val="left"/>
              <w:rPr>
                <w:b/>
                <w:sz w:val="20"/>
              </w:rPr>
            </w:pPr>
            <w:r>
              <w:rPr>
                <w:b/>
                <w:sz w:val="20"/>
              </w:rPr>
              <w:t>Sig. (2-tailed)</w:t>
            </w:r>
          </w:p>
        </w:tc>
        <w:tc>
          <w:tcPr>
            <w:tcW w:w="846" w:type="dxa"/>
            <w:tcBorders>
              <w:top w:val="nil"/>
              <w:bottom w:val="nil"/>
              <w:right w:val="single" w:sz="8" w:space="0" w:color="000000"/>
            </w:tcBorders>
          </w:tcPr>
          <w:p>
            <w:pPr>
              <w:pStyle w:val="TableParagraph"/>
              <w:spacing w:before="7"/>
              <w:ind w:left="130" w:right="21"/>
              <w:rPr>
                <w:sz w:val="20"/>
              </w:rPr>
            </w:pPr>
            <w:r>
              <w:rPr>
                <w:sz w:val="20"/>
              </w:rPr>
              <w:t>,000</w:t>
            </w:r>
          </w:p>
        </w:tc>
        <w:tc>
          <w:tcPr>
            <w:tcW w:w="779" w:type="dxa"/>
            <w:tcBorders>
              <w:top w:val="nil"/>
              <w:left w:val="single" w:sz="8" w:space="0" w:color="000000"/>
              <w:bottom w:val="nil"/>
              <w:right w:val="single" w:sz="8" w:space="0" w:color="000000"/>
            </w:tcBorders>
          </w:tcPr>
          <w:p>
            <w:pPr>
              <w:pStyle w:val="TableParagraph"/>
              <w:spacing w:before="7"/>
              <w:ind w:left="112"/>
              <w:rPr>
                <w:sz w:val="20"/>
              </w:rPr>
            </w:pPr>
            <w:r>
              <w:rPr>
                <w:w w:val="100"/>
                <w:sz w:val="20"/>
              </w:rPr>
              <w:t>.</w:t>
            </w:r>
          </w:p>
        </w:tc>
        <w:tc>
          <w:tcPr>
            <w:tcW w:w="778" w:type="dxa"/>
            <w:tcBorders>
              <w:top w:val="nil"/>
              <w:left w:val="single" w:sz="8" w:space="0" w:color="000000"/>
              <w:bottom w:val="nil"/>
              <w:right w:val="single" w:sz="8" w:space="0" w:color="000000"/>
            </w:tcBorders>
          </w:tcPr>
          <w:p>
            <w:pPr>
              <w:pStyle w:val="TableParagraph"/>
              <w:spacing w:before="7"/>
              <w:ind w:left="118"/>
              <w:rPr>
                <w:sz w:val="20"/>
              </w:rPr>
            </w:pPr>
            <w:r>
              <w:rPr>
                <w:sz w:val="20"/>
              </w:rPr>
              <w:t>,000</w:t>
            </w:r>
          </w:p>
        </w:tc>
        <w:tc>
          <w:tcPr>
            <w:tcW w:w="932" w:type="dxa"/>
            <w:tcBorders>
              <w:top w:val="nil"/>
              <w:left w:val="single" w:sz="8" w:space="0" w:color="000000"/>
              <w:bottom w:val="nil"/>
              <w:right w:val="single" w:sz="8" w:space="0" w:color="000000"/>
            </w:tcBorders>
          </w:tcPr>
          <w:p>
            <w:pPr>
              <w:pStyle w:val="TableParagraph"/>
              <w:spacing w:before="7"/>
              <w:ind w:left="337"/>
              <w:jc w:val="left"/>
              <w:rPr>
                <w:sz w:val="20"/>
              </w:rPr>
            </w:pPr>
            <w:r>
              <w:rPr>
                <w:sz w:val="20"/>
              </w:rPr>
              <w:t>,000</w:t>
            </w:r>
          </w:p>
        </w:tc>
        <w:tc>
          <w:tcPr>
            <w:tcW w:w="779" w:type="dxa"/>
            <w:tcBorders>
              <w:top w:val="nil"/>
              <w:left w:val="single" w:sz="8" w:space="0" w:color="000000"/>
              <w:bottom w:val="nil"/>
            </w:tcBorders>
          </w:tcPr>
          <w:p>
            <w:pPr>
              <w:pStyle w:val="TableParagraph"/>
              <w:spacing w:before="7"/>
              <w:ind w:left="132" w:right="23"/>
              <w:rPr>
                <w:sz w:val="20"/>
              </w:rPr>
            </w:pPr>
            <w:r>
              <w:rPr>
                <w:sz w:val="20"/>
              </w:rPr>
              <w:t>,000</w:t>
            </w:r>
          </w:p>
        </w:tc>
      </w:tr>
      <w:tr>
        <w:trPr>
          <w:trHeight w:val="265" w:hRule="atLeast"/>
        </w:trPr>
        <w:tc>
          <w:tcPr>
            <w:tcW w:w="1417" w:type="dxa"/>
            <w:vMerge/>
            <w:tcBorders>
              <w:top w:val="nil"/>
              <w:right w:val="nil"/>
            </w:tcBorders>
            <w:textDirection w:val="btLr"/>
          </w:tcPr>
          <w:p>
            <w:pPr>
              <w:rPr>
                <w:sz w:val="2"/>
                <w:szCs w:val="2"/>
              </w:rPr>
            </w:pPr>
          </w:p>
        </w:tc>
        <w:tc>
          <w:tcPr>
            <w:tcW w:w="1459" w:type="dxa"/>
            <w:tcBorders>
              <w:top w:val="nil"/>
              <w:left w:val="nil"/>
              <w:bottom w:val="single" w:sz="8" w:space="0" w:color="000000"/>
              <w:right w:val="nil"/>
            </w:tcBorders>
          </w:tcPr>
          <w:p>
            <w:pPr>
              <w:pStyle w:val="TableParagraph"/>
              <w:jc w:val="left"/>
              <w:rPr>
                <w:sz w:val="18"/>
              </w:rPr>
            </w:pPr>
          </w:p>
        </w:tc>
        <w:tc>
          <w:tcPr>
            <w:tcW w:w="2364" w:type="dxa"/>
            <w:tcBorders>
              <w:top w:val="nil"/>
              <w:left w:val="nil"/>
              <w:bottom w:val="single" w:sz="8" w:space="0" w:color="000000"/>
            </w:tcBorders>
          </w:tcPr>
          <w:p>
            <w:pPr>
              <w:pStyle w:val="TableParagraph"/>
              <w:spacing w:before="15"/>
              <w:ind w:left="154"/>
              <w:jc w:val="left"/>
              <w:rPr>
                <w:b/>
                <w:sz w:val="20"/>
              </w:rPr>
            </w:pPr>
            <w:r>
              <w:rPr>
                <w:b/>
                <w:w w:val="100"/>
                <w:sz w:val="20"/>
              </w:rPr>
              <w:t>N</w:t>
            </w:r>
          </w:p>
        </w:tc>
        <w:tc>
          <w:tcPr>
            <w:tcW w:w="846" w:type="dxa"/>
            <w:tcBorders>
              <w:top w:val="nil"/>
              <w:bottom w:val="single" w:sz="8" w:space="0" w:color="000000"/>
              <w:right w:val="single" w:sz="8" w:space="0" w:color="000000"/>
            </w:tcBorders>
          </w:tcPr>
          <w:p>
            <w:pPr>
              <w:pStyle w:val="TableParagraph"/>
              <w:spacing w:before="10"/>
              <w:ind w:left="130" w:right="26"/>
              <w:rPr>
                <w:sz w:val="20"/>
              </w:rPr>
            </w:pPr>
            <w:r>
              <w:rPr>
                <w:sz w:val="20"/>
              </w:rPr>
              <w:t>376</w:t>
            </w:r>
          </w:p>
        </w:tc>
        <w:tc>
          <w:tcPr>
            <w:tcW w:w="779" w:type="dxa"/>
            <w:tcBorders>
              <w:top w:val="nil"/>
              <w:left w:val="single" w:sz="8" w:space="0" w:color="000000"/>
              <w:bottom w:val="single" w:sz="8" w:space="0" w:color="000000"/>
              <w:right w:val="single" w:sz="8" w:space="0" w:color="000000"/>
            </w:tcBorders>
          </w:tcPr>
          <w:p>
            <w:pPr>
              <w:pStyle w:val="TableParagraph"/>
              <w:spacing w:before="10"/>
              <w:ind w:left="285"/>
              <w:jc w:val="left"/>
              <w:rPr>
                <w:sz w:val="20"/>
              </w:rPr>
            </w:pPr>
            <w:r>
              <w:rPr>
                <w:sz w:val="20"/>
              </w:rPr>
              <w:t>376</w:t>
            </w:r>
          </w:p>
        </w:tc>
        <w:tc>
          <w:tcPr>
            <w:tcW w:w="778" w:type="dxa"/>
            <w:tcBorders>
              <w:top w:val="nil"/>
              <w:left w:val="single" w:sz="8" w:space="0" w:color="000000"/>
              <w:bottom w:val="single" w:sz="8" w:space="0" w:color="000000"/>
              <w:right w:val="single" w:sz="8" w:space="0" w:color="000000"/>
            </w:tcBorders>
          </w:tcPr>
          <w:p>
            <w:pPr>
              <w:pStyle w:val="TableParagraph"/>
              <w:spacing w:before="10"/>
              <w:ind w:left="113"/>
              <w:rPr>
                <w:sz w:val="20"/>
              </w:rPr>
            </w:pPr>
            <w:r>
              <w:rPr>
                <w:sz w:val="20"/>
              </w:rPr>
              <w:t>319</w:t>
            </w:r>
          </w:p>
        </w:tc>
        <w:tc>
          <w:tcPr>
            <w:tcW w:w="932" w:type="dxa"/>
            <w:tcBorders>
              <w:top w:val="nil"/>
              <w:left w:val="single" w:sz="8" w:space="0" w:color="000000"/>
              <w:bottom w:val="single" w:sz="8" w:space="0" w:color="000000"/>
              <w:right w:val="single" w:sz="8" w:space="0" w:color="000000"/>
            </w:tcBorders>
          </w:tcPr>
          <w:p>
            <w:pPr>
              <w:pStyle w:val="TableParagraph"/>
              <w:spacing w:before="10"/>
              <w:ind w:left="361"/>
              <w:jc w:val="left"/>
              <w:rPr>
                <w:sz w:val="20"/>
              </w:rPr>
            </w:pPr>
            <w:r>
              <w:rPr>
                <w:sz w:val="20"/>
              </w:rPr>
              <w:t>376</w:t>
            </w:r>
          </w:p>
        </w:tc>
        <w:tc>
          <w:tcPr>
            <w:tcW w:w="779" w:type="dxa"/>
            <w:tcBorders>
              <w:top w:val="nil"/>
              <w:left w:val="single" w:sz="8" w:space="0" w:color="000000"/>
              <w:bottom w:val="single" w:sz="8" w:space="0" w:color="000000"/>
            </w:tcBorders>
          </w:tcPr>
          <w:p>
            <w:pPr>
              <w:pStyle w:val="TableParagraph"/>
              <w:spacing w:before="10"/>
              <w:ind w:left="122" w:right="23"/>
              <w:rPr>
                <w:sz w:val="20"/>
              </w:rPr>
            </w:pPr>
            <w:r>
              <w:rPr>
                <w:sz w:val="20"/>
              </w:rPr>
              <w:t>68</w:t>
            </w:r>
          </w:p>
        </w:tc>
      </w:tr>
      <w:tr>
        <w:trPr>
          <w:trHeight w:val="254" w:hRule="atLeast"/>
        </w:trPr>
        <w:tc>
          <w:tcPr>
            <w:tcW w:w="1417" w:type="dxa"/>
            <w:vMerge/>
            <w:tcBorders>
              <w:top w:val="nil"/>
              <w:right w:val="nil"/>
            </w:tcBorders>
            <w:textDirection w:val="btLr"/>
          </w:tcPr>
          <w:p>
            <w:pPr>
              <w:rPr>
                <w:sz w:val="2"/>
                <w:szCs w:val="2"/>
              </w:rPr>
            </w:pPr>
          </w:p>
        </w:tc>
        <w:tc>
          <w:tcPr>
            <w:tcW w:w="1459" w:type="dxa"/>
            <w:tcBorders>
              <w:top w:val="single" w:sz="8" w:space="0" w:color="000000"/>
              <w:left w:val="nil"/>
              <w:bottom w:val="nil"/>
              <w:right w:val="nil"/>
            </w:tcBorders>
          </w:tcPr>
          <w:p>
            <w:pPr>
              <w:pStyle w:val="TableParagraph"/>
              <w:jc w:val="left"/>
              <w:rPr>
                <w:sz w:val="18"/>
              </w:rPr>
            </w:pPr>
          </w:p>
        </w:tc>
        <w:tc>
          <w:tcPr>
            <w:tcW w:w="2364" w:type="dxa"/>
            <w:tcBorders>
              <w:top w:val="single" w:sz="8" w:space="0" w:color="000000"/>
              <w:left w:val="nil"/>
              <w:bottom w:val="nil"/>
            </w:tcBorders>
          </w:tcPr>
          <w:p>
            <w:pPr>
              <w:pStyle w:val="TableParagraph"/>
              <w:spacing w:line="227" w:lineRule="exact" w:before="7"/>
              <w:ind w:left="82"/>
              <w:jc w:val="left"/>
              <w:rPr>
                <w:b/>
                <w:sz w:val="20"/>
              </w:rPr>
            </w:pPr>
            <w:r>
              <w:rPr>
                <w:b/>
                <w:sz w:val="20"/>
              </w:rPr>
              <w:t>Correlation Coefficient</w:t>
            </w:r>
          </w:p>
        </w:tc>
        <w:tc>
          <w:tcPr>
            <w:tcW w:w="846" w:type="dxa"/>
            <w:tcBorders>
              <w:top w:val="single" w:sz="8" w:space="0" w:color="000000"/>
              <w:bottom w:val="nil"/>
              <w:right w:val="single" w:sz="8" w:space="0" w:color="000000"/>
            </w:tcBorders>
          </w:tcPr>
          <w:p>
            <w:pPr>
              <w:pStyle w:val="TableParagraph"/>
              <w:spacing w:line="227" w:lineRule="exact" w:before="7"/>
              <w:ind w:left="130" w:right="26"/>
              <w:rPr>
                <w:b/>
                <w:sz w:val="20"/>
              </w:rPr>
            </w:pPr>
            <w:r>
              <w:rPr>
                <w:b/>
                <w:sz w:val="20"/>
              </w:rPr>
              <w:t>-,202**</w:t>
            </w:r>
          </w:p>
        </w:tc>
        <w:tc>
          <w:tcPr>
            <w:tcW w:w="779" w:type="dxa"/>
            <w:tcBorders>
              <w:top w:val="single" w:sz="8" w:space="0" w:color="000000"/>
              <w:left w:val="single" w:sz="8" w:space="0" w:color="000000"/>
              <w:bottom w:val="nil"/>
              <w:right w:val="single" w:sz="8" w:space="0" w:color="000000"/>
            </w:tcBorders>
          </w:tcPr>
          <w:p>
            <w:pPr>
              <w:pStyle w:val="TableParagraph"/>
              <w:spacing w:before="2"/>
              <w:ind w:right="10"/>
              <w:jc w:val="right"/>
              <w:rPr>
                <w:sz w:val="20"/>
              </w:rPr>
            </w:pPr>
            <w:r>
              <w:rPr>
                <w:sz w:val="20"/>
              </w:rPr>
              <w:t>-,258**</w:t>
            </w:r>
          </w:p>
        </w:tc>
        <w:tc>
          <w:tcPr>
            <w:tcW w:w="778" w:type="dxa"/>
            <w:tcBorders>
              <w:top w:val="single" w:sz="8" w:space="0" w:color="000000"/>
              <w:left w:val="single" w:sz="8" w:space="0" w:color="000000"/>
              <w:bottom w:val="nil"/>
              <w:right w:val="single" w:sz="8" w:space="0" w:color="000000"/>
            </w:tcBorders>
          </w:tcPr>
          <w:p>
            <w:pPr>
              <w:pStyle w:val="TableParagraph"/>
              <w:spacing w:before="2"/>
              <w:ind w:left="113"/>
              <w:rPr>
                <w:sz w:val="20"/>
              </w:rPr>
            </w:pPr>
            <w:r>
              <w:rPr>
                <w:sz w:val="20"/>
              </w:rPr>
              <w:t>1,000</w:t>
            </w:r>
          </w:p>
        </w:tc>
        <w:tc>
          <w:tcPr>
            <w:tcW w:w="932" w:type="dxa"/>
            <w:tcBorders>
              <w:top w:val="single" w:sz="8" w:space="0" w:color="000000"/>
              <w:left w:val="single" w:sz="8" w:space="0" w:color="000000"/>
              <w:bottom w:val="nil"/>
              <w:right w:val="single" w:sz="8" w:space="0" w:color="000000"/>
            </w:tcBorders>
          </w:tcPr>
          <w:p>
            <w:pPr>
              <w:pStyle w:val="TableParagraph"/>
              <w:spacing w:before="2"/>
              <w:ind w:right="117"/>
              <w:jc w:val="right"/>
              <w:rPr>
                <w:sz w:val="20"/>
              </w:rPr>
            </w:pPr>
            <w:r>
              <w:rPr>
                <w:sz w:val="20"/>
              </w:rPr>
              <w:t>,296**</w:t>
            </w:r>
          </w:p>
        </w:tc>
        <w:tc>
          <w:tcPr>
            <w:tcW w:w="779" w:type="dxa"/>
            <w:tcBorders>
              <w:top w:val="single" w:sz="8" w:space="0" w:color="000000"/>
              <w:left w:val="single" w:sz="8" w:space="0" w:color="000000"/>
              <w:bottom w:val="nil"/>
            </w:tcBorders>
          </w:tcPr>
          <w:p>
            <w:pPr>
              <w:pStyle w:val="TableParagraph"/>
              <w:spacing w:before="2"/>
              <w:ind w:left="132" w:right="23"/>
              <w:rPr>
                <w:sz w:val="20"/>
              </w:rPr>
            </w:pPr>
            <w:r>
              <w:rPr>
                <w:sz w:val="20"/>
              </w:rPr>
              <w:t>-,044</w:t>
            </w:r>
          </w:p>
        </w:tc>
      </w:tr>
      <w:tr>
        <w:trPr>
          <w:trHeight w:val="259" w:hRule="atLeast"/>
        </w:trPr>
        <w:tc>
          <w:tcPr>
            <w:tcW w:w="1417" w:type="dxa"/>
            <w:vMerge/>
            <w:tcBorders>
              <w:top w:val="nil"/>
              <w:right w:val="nil"/>
            </w:tcBorders>
            <w:textDirection w:val="btLr"/>
          </w:tcPr>
          <w:p>
            <w:pPr>
              <w:rPr>
                <w:sz w:val="2"/>
                <w:szCs w:val="2"/>
              </w:rPr>
            </w:pPr>
          </w:p>
        </w:tc>
        <w:tc>
          <w:tcPr>
            <w:tcW w:w="1459" w:type="dxa"/>
            <w:tcBorders>
              <w:top w:val="nil"/>
              <w:left w:val="nil"/>
              <w:bottom w:val="nil"/>
              <w:right w:val="nil"/>
            </w:tcBorders>
          </w:tcPr>
          <w:p>
            <w:pPr>
              <w:pStyle w:val="TableParagraph"/>
              <w:spacing w:line="225" w:lineRule="exact" w:before="15"/>
              <w:ind w:left="95"/>
              <w:jc w:val="left"/>
              <w:rPr>
                <w:b/>
                <w:sz w:val="20"/>
              </w:rPr>
            </w:pPr>
            <w:r>
              <w:rPr>
                <w:b/>
                <w:sz w:val="20"/>
              </w:rPr>
              <w:t>Bugs</w:t>
            </w:r>
          </w:p>
        </w:tc>
        <w:tc>
          <w:tcPr>
            <w:tcW w:w="2364" w:type="dxa"/>
            <w:tcBorders>
              <w:top w:val="nil"/>
              <w:left w:val="nil"/>
              <w:bottom w:val="nil"/>
            </w:tcBorders>
          </w:tcPr>
          <w:p>
            <w:pPr>
              <w:pStyle w:val="TableParagraph"/>
              <w:spacing w:line="225" w:lineRule="exact" w:before="15"/>
              <w:ind w:left="154"/>
              <w:jc w:val="left"/>
              <w:rPr>
                <w:b/>
                <w:sz w:val="20"/>
              </w:rPr>
            </w:pPr>
            <w:r>
              <w:rPr>
                <w:b/>
                <w:sz w:val="20"/>
              </w:rPr>
              <w:t>Sig. (2-tailed)</w:t>
            </w:r>
          </w:p>
        </w:tc>
        <w:tc>
          <w:tcPr>
            <w:tcW w:w="846" w:type="dxa"/>
            <w:tcBorders>
              <w:top w:val="nil"/>
              <w:bottom w:val="nil"/>
              <w:right w:val="single" w:sz="8" w:space="0" w:color="000000"/>
            </w:tcBorders>
          </w:tcPr>
          <w:p>
            <w:pPr>
              <w:pStyle w:val="TableParagraph"/>
              <w:spacing w:before="10"/>
              <w:ind w:left="130" w:right="21"/>
              <w:rPr>
                <w:sz w:val="20"/>
              </w:rPr>
            </w:pPr>
            <w:r>
              <w:rPr>
                <w:sz w:val="20"/>
              </w:rPr>
              <w:t>,000</w:t>
            </w:r>
          </w:p>
        </w:tc>
        <w:tc>
          <w:tcPr>
            <w:tcW w:w="779" w:type="dxa"/>
            <w:tcBorders>
              <w:top w:val="nil"/>
              <w:left w:val="single" w:sz="8" w:space="0" w:color="000000"/>
              <w:bottom w:val="nil"/>
              <w:right w:val="single" w:sz="8" w:space="0" w:color="000000"/>
            </w:tcBorders>
          </w:tcPr>
          <w:p>
            <w:pPr>
              <w:pStyle w:val="TableParagraph"/>
              <w:spacing w:before="10"/>
              <w:ind w:left="261"/>
              <w:jc w:val="left"/>
              <w:rPr>
                <w:sz w:val="20"/>
              </w:rPr>
            </w:pPr>
            <w:r>
              <w:rPr>
                <w:sz w:val="20"/>
              </w:rPr>
              <w:t>,000</w:t>
            </w:r>
          </w:p>
        </w:tc>
        <w:tc>
          <w:tcPr>
            <w:tcW w:w="778" w:type="dxa"/>
            <w:tcBorders>
              <w:top w:val="nil"/>
              <w:left w:val="single" w:sz="8" w:space="0" w:color="000000"/>
              <w:bottom w:val="nil"/>
              <w:right w:val="single" w:sz="8" w:space="0" w:color="000000"/>
            </w:tcBorders>
          </w:tcPr>
          <w:p>
            <w:pPr>
              <w:pStyle w:val="TableParagraph"/>
              <w:spacing w:before="10"/>
              <w:ind w:left="111"/>
              <w:rPr>
                <w:sz w:val="20"/>
              </w:rPr>
            </w:pPr>
            <w:r>
              <w:rPr>
                <w:w w:val="100"/>
                <w:sz w:val="20"/>
              </w:rPr>
              <w:t>.</w:t>
            </w:r>
          </w:p>
        </w:tc>
        <w:tc>
          <w:tcPr>
            <w:tcW w:w="932" w:type="dxa"/>
            <w:tcBorders>
              <w:top w:val="nil"/>
              <w:left w:val="single" w:sz="8" w:space="0" w:color="000000"/>
              <w:bottom w:val="nil"/>
              <w:right w:val="single" w:sz="8" w:space="0" w:color="000000"/>
            </w:tcBorders>
          </w:tcPr>
          <w:p>
            <w:pPr>
              <w:pStyle w:val="TableParagraph"/>
              <w:spacing w:before="10"/>
              <w:ind w:left="337"/>
              <w:jc w:val="left"/>
              <w:rPr>
                <w:sz w:val="20"/>
              </w:rPr>
            </w:pPr>
            <w:r>
              <w:rPr>
                <w:sz w:val="20"/>
              </w:rPr>
              <w:t>,000</w:t>
            </w:r>
          </w:p>
        </w:tc>
        <w:tc>
          <w:tcPr>
            <w:tcW w:w="779" w:type="dxa"/>
            <w:tcBorders>
              <w:top w:val="nil"/>
              <w:left w:val="single" w:sz="8" w:space="0" w:color="000000"/>
              <w:bottom w:val="nil"/>
            </w:tcBorders>
          </w:tcPr>
          <w:p>
            <w:pPr>
              <w:pStyle w:val="TableParagraph"/>
              <w:spacing w:before="10"/>
              <w:ind w:left="132" w:right="23"/>
              <w:rPr>
                <w:sz w:val="20"/>
              </w:rPr>
            </w:pPr>
            <w:r>
              <w:rPr>
                <w:sz w:val="20"/>
              </w:rPr>
              <w:t>,745</w:t>
            </w:r>
          </w:p>
        </w:tc>
      </w:tr>
      <w:tr>
        <w:trPr>
          <w:trHeight w:val="263" w:hRule="atLeast"/>
        </w:trPr>
        <w:tc>
          <w:tcPr>
            <w:tcW w:w="1417" w:type="dxa"/>
            <w:vMerge/>
            <w:tcBorders>
              <w:top w:val="nil"/>
              <w:right w:val="nil"/>
            </w:tcBorders>
            <w:textDirection w:val="btLr"/>
          </w:tcPr>
          <w:p>
            <w:pPr>
              <w:rPr>
                <w:sz w:val="2"/>
                <w:szCs w:val="2"/>
              </w:rPr>
            </w:pPr>
          </w:p>
        </w:tc>
        <w:tc>
          <w:tcPr>
            <w:tcW w:w="1459" w:type="dxa"/>
            <w:tcBorders>
              <w:top w:val="nil"/>
              <w:left w:val="nil"/>
              <w:bottom w:val="single" w:sz="8" w:space="0" w:color="000000"/>
              <w:right w:val="nil"/>
            </w:tcBorders>
          </w:tcPr>
          <w:p>
            <w:pPr>
              <w:pStyle w:val="TableParagraph"/>
              <w:jc w:val="left"/>
              <w:rPr>
                <w:sz w:val="18"/>
              </w:rPr>
            </w:pPr>
          </w:p>
        </w:tc>
        <w:tc>
          <w:tcPr>
            <w:tcW w:w="2364" w:type="dxa"/>
            <w:tcBorders>
              <w:top w:val="nil"/>
              <w:left w:val="nil"/>
              <w:bottom w:val="single" w:sz="8" w:space="0" w:color="000000"/>
            </w:tcBorders>
          </w:tcPr>
          <w:p>
            <w:pPr>
              <w:pStyle w:val="TableParagraph"/>
              <w:spacing w:before="12"/>
              <w:ind w:left="154"/>
              <w:jc w:val="left"/>
              <w:rPr>
                <w:b/>
                <w:sz w:val="20"/>
              </w:rPr>
            </w:pPr>
            <w:r>
              <w:rPr>
                <w:b/>
                <w:w w:val="100"/>
                <w:sz w:val="20"/>
              </w:rPr>
              <w:t>N</w:t>
            </w:r>
          </w:p>
        </w:tc>
        <w:tc>
          <w:tcPr>
            <w:tcW w:w="846" w:type="dxa"/>
            <w:tcBorders>
              <w:top w:val="nil"/>
              <w:bottom w:val="single" w:sz="8" w:space="0" w:color="000000"/>
              <w:right w:val="single" w:sz="8" w:space="0" w:color="000000"/>
            </w:tcBorders>
          </w:tcPr>
          <w:p>
            <w:pPr>
              <w:pStyle w:val="TableParagraph"/>
              <w:spacing w:before="7"/>
              <w:ind w:left="130" w:right="26"/>
              <w:rPr>
                <w:sz w:val="20"/>
              </w:rPr>
            </w:pPr>
            <w:r>
              <w:rPr>
                <w:sz w:val="20"/>
              </w:rPr>
              <w:t>319</w:t>
            </w:r>
          </w:p>
        </w:tc>
        <w:tc>
          <w:tcPr>
            <w:tcW w:w="779" w:type="dxa"/>
            <w:tcBorders>
              <w:top w:val="nil"/>
              <w:left w:val="single" w:sz="8" w:space="0" w:color="000000"/>
              <w:bottom w:val="single" w:sz="8" w:space="0" w:color="000000"/>
              <w:right w:val="single" w:sz="8" w:space="0" w:color="000000"/>
            </w:tcBorders>
          </w:tcPr>
          <w:p>
            <w:pPr>
              <w:pStyle w:val="TableParagraph"/>
              <w:spacing w:before="7"/>
              <w:ind w:left="285"/>
              <w:jc w:val="left"/>
              <w:rPr>
                <w:sz w:val="20"/>
              </w:rPr>
            </w:pPr>
            <w:r>
              <w:rPr>
                <w:sz w:val="20"/>
              </w:rPr>
              <w:t>319</w:t>
            </w:r>
          </w:p>
        </w:tc>
        <w:tc>
          <w:tcPr>
            <w:tcW w:w="778" w:type="dxa"/>
            <w:tcBorders>
              <w:top w:val="nil"/>
              <w:left w:val="single" w:sz="8" w:space="0" w:color="000000"/>
              <w:bottom w:val="single" w:sz="8" w:space="0" w:color="000000"/>
              <w:right w:val="single" w:sz="8" w:space="0" w:color="000000"/>
            </w:tcBorders>
          </w:tcPr>
          <w:p>
            <w:pPr>
              <w:pStyle w:val="TableParagraph"/>
              <w:spacing w:before="7"/>
              <w:ind w:left="113"/>
              <w:rPr>
                <w:sz w:val="20"/>
              </w:rPr>
            </w:pPr>
            <w:r>
              <w:rPr>
                <w:sz w:val="20"/>
              </w:rPr>
              <w:t>319</w:t>
            </w:r>
          </w:p>
        </w:tc>
        <w:tc>
          <w:tcPr>
            <w:tcW w:w="932" w:type="dxa"/>
            <w:tcBorders>
              <w:top w:val="nil"/>
              <w:left w:val="single" w:sz="8" w:space="0" w:color="000000"/>
              <w:bottom w:val="single" w:sz="8" w:space="0" w:color="000000"/>
              <w:right w:val="single" w:sz="8" w:space="0" w:color="000000"/>
            </w:tcBorders>
          </w:tcPr>
          <w:p>
            <w:pPr>
              <w:pStyle w:val="TableParagraph"/>
              <w:spacing w:before="7"/>
              <w:ind w:left="361"/>
              <w:jc w:val="left"/>
              <w:rPr>
                <w:sz w:val="20"/>
              </w:rPr>
            </w:pPr>
            <w:r>
              <w:rPr>
                <w:sz w:val="20"/>
              </w:rPr>
              <w:t>319</w:t>
            </w:r>
          </w:p>
        </w:tc>
        <w:tc>
          <w:tcPr>
            <w:tcW w:w="779" w:type="dxa"/>
            <w:tcBorders>
              <w:top w:val="nil"/>
              <w:left w:val="single" w:sz="8" w:space="0" w:color="000000"/>
              <w:bottom w:val="single" w:sz="8" w:space="0" w:color="000000"/>
            </w:tcBorders>
          </w:tcPr>
          <w:p>
            <w:pPr>
              <w:pStyle w:val="TableParagraph"/>
              <w:spacing w:before="7"/>
              <w:ind w:left="122" w:right="23"/>
              <w:rPr>
                <w:sz w:val="20"/>
              </w:rPr>
            </w:pPr>
            <w:r>
              <w:rPr>
                <w:sz w:val="20"/>
              </w:rPr>
              <w:t>58</w:t>
            </w:r>
          </w:p>
        </w:tc>
      </w:tr>
      <w:tr>
        <w:trPr>
          <w:trHeight w:val="256" w:hRule="atLeast"/>
        </w:trPr>
        <w:tc>
          <w:tcPr>
            <w:tcW w:w="1417" w:type="dxa"/>
            <w:vMerge/>
            <w:tcBorders>
              <w:top w:val="nil"/>
              <w:right w:val="nil"/>
            </w:tcBorders>
            <w:textDirection w:val="btLr"/>
          </w:tcPr>
          <w:p>
            <w:pPr>
              <w:rPr>
                <w:sz w:val="2"/>
                <w:szCs w:val="2"/>
              </w:rPr>
            </w:pPr>
          </w:p>
        </w:tc>
        <w:tc>
          <w:tcPr>
            <w:tcW w:w="1459" w:type="dxa"/>
            <w:tcBorders>
              <w:top w:val="single" w:sz="8" w:space="0" w:color="000000"/>
              <w:left w:val="nil"/>
              <w:bottom w:val="nil"/>
              <w:right w:val="nil"/>
            </w:tcBorders>
          </w:tcPr>
          <w:p>
            <w:pPr>
              <w:pStyle w:val="TableParagraph"/>
              <w:jc w:val="left"/>
              <w:rPr>
                <w:sz w:val="18"/>
              </w:rPr>
            </w:pPr>
          </w:p>
        </w:tc>
        <w:tc>
          <w:tcPr>
            <w:tcW w:w="2364" w:type="dxa"/>
            <w:tcBorders>
              <w:top w:val="single" w:sz="8" w:space="0" w:color="000000"/>
              <w:left w:val="nil"/>
              <w:bottom w:val="nil"/>
            </w:tcBorders>
          </w:tcPr>
          <w:p>
            <w:pPr>
              <w:pStyle w:val="TableParagraph"/>
              <w:spacing w:line="225" w:lineRule="exact" w:before="11"/>
              <w:ind w:left="82"/>
              <w:jc w:val="left"/>
              <w:rPr>
                <w:b/>
                <w:sz w:val="20"/>
              </w:rPr>
            </w:pPr>
            <w:r>
              <w:rPr>
                <w:b/>
                <w:sz w:val="20"/>
              </w:rPr>
              <w:t>Correlation Coefficient</w:t>
            </w:r>
          </w:p>
        </w:tc>
        <w:tc>
          <w:tcPr>
            <w:tcW w:w="846" w:type="dxa"/>
            <w:tcBorders>
              <w:top w:val="single" w:sz="8" w:space="0" w:color="000000"/>
              <w:bottom w:val="nil"/>
              <w:right w:val="single" w:sz="8" w:space="0" w:color="000000"/>
            </w:tcBorders>
          </w:tcPr>
          <w:p>
            <w:pPr>
              <w:pStyle w:val="TableParagraph"/>
              <w:spacing w:line="225" w:lineRule="exact" w:before="11"/>
              <w:ind w:left="130" w:right="26"/>
              <w:rPr>
                <w:b/>
                <w:sz w:val="20"/>
              </w:rPr>
            </w:pPr>
            <w:r>
              <w:rPr>
                <w:b/>
                <w:sz w:val="20"/>
              </w:rPr>
              <w:t>-,290**</w:t>
            </w:r>
          </w:p>
        </w:tc>
        <w:tc>
          <w:tcPr>
            <w:tcW w:w="779" w:type="dxa"/>
            <w:tcBorders>
              <w:top w:val="single" w:sz="8" w:space="0" w:color="000000"/>
              <w:left w:val="single" w:sz="8" w:space="0" w:color="000000"/>
              <w:bottom w:val="nil"/>
              <w:right w:val="single" w:sz="8" w:space="0" w:color="000000"/>
            </w:tcBorders>
          </w:tcPr>
          <w:p>
            <w:pPr>
              <w:pStyle w:val="TableParagraph"/>
              <w:spacing w:before="6"/>
              <w:ind w:right="10"/>
              <w:jc w:val="right"/>
              <w:rPr>
                <w:sz w:val="20"/>
              </w:rPr>
            </w:pPr>
            <w:r>
              <w:rPr>
                <w:sz w:val="20"/>
              </w:rPr>
              <w:t>-,319**</w:t>
            </w:r>
          </w:p>
        </w:tc>
        <w:tc>
          <w:tcPr>
            <w:tcW w:w="778" w:type="dxa"/>
            <w:tcBorders>
              <w:top w:val="single" w:sz="8" w:space="0" w:color="000000"/>
              <w:left w:val="single" w:sz="8" w:space="0" w:color="000000"/>
              <w:bottom w:val="nil"/>
              <w:right w:val="single" w:sz="8" w:space="0" w:color="000000"/>
            </w:tcBorders>
          </w:tcPr>
          <w:p>
            <w:pPr>
              <w:pStyle w:val="TableParagraph"/>
              <w:spacing w:before="6"/>
              <w:ind w:left="118"/>
              <w:rPr>
                <w:sz w:val="20"/>
              </w:rPr>
            </w:pPr>
            <w:r>
              <w:rPr>
                <w:sz w:val="20"/>
              </w:rPr>
              <w:t>,296**</w:t>
            </w:r>
          </w:p>
        </w:tc>
        <w:tc>
          <w:tcPr>
            <w:tcW w:w="932" w:type="dxa"/>
            <w:tcBorders>
              <w:top w:val="single" w:sz="8" w:space="0" w:color="000000"/>
              <w:left w:val="single" w:sz="8" w:space="0" w:color="000000"/>
              <w:bottom w:val="nil"/>
              <w:right w:val="single" w:sz="8" w:space="0" w:color="000000"/>
            </w:tcBorders>
          </w:tcPr>
          <w:p>
            <w:pPr>
              <w:pStyle w:val="TableParagraph"/>
              <w:spacing w:before="6"/>
              <w:ind w:left="284"/>
              <w:jc w:val="left"/>
              <w:rPr>
                <w:sz w:val="20"/>
              </w:rPr>
            </w:pPr>
            <w:r>
              <w:rPr>
                <w:sz w:val="20"/>
              </w:rPr>
              <w:t>1,000</w:t>
            </w:r>
          </w:p>
        </w:tc>
        <w:tc>
          <w:tcPr>
            <w:tcW w:w="779" w:type="dxa"/>
            <w:tcBorders>
              <w:top w:val="single" w:sz="8" w:space="0" w:color="000000"/>
              <w:left w:val="single" w:sz="8" w:space="0" w:color="000000"/>
              <w:bottom w:val="nil"/>
            </w:tcBorders>
          </w:tcPr>
          <w:p>
            <w:pPr>
              <w:pStyle w:val="TableParagraph"/>
              <w:spacing w:before="6"/>
              <w:ind w:left="132" w:right="23"/>
              <w:rPr>
                <w:sz w:val="20"/>
              </w:rPr>
            </w:pPr>
            <w:r>
              <w:rPr>
                <w:sz w:val="20"/>
              </w:rPr>
              <w:t>-,135</w:t>
            </w:r>
          </w:p>
        </w:tc>
      </w:tr>
      <w:tr>
        <w:trPr>
          <w:trHeight w:val="257" w:hRule="atLeast"/>
        </w:trPr>
        <w:tc>
          <w:tcPr>
            <w:tcW w:w="1417" w:type="dxa"/>
            <w:vMerge/>
            <w:tcBorders>
              <w:top w:val="nil"/>
              <w:right w:val="nil"/>
            </w:tcBorders>
            <w:textDirection w:val="btLr"/>
          </w:tcPr>
          <w:p>
            <w:pPr>
              <w:rPr>
                <w:sz w:val="2"/>
                <w:szCs w:val="2"/>
              </w:rPr>
            </w:pPr>
          </w:p>
        </w:tc>
        <w:tc>
          <w:tcPr>
            <w:tcW w:w="1459" w:type="dxa"/>
            <w:tcBorders>
              <w:top w:val="nil"/>
              <w:left w:val="nil"/>
              <w:bottom w:val="nil"/>
              <w:right w:val="nil"/>
            </w:tcBorders>
          </w:tcPr>
          <w:p>
            <w:pPr>
              <w:pStyle w:val="TableParagraph"/>
              <w:spacing w:line="225" w:lineRule="exact" w:before="12"/>
              <w:ind w:left="95"/>
              <w:jc w:val="left"/>
              <w:rPr>
                <w:b/>
                <w:sz w:val="20"/>
              </w:rPr>
            </w:pPr>
            <w:r>
              <w:rPr>
                <w:b/>
                <w:sz w:val="20"/>
              </w:rPr>
              <w:t>Indisponibilité</w:t>
            </w:r>
          </w:p>
        </w:tc>
        <w:tc>
          <w:tcPr>
            <w:tcW w:w="2364" w:type="dxa"/>
            <w:tcBorders>
              <w:top w:val="nil"/>
              <w:left w:val="nil"/>
              <w:bottom w:val="nil"/>
            </w:tcBorders>
          </w:tcPr>
          <w:p>
            <w:pPr>
              <w:pStyle w:val="TableParagraph"/>
              <w:spacing w:line="225" w:lineRule="exact" w:before="12"/>
              <w:ind w:left="154"/>
              <w:jc w:val="left"/>
              <w:rPr>
                <w:b/>
                <w:sz w:val="20"/>
              </w:rPr>
            </w:pPr>
            <w:r>
              <w:rPr>
                <w:b/>
                <w:sz w:val="20"/>
              </w:rPr>
              <w:t>Sig. (2-tailed)</w:t>
            </w:r>
          </w:p>
        </w:tc>
        <w:tc>
          <w:tcPr>
            <w:tcW w:w="846" w:type="dxa"/>
            <w:tcBorders>
              <w:top w:val="nil"/>
              <w:bottom w:val="nil"/>
              <w:right w:val="single" w:sz="8" w:space="0" w:color="000000"/>
            </w:tcBorders>
          </w:tcPr>
          <w:p>
            <w:pPr>
              <w:pStyle w:val="TableParagraph"/>
              <w:spacing w:before="7"/>
              <w:ind w:left="130" w:right="21"/>
              <w:rPr>
                <w:sz w:val="20"/>
              </w:rPr>
            </w:pPr>
            <w:r>
              <w:rPr>
                <w:sz w:val="20"/>
              </w:rPr>
              <w:t>,000</w:t>
            </w:r>
          </w:p>
        </w:tc>
        <w:tc>
          <w:tcPr>
            <w:tcW w:w="779" w:type="dxa"/>
            <w:tcBorders>
              <w:top w:val="nil"/>
              <w:left w:val="single" w:sz="8" w:space="0" w:color="000000"/>
              <w:bottom w:val="nil"/>
              <w:right w:val="single" w:sz="8" w:space="0" w:color="000000"/>
            </w:tcBorders>
          </w:tcPr>
          <w:p>
            <w:pPr>
              <w:pStyle w:val="TableParagraph"/>
              <w:spacing w:before="7"/>
              <w:ind w:left="261"/>
              <w:jc w:val="left"/>
              <w:rPr>
                <w:sz w:val="20"/>
              </w:rPr>
            </w:pPr>
            <w:r>
              <w:rPr>
                <w:sz w:val="20"/>
              </w:rPr>
              <w:t>,000</w:t>
            </w:r>
          </w:p>
        </w:tc>
        <w:tc>
          <w:tcPr>
            <w:tcW w:w="778" w:type="dxa"/>
            <w:tcBorders>
              <w:top w:val="nil"/>
              <w:left w:val="single" w:sz="8" w:space="0" w:color="000000"/>
              <w:bottom w:val="nil"/>
              <w:right w:val="single" w:sz="8" w:space="0" w:color="000000"/>
            </w:tcBorders>
          </w:tcPr>
          <w:p>
            <w:pPr>
              <w:pStyle w:val="TableParagraph"/>
              <w:spacing w:before="7"/>
              <w:ind w:left="118"/>
              <w:rPr>
                <w:sz w:val="20"/>
              </w:rPr>
            </w:pPr>
            <w:r>
              <w:rPr>
                <w:sz w:val="20"/>
              </w:rPr>
              <w:t>,000</w:t>
            </w:r>
          </w:p>
        </w:tc>
        <w:tc>
          <w:tcPr>
            <w:tcW w:w="932" w:type="dxa"/>
            <w:tcBorders>
              <w:top w:val="nil"/>
              <w:left w:val="single" w:sz="8" w:space="0" w:color="000000"/>
              <w:bottom w:val="nil"/>
              <w:right w:val="single" w:sz="8" w:space="0" w:color="000000"/>
            </w:tcBorders>
          </w:tcPr>
          <w:p>
            <w:pPr>
              <w:pStyle w:val="TableParagraph"/>
              <w:spacing w:before="7"/>
              <w:ind w:left="111"/>
              <w:rPr>
                <w:sz w:val="20"/>
              </w:rPr>
            </w:pPr>
            <w:r>
              <w:rPr>
                <w:w w:val="100"/>
                <w:sz w:val="20"/>
              </w:rPr>
              <w:t>.</w:t>
            </w:r>
          </w:p>
        </w:tc>
        <w:tc>
          <w:tcPr>
            <w:tcW w:w="779" w:type="dxa"/>
            <w:tcBorders>
              <w:top w:val="nil"/>
              <w:left w:val="single" w:sz="8" w:space="0" w:color="000000"/>
              <w:bottom w:val="nil"/>
            </w:tcBorders>
          </w:tcPr>
          <w:p>
            <w:pPr>
              <w:pStyle w:val="TableParagraph"/>
              <w:spacing w:before="7"/>
              <w:ind w:left="132" w:right="23"/>
              <w:rPr>
                <w:sz w:val="20"/>
              </w:rPr>
            </w:pPr>
            <w:r>
              <w:rPr>
                <w:sz w:val="20"/>
              </w:rPr>
              <w:t>,274</w:t>
            </w:r>
          </w:p>
        </w:tc>
      </w:tr>
      <w:tr>
        <w:trPr>
          <w:trHeight w:val="268" w:hRule="atLeast"/>
        </w:trPr>
        <w:tc>
          <w:tcPr>
            <w:tcW w:w="1417" w:type="dxa"/>
            <w:vMerge/>
            <w:tcBorders>
              <w:top w:val="nil"/>
              <w:right w:val="nil"/>
            </w:tcBorders>
            <w:textDirection w:val="btLr"/>
          </w:tcPr>
          <w:p>
            <w:pPr>
              <w:rPr>
                <w:sz w:val="2"/>
                <w:szCs w:val="2"/>
              </w:rPr>
            </w:pPr>
          </w:p>
        </w:tc>
        <w:tc>
          <w:tcPr>
            <w:tcW w:w="1459" w:type="dxa"/>
            <w:tcBorders>
              <w:top w:val="nil"/>
              <w:left w:val="nil"/>
              <w:bottom w:val="single" w:sz="8" w:space="0" w:color="000000"/>
              <w:right w:val="nil"/>
            </w:tcBorders>
          </w:tcPr>
          <w:p>
            <w:pPr>
              <w:pStyle w:val="TableParagraph"/>
              <w:jc w:val="left"/>
              <w:rPr>
                <w:sz w:val="18"/>
              </w:rPr>
            </w:pPr>
          </w:p>
        </w:tc>
        <w:tc>
          <w:tcPr>
            <w:tcW w:w="2364" w:type="dxa"/>
            <w:tcBorders>
              <w:top w:val="nil"/>
              <w:left w:val="nil"/>
              <w:bottom w:val="single" w:sz="8" w:space="0" w:color="000000"/>
            </w:tcBorders>
          </w:tcPr>
          <w:p>
            <w:pPr>
              <w:pStyle w:val="TableParagraph"/>
              <w:spacing w:before="12"/>
              <w:ind w:left="154"/>
              <w:jc w:val="left"/>
              <w:rPr>
                <w:b/>
                <w:sz w:val="20"/>
              </w:rPr>
            </w:pPr>
            <w:r>
              <w:rPr>
                <w:b/>
                <w:w w:val="100"/>
                <w:sz w:val="20"/>
              </w:rPr>
              <w:t>N</w:t>
            </w:r>
          </w:p>
        </w:tc>
        <w:tc>
          <w:tcPr>
            <w:tcW w:w="846" w:type="dxa"/>
            <w:tcBorders>
              <w:top w:val="nil"/>
              <w:bottom w:val="single" w:sz="8" w:space="0" w:color="000000"/>
              <w:right w:val="single" w:sz="8" w:space="0" w:color="000000"/>
            </w:tcBorders>
          </w:tcPr>
          <w:p>
            <w:pPr>
              <w:pStyle w:val="TableParagraph"/>
              <w:spacing w:before="7"/>
              <w:ind w:left="130" w:right="26"/>
              <w:rPr>
                <w:sz w:val="20"/>
              </w:rPr>
            </w:pPr>
            <w:r>
              <w:rPr>
                <w:sz w:val="20"/>
              </w:rPr>
              <w:t>376</w:t>
            </w:r>
          </w:p>
        </w:tc>
        <w:tc>
          <w:tcPr>
            <w:tcW w:w="779" w:type="dxa"/>
            <w:tcBorders>
              <w:top w:val="nil"/>
              <w:left w:val="single" w:sz="8" w:space="0" w:color="000000"/>
              <w:bottom w:val="single" w:sz="8" w:space="0" w:color="000000"/>
              <w:right w:val="single" w:sz="8" w:space="0" w:color="000000"/>
            </w:tcBorders>
          </w:tcPr>
          <w:p>
            <w:pPr>
              <w:pStyle w:val="TableParagraph"/>
              <w:spacing w:before="7"/>
              <w:ind w:left="285"/>
              <w:jc w:val="left"/>
              <w:rPr>
                <w:sz w:val="20"/>
              </w:rPr>
            </w:pPr>
            <w:r>
              <w:rPr>
                <w:sz w:val="20"/>
              </w:rPr>
              <w:t>376</w:t>
            </w:r>
          </w:p>
        </w:tc>
        <w:tc>
          <w:tcPr>
            <w:tcW w:w="778" w:type="dxa"/>
            <w:tcBorders>
              <w:top w:val="nil"/>
              <w:left w:val="single" w:sz="8" w:space="0" w:color="000000"/>
              <w:bottom w:val="single" w:sz="8" w:space="0" w:color="000000"/>
              <w:right w:val="single" w:sz="8" w:space="0" w:color="000000"/>
            </w:tcBorders>
          </w:tcPr>
          <w:p>
            <w:pPr>
              <w:pStyle w:val="TableParagraph"/>
              <w:spacing w:before="7"/>
              <w:ind w:left="113"/>
              <w:rPr>
                <w:sz w:val="20"/>
              </w:rPr>
            </w:pPr>
            <w:r>
              <w:rPr>
                <w:sz w:val="20"/>
              </w:rPr>
              <w:t>319</w:t>
            </w:r>
          </w:p>
        </w:tc>
        <w:tc>
          <w:tcPr>
            <w:tcW w:w="932" w:type="dxa"/>
            <w:tcBorders>
              <w:top w:val="nil"/>
              <w:left w:val="single" w:sz="8" w:space="0" w:color="000000"/>
              <w:bottom w:val="single" w:sz="8" w:space="0" w:color="000000"/>
              <w:right w:val="single" w:sz="8" w:space="0" w:color="000000"/>
            </w:tcBorders>
          </w:tcPr>
          <w:p>
            <w:pPr>
              <w:pStyle w:val="TableParagraph"/>
              <w:spacing w:before="7"/>
              <w:ind w:left="361"/>
              <w:jc w:val="left"/>
              <w:rPr>
                <w:sz w:val="20"/>
              </w:rPr>
            </w:pPr>
            <w:r>
              <w:rPr>
                <w:sz w:val="20"/>
              </w:rPr>
              <w:t>376</w:t>
            </w:r>
          </w:p>
        </w:tc>
        <w:tc>
          <w:tcPr>
            <w:tcW w:w="779" w:type="dxa"/>
            <w:tcBorders>
              <w:top w:val="nil"/>
              <w:left w:val="single" w:sz="8" w:space="0" w:color="000000"/>
              <w:bottom w:val="single" w:sz="8" w:space="0" w:color="000000"/>
            </w:tcBorders>
          </w:tcPr>
          <w:p>
            <w:pPr>
              <w:pStyle w:val="TableParagraph"/>
              <w:spacing w:before="7"/>
              <w:ind w:left="122" w:right="23"/>
              <w:rPr>
                <w:sz w:val="20"/>
              </w:rPr>
            </w:pPr>
            <w:r>
              <w:rPr>
                <w:sz w:val="20"/>
              </w:rPr>
              <w:t>68</w:t>
            </w:r>
          </w:p>
        </w:tc>
      </w:tr>
      <w:tr>
        <w:trPr>
          <w:trHeight w:val="251" w:hRule="atLeast"/>
        </w:trPr>
        <w:tc>
          <w:tcPr>
            <w:tcW w:w="1417" w:type="dxa"/>
            <w:vMerge/>
            <w:tcBorders>
              <w:top w:val="nil"/>
              <w:right w:val="nil"/>
            </w:tcBorders>
            <w:textDirection w:val="btLr"/>
          </w:tcPr>
          <w:p>
            <w:pPr>
              <w:rPr>
                <w:sz w:val="2"/>
                <w:szCs w:val="2"/>
              </w:rPr>
            </w:pPr>
          </w:p>
        </w:tc>
        <w:tc>
          <w:tcPr>
            <w:tcW w:w="1459" w:type="dxa"/>
            <w:tcBorders>
              <w:top w:val="single" w:sz="8" w:space="0" w:color="000000"/>
              <w:left w:val="nil"/>
              <w:bottom w:val="nil"/>
              <w:right w:val="nil"/>
            </w:tcBorders>
          </w:tcPr>
          <w:p>
            <w:pPr>
              <w:pStyle w:val="TableParagraph"/>
              <w:jc w:val="left"/>
              <w:rPr>
                <w:sz w:val="18"/>
              </w:rPr>
            </w:pPr>
          </w:p>
        </w:tc>
        <w:tc>
          <w:tcPr>
            <w:tcW w:w="2364" w:type="dxa"/>
            <w:tcBorders>
              <w:top w:val="single" w:sz="8" w:space="0" w:color="000000"/>
              <w:left w:val="nil"/>
              <w:bottom w:val="nil"/>
            </w:tcBorders>
          </w:tcPr>
          <w:p>
            <w:pPr>
              <w:pStyle w:val="TableParagraph"/>
              <w:spacing w:line="225" w:lineRule="exact" w:before="6"/>
              <w:ind w:left="82"/>
              <w:jc w:val="left"/>
              <w:rPr>
                <w:b/>
                <w:sz w:val="20"/>
              </w:rPr>
            </w:pPr>
            <w:r>
              <w:rPr>
                <w:b/>
                <w:sz w:val="20"/>
              </w:rPr>
              <w:t>Correlation Coefficient</w:t>
            </w:r>
          </w:p>
        </w:tc>
        <w:tc>
          <w:tcPr>
            <w:tcW w:w="846" w:type="dxa"/>
            <w:tcBorders>
              <w:top w:val="single" w:sz="8" w:space="0" w:color="000000"/>
              <w:bottom w:val="nil"/>
              <w:right w:val="single" w:sz="8" w:space="0" w:color="000000"/>
            </w:tcBorders>
          </w:tcPr>
          <w:p>
            <w:pPr>
              <w:pStyle w:val="TableParagraph"/>
              <w:spacing w:before="2"/>
              <w:ind w:left="130" w:right="21"/>
              <w:rPr>
                <w:sz w:val="20"/>
              </w:rPr>
            </w:pPr>
            <w:r>
              <w:rPr>
                <w:sz w:val="20"/>
              </w:rPr>
              <w:t>,225</w:t>
            </w:r>
          </w:p>
        </w:tc>
        <w:tc>
          <w:tcPr>
            <w:tcW w:w="779" w:type="dxa"/>
            <w:tcBorders>
              <w:top w:val="single" w:sz="8" w:space="0" w:color="000000"/>
              <w:left w:val="single" w:sz="8" w:space="0" w:color="000000"/>
              <w:bottom w:val="nil"/>
              <w:right w:val="single" w:sz="8" w:space="0" w:color="000000"/>
            </w:tcBorders>
          </w:tcPr>
          <w:p>
            <w:pPr>
              <w:pStyle w:val="TableParagraph"/>
              <w:spacing w:before="2"/>
              <w:ind w:right="39"/>
              <w:jc w:val="right"/>
              <w:rPr>
                <w:sz w:val="20"/>
              </w:rPr>
            </w:pPr>
            <w:r>
              <w:rPr>
                <w:sz w:val="20"/>
              </w:rPr>
              <w:t>,478**</w:t>
            </w:r>
          </w:p>
        </w:tc>
        <w:tc>
          <w:tcPr>
            <w:tcW w:w="778" w:type="dxa"/>
            <w:tcBorders>
              <w:top w:val="single" w:sz="8" w:space="0" w:color="000000"/>
              <w:left w:val="single" w:sz="8" w:space="0" w:color="000000"/>
              <w:bottom w:val="nil"/>
              <w:right w:val="single" w:sz="8" w:space="0" w:color="000000"/>
            </w:tcBorders>
          </w:tcPr>
          <w:p>
            <w:pPr>
              <w:pStyle w:val="TableParagraph"/>
              <w:spacing w:before="2"/>
              <w:ind w:left="118"/>
              <w:rPr>
                <w:sz w:val="20"/>
              </w:rPr>
            </w:pPr>
            <w:r>
              <w:rPr>
                <w:sz w:val="20"/>
              </w:rPr>
              <w:t>-,044</w:t>
            </w:r>
          </w:p>
        </w:tc>
        <w:tc>
          <w:tcPr>
            <w:tcW w:w="932" w:type="dxa"/>
            <w:tcBorders>
              <w:top w:val="single" w:sz="8" w:space="0" w:color="000000"/>
              <w:left w:val="single" w:sz="8" w:space="0" w:color="000000"/>
              <w:bottom w:val="nil"/>
              <w:right w:val="single" w:sz="8" w:space="0" w:color="000000"/>
            </w:tcBorders>
          </w:tcPr>
          <w:p>
            <w:pPr>
              <w:pStyle w:val="TableParagraph"/>
              <w:spacing w:before="2"/>
              <w:ind w:left="303"/>
              <w:jc w:val="left"/>
              <w:rPr>
                <w:sz w:val="20"/>
              </w:rPr>
            </w:pPr>
            <w:r>
              <w:rPr>
                <w:sz w:val="20"/>
              </w:rPr>
              <w:t>-,135</w:t>
            </w:r>
          </w:p>
        </w:tc>
        <w:tc>
          <w:tcPr>
            <w:tcW w:w="779" w:type="dxa"/>
            <w:tcBorders>
              <w:top w:val="single" w:sz="8" w:space="0" w:color="000000"/>
              <w:left w:val="single" w:sz="8" w:space="0" w:color="000000"/>
              <w:bottom w:val="nil"/>
            </w:tcBorders>
          </w:tcPr>
          <w:p>
            <w:pPr>
              <w:pStyle w:val="TableParagraph"/>
              <w:spacing w:before="2"/>
              <w:ind w:left="127" w:right="23"/>
              <w:rPr>
                <w:sz w:val="20"/>
              </w:rPr>
            </w:pPr>
            <w:r>
              <w:rPr>
                <w:sz w:val="20"/>
              </w:rPr>
              <w:t>1,000</w:t>
            </w:r>
          </w:p>
        </w:tc>
      </w:tr>
      <w:tr>
        <w:trPr>
          <w:trHeight w:val="259" w:hRule="atLeast"/>
        </w:trPr>
        <w:tc>
          <w:tcPr>
            <w:tcW w:w="1417" w:type="dxa"/>
            <w:vMerge/>
            <w:tcBorders>
              <w:top w:val="nil"/>
              <w:right w:val="nil"/>
            </w:tcBorders>
            <w:textDirection w:val="btLr"/>
          </w:tcPr>
          <w:p>
            <w:pPr>
              <w:rPr>
                <w:sz w:val="2"/>
                <w:szCs w:val="2"/>
              </w:rPr>
            </w:pPr>
          </w:p>
        </w:tc>
        <w:tc>
          <w:tcPr>
            <w:tcW w:w="1459" w:type="dxa"/>
            <w:tcBorders>
              <w:top w:val="nil"/>
              <w:left w:val="nil"/>
              <w:bottom w:val="nil"/>
              <w:right w:val="nil"/>
            </w:tcBorders>
          </w:tcPr>
          <w:p>
            <w:pPr>
              <w:pStyle w:val="TableParagraph"/>
              <w:spacing w:line="227" w:lineRule="exact" w:before="12"/>
              <w:ind w:left="95"/>
              <w:jc w:val="left"/>
              <w:rPr>
                <w:b/>
                <w:sz w:val="20"/>
              </w:rPr>
            </w:pPr>
            <w:r>
              <w:rPr>
                <w:b/>
                <w:sz w:val="20"/>
              </w:rPr>
              <w:t>Service clien</w:t>
            </w:r>
          </w:p>
        </w:tc>
        <w:tc>
          <w:tcPr>
            <w:tcW w:w="2364" w:type="dxa"/>
            <w:tcBorders>
              <w:top w:val="nil"/>
              <w:left w:val="nil"/>
              <w:bottom w:val="nil"/>
            </w:tcBorders>
          </w:tcPr>
          <w:p>
            <w:pPr>
              <w:pStyle w:val="TableParagraph"/>
              <w:spacing w:line="227" w:lineRule="exact" w:before="12"/>
              <w:ind w:left="154"/>
              <w:jc w:val="left"/>
              <w:rPr>
                <w:b/>
                <w:sz w:val="20"/>
              </w:rPr>
            </w:pPr>
            <w:r>
              <w:rPr>
                <w:b/>
                <w:sz w:val="20"/>
              </w:rPr>
              <w:t>Sig. (2-tailed)</w:t>
            </w:r>
          </w:p>
        </w:tc>
        <w:tc>
          <w:tcPr>
            <w:tcW w:w="846" w:type="dxa"/>
            <w:tcBorders>
              <w:top w:val="nil"/>
              <w:bottom w:val="nil"/>
              <w:right w:val="single" w:sz="8" w:space="0" w:color="000000"/>
            </w:tcBorders>
          </w:tcPr>
          <w:p>
            <w:pPr>
              <w:pStyle w:val="TableParagraph"/>
              <w:spacing w:before="7"/>
              <w:ind w:left="130" w:right="21"/>
              <w:rPr>
                <w:sz w:val="20"/>
              </w:rPr>
            </w:pPr>
            <w:r>
              <w:rPr>
                <w:sz w:val="20"/>
              </w:rPr>
              <w:t>,065</w:t>
            </w:r>
          </w:p>
        </w:tc>
        <w:tc>
          <w:tcPr>
            <w:tcW w:w="779" w:type="dxa"/>
            <w:tcBorders>
              <w:top w:val="nil"/>
              <w:left w:val="single" w:sz="8" w:space="0" w:color="000000"/>
              <w:bottom w:val="nil"/>
              <w:right w:val="single" w:sz="8" w:space="0" w:color="000000"/>
            </w:tcBorders>
          </w:tcPr>
          <w:p>
            <w:pPr>
              <w:pStyle w:val="TableParagraph"/>
              <w:spacing w:before="7"/>
              <w:ind w:left="261"/>
              <w:jc w:val="left"/>
              <w:rPr>
                <w:sz w:val="20"/>
              </w:rPr>
            </w:pPr>
            <w:r>
              <w:rPr>
                <w:sz w:val="20"/>
              </w:rPr>
              <w:t>,000</w:t>
            </w:r>
          </w:p>
        </w:tc>
        <w:tc>
          <w:tcPr>
            <w:tcW w:w="778" w:type="dxa"/>
            <w:tcBorders>
              <w:top w:val="nil"/>
              <w:left w:val="single" w:sz="8" w:space="0" w:color="000000"/>
              <w:bottom w:val="nil"/>
              <w:right w:val="single" w:sz="8" w:space="0" w:color="000000"/>
            </w:tcBorders>
          </w:tcPr>
          <w:p>
            <w:pPr>
              <w:pStyle w:val="TableParagraph"/>
              <w:spacing w:before="7"/>
              <w:ind w:left="118"/>
              <w:rPr>
                <w:sz w:val="20"/>
              </w:rPr>
            </w:pPr>
            <w:r>
              <w:rPr>
                <w:sz w:val="20"/>
              </w:rPr>
              <w:t>,745</w:t>
            </w:r>
          </w:p>
        </w:tc>
        <w:tc>
          <w:tcPr>
            <w:tcW w:w="932" w:type="dxa"/>
            <w:tcBorders>
              <w:top w:val="nil"/>
              <w:left w:val="single" w:sz="8" w:space="0" w:color="000000"/>
              <w:bottom w:val="nil"/>
              <w:right w:val="single" w:sz="8" w:space="0" w:color="000000"/>
            </w:tcBorders>
          </w:tcPr>
          <w:p>
            <w:pPr>
              <w:pStyle w:val="TableParagraph"/>
              <w:spacing w:before="7"/>
              <w:ind w:left="337"/>
              <w:jc w:val="left"/>
              <w:rPr>
                <w:sz w:val="20"/>
              </w:rPr>
            </w:pPr>
            <w:r>
              <w:rPr>
                <w:sz w:val="20"/>
              </w:rPr>
              <w:t>,274</w:t>
            </w:r>
          </w:p>
        </w:tc>
        <w:tc>
          <w:tcPr>
            <w:tcW w:w="779" w:type="dxa"/>
            <w:tcBorders>
              <w:top w:val="nil"/>
              <w:left w:val="single" w:sz="8" w:space="0" w:color="000000"/>
              <w:bottom w:val="nil"/>
            </w:tcBorders>
          </w:tcPr>
          <w:p>
            <w:pPr>
              <w:pStyle w:val="TableParagraph"/>
              <w:spacing w:before="7"/>
              <w:ind w:left="102"/>
              <w:rPr>
                <w:sz w:val="20"/>
              </w:rPr>
            </w:pPr>
            <w:r>
              <w:rPr>
                <w:w w:val="100"/>
                <w:sz w:val="20"/>
              </w:rPr>
              <w:t>.</w:t>
            </w:r>
          </w:p>
        </w:tc>
      </w:tr>
      <w:tr>
        <w:trPr>
          <w:trHeight w:val="275" w:hRule="atLeast"/>
        </w:trPr>
        <w:tc>
          <w:tcPr>
            <w:tcW w:w="1417" w:type="dxa"/>
            <w:vMerge/>
            <w:tcBorders>
              <w:top w:val="nil"/>
              <w:right w:val="nil"/>
            </w:tcBorders>
            <w:textDirection w:val="btLr"/>
          </w:tcPr>
          <w:p>
            <w:pPr>
              <w:rPr>
                <w:sz w:val="2"/>
                <w:szCs w:val="2"/>
              </w:rPr>
            </w:pPr>
          </w:p>
        </w:tc>
        <w:tc>
          <w:tcPr>
            <w:tcW w:w="1459" w:type="dxa"/>
            <w:tcBorders>
              <w:top w:val="nil"/>
              <w:left w:val="nil"/>
              <w:right w:val="nil"/>
            </w:tcBorders>
          </w:tcPr>
          <w:p>
            <w:pPr>
              <w:pStyle w:val="TableParagraph"/>
              <w:jc w:val="left"/>
              <w:rPr>
                <w:sz w:val="20"/>
              </w:rPr>
            </w:pPr>
          </w:p>
        </w:tc>
        <w:tc>
          <w:tcPr>
            <w:tcW w:w="2364" w:type="dxa"/>
            <w:tcBorders>
              <w:top w:val="nil"/>
              <w:left w:val="nil"/>
            </w:tcBorders>
          </w:tcPr>
          <w:p>
            <w:pPr>
              <w:pStyle w:val="TableParagraph"/>
              <w:spacing w:before="15"/>
              <w:ind w:left="154"/>
              <w:jc w:val="left"/>
              <w:rPr>
                <w:b/>
                <w:sz w:val="20"/>
              </w:rPr>
            </w:pPr>
            <w:r>
              <w:rPr>
                <w:b/>
                <w:w w:val="100"/>
                <w:sz w:val="20"/>
              </w:rPr>
              <w:t>N</w:t>
            </w:r>
          </w:p>
        </w:tc>
        <w:tc>
          <w:tcPr>
            <w:tcW w:w="846" w:type="dxa"/>
            <w:tcBorders>
              <w:top w:val="nil"/>
              <w:right w:val="single" w:sz="8" w:space="0" w:color="000000"/>
            </w:tcBorders>
          </w:tcPr>
          <w:p>
            <w:pPr>
              <w:pStyle w:val="TableParagraph"/>
              <w:spacing w:before="10"/>
              <w:ind w:left="125" w:right="26"/>
              <w:rPr>
                <w:sz w:val="20"/>
              </w:rPr>
            </w:pPr>
            <w:r>
              <w:rPr>
                <w:sz w:val="20"/>
              </w:rPr>
              <w:t>68</w:t>
            </w:r>
          </w:p>
        </w:tc>
        <w:tc>
          <w:tcPr>
            <w:tcW w:w="779" w:type="dxa"/>
            <w:tcBorders>
              <w:top w:val="nil"/>
              <w:left w:val="single" w:sz="8" w:space="0" w:color="000000"/>
              <w:right w:val="single" w:sz="8" w:space="0" w:color="000000"/>
            </w:tcBorders>
          </w:tcPr>
          <w:p>
            <w:pPr>
              <w:pStyle w:val="TableParagraph"/>
              <w:spacing w:before="10"/>
              <w:ind w:left="333"/>
              <w:jc w:val="left"/>
              <w:rPr>
                <w:sz w:val="20"/>
              </w:rPr>
            </w:pPr>
            <w:r>
              <w:rPr>
                <w:sz w:val="20"/>
              </w:rPr>
              <w:t>68</w:t>
            </w:r>
          </w:p>
        </w:tc>
        <w:tc>
          <w:tcPr>
            <w:tcW w:w="778" w:type="dxa"/>
            <w:tcBorders>
              <w:top w:val="nil"/>
              <w:left w:val="single" w:sz="8" w:space="0" w:color="000000"/>
              <w:right w:val="single" w:sz="8" w:space="0" w:color="000000"/>
            </w:tcBorders>
          </w:tcPr>
          <w:p>
            <w:pPr>
              <w:pStyle w:val="TableParagraph"/>
              <w:spacing w:before="10"/>
              <w:ind w:left="109"/>
              <w:rPr>
                <w:sz w:val="20"/>
              </w:rPr>
            </w:pPr>
            <w:r>
              <w:rPr>
                <w:sz w:val="20"/>
              </w:rPr>
              <w:t>58</w:t>
            </w:r>
          </w:p>
        </w:tc>
        <w:tc>
          <w:tcPr>
            <w:tcW w:w="932" w:type="dxa"/>
            <w:tcBorders>
              <w:top w:val="nil"/>
              <w:left w:val="single" w:sz="8" w:space="0" w:color="000000"/>
              <w:right w:val="single" w:sz="8" w:space="0" w:color="000000"/>
            </w:tcBorders>
          </w:tcPr>
          <w:p>
            <w:pPr>
              <w:pStyle w:val="TableParagraph"/>
              <w:spacing w:before="10"/>
              <w:ind w:left="409"/>
              <w:jc w:val="left"/>
              <w:rPr>
                <w:sz w:val="20"/>
              </w:rPr>
            </w:pPr>
            <w:r>
              <w:rPr>
                <w:sz w:val="20"/>
              </w:rPr>
              <w:t>68</w:t>
            </w:r>
          </w:p>
        </w:tc>
        <w:tc>
          <w:tcPr>
            <w:tcW w:w="779" w:type="dxa"/>
            <w:tcBorders>
              <w:top w:val="nil"/>
              <w:left w:val="single" w:sz="8" w:space="0" w:color="000000"/>
            </w:tcBorders>
          </w:tcPr>
          <w:p>
            <w:pPr>
              <w:pStyle w:val="TableParagraph"/>
              <w:spacing w:before="10"/>
              <w:ind w:left="122" w:right="23"/>
              <w:rPr>
                <w:sz w:val="20"/>
              </w:rPr>
            </w:pPr>
            <w:r>
              <w:rPr>
                <w:sz w:val="20"/>
              </w:rPr>
              <w:t>68</w:t>
            </w:r>
          </w:p>
        </w:tc>
      </w:tr>
    </w:tbl>
    <w:p>
      <w:pPr>
        <w:spacing w:before="0"/>
        <w:ind w:left="699" w:right="0" w:firstLine="0"/>
        <w:jc w:val="left"/>
        <w:rPr>
          <w:b/>
          <w:sz w:val="20"/>
        </w:rPr>
      </w:pPr>
      <w:r>
        <w:rPr>
          <w:b/>
          <w:sz w:val="20"/>
        </w:rPr>
        <w:t>**. Correlation is significant at the 0.01 level (2-tailed).</w:t>
      </w:r>
    </w:p>
    <w:p>
      <w:pPr>
        <w:pStyle w:val="BodyText"/>
        <w:rPr>
          <w:b/>
          <w:sz w:val="22"/>
        </w:rPr>
      </w:pPr>
    </w:p>
    <w:p>
      <w:pPr>
        <w:pStyle w:val="BodyText"/>
        <w:spacing w:before="138"/>
        <w:ind w:left="825" w:right="445"/>
        <w:jc w:val="center"/>
      </w:pPr>
      <w:r>
        <w:rPr>
          <w:b/>
        </w:rPr>
        <w:t>Source : </w:t>
      </w:r>
      <w:r>
        <w:rPr/>
        <w:t>élaboré par nous-même sur la base des outputs SPSS</w:t>
      </w:r>
    </w:p>
    <w:p>
      <w:pPr>
        <w:pStyle w:val="BodyText"/>
        <w:spacing w:before="8"/>
        <w:rPr>
          <w:sz w:val="25"/>
        </w:rPr>
      </w:pPr>
    </w:p>
    <w:p>
      <w:pPr>
        <w:pStyle w:val="BodyText"/>
        <w:spacing w:line="362" w:lineRule="auto"/>
        <w:ind w:left="699" w:right="307" w:firstLine="360"/>
        <w:jc w:val="both"/>
      </w:pPr>
      <w:r>
        <w:rPr/>
        <w:t>À travers ce tableau, l’analyse de corrélation de Spearman rho montre que </w:t>
      </w:r>
      <w:r>
        <w:rPr>
          <w:spacing w:val="-5"/>
        </w:rPr>
        <w:t>la </w:t>
      </w:r>
      <w:r>
        <w:rPr/>
        <w:t>satisfaction des utilisateurs de l’application BaridiMob dépend principalement de </w:t>
      </w:r>
      <w:r>
        <w:rPr>
          <w:spacing w:val="-3"/>
        </w:rPr>
        <w:t>leur </w:t>
      </w:r>
      <w:r>
        <w:rPr/>
        <w:t>sentiment de sécurité. En effet,</w:t>
      </w:r>
      <w:r>
        <w:rPr>
          <w:spacing w:val="-9"/>
        </w:rPr>
        <w:t> </w:t>
      </w:r>
      <w:r>
        <w:rPr>
          <w:spacing w:val="-3"/>
        </w:rPr>
        <w:t>il</w:t>
      </w:r>
      <w:r>
        <w:rPr>
          <w:spacing w:val="-15"/>
        </w:rPr>
        <w:t> </w:t>
      </w:r>
      <w:r>
        <w:rPr/>
        <w:t>existe</w:t>
      </w:r>
      <w:r>
        <w:rPr>
          <w:spacing w:val="-7"/>
        </w:rPr>
        <w:t> </w:t>
      </w:r>
      <w:r>
        <w:rPr/>
        <w:t>une</w:t>
      </w:r>
      <w:r>
        <w:rPr>
          <w:spacing w:val="-7"/>
        </w:rPr>
        <w:t> </w:t>
      </w:r>
      <w:r>
        <w:rPr/>
        <w:t>relation</w:t>
      </w:r>
      <w:r>
        <w:rPr>
          <w:spacing w:val="-11"/>
        </w:rPr>
        <w:t> </w:t>
      </w:r>
      <w:r>
        <w:rPr/>
        <w:t>positive</w:t>
      </w:r>
      <w:r>
        <w:rPr>
          <w:spacing w:val="-8"/>
        </w:rPr>
        <w:t> </w:t>
      </w:r>
      <w:r>
        <w:rPr/>
        <w:t>et</w:t>
      </w:r>
      <w:r>
        <w:rPr>
          <w:spacing w:val="-2"/>
        </w:rPr>
        <w:t> </w:t>
      </w:r>
      <w:r>
        <w:rPr/>
        <w:t>significative</w:t>
      </w:r>
      <w:r>
        <w:rPr>
          <w:spacing w:val="-7"/>
        </w:rPr>
        <w:t> </w:t>
      </w:r>
      <w:r>
        <w:rPr/>
        <w:t>entre</w:t>
      </w:r>
      <w:r>
        <w:rPr>
          <w:spacing w:val="-7"/>
        </w:rPr>
        <w:t> </w:t>
      </w:r>
      <w:r>
        <w:rPr>
          <w:spacing w:val="-5"/>
        </w:rPr>
        <w:t>la</w:t>
      </w:r>
      <w:r>
        <w:rPr>
          <w:spacing w:val="-8"/>
        </w:rPr>
        <w:t> </w:t>
      </w:r>
      <w:r>
        <w:rPr/>
        <w:t>satisfaction</w:t>
      </w:r>
      <w:r>
        <w:rPr>
          <w:spacing w:val="-11"/>
        </w:rPr>
        <w:t> </w:t>
      </w:r>
      <w:r>
        <w:rPr/>
        <w:t>et</w:t>
      </w:r>
      <w:r>
        <w:rPr>
          <w:spacing w:val="-5"/>
        </w:rPr>
        <w:t> la</w:t>
      </w:r>
      <w:r>
        <w:rPr>
          <w:spacing w:val="-8"/>
        </w:rPr>
        <w:t> </w:t>
      </w:r>
      <w:r>
        <w:rPr/>
        <w:t>sécurité</w:t>
      </w:r>
      <w:r>
        <w:rPr>
          <w:spacing w:val="2"/>
        </w:rPr>
        <w:t> </w:t>
      </w:r>
      <w:r>
        <w:rPr>
          <w:b/>
        </w:rPr>
        <w:t>(coefficient</w:t>
      </w:r>
      <w:r>
        <w:rPr>
          <w:b/>
          <w:spacing w:val="-4"/>
        </w:rPr>
        <w:t> </w:t>
      </w:r>
      <w:r>
        <w:rPr>
          <w:b/>
        </w:rPr>
        <w:t>de corrélation de Spearman = 0,447, p &lt; 0,001). </w:t>
      </w:r>
      <w:r>
        <w:rPr>
          <w:spacing w:val="-3"/>
        </w:rPr>
        <w:t>Cela </w:t>
      </w:r>
      <w:r>
        <w:rPr/>
        <w:t>veut </w:t>
      </w:r>
      <w:r>
        <w:rPr>
          <w:spacing w:val="-3"/>
        </w:rPr>
        <w:t>dire </w:t>
      </w:r>
      <w:r>
        <w:rPr/>
        <w:t>que plus les utilisateurs se sentent en sécurité en utilisant l’application, plus </w:t>
      </w:r>
      <w:r>
        <w:rPr>
          <w:spacing w:val="-4"/>
        </w:rPr>
        <w:t>ils </w:t>
      </w:r>
      <w:r>
        <w:rPr/>
        <w:t>sont</w:t>
      </w:r>
      <w:r>
        <w:rPr>
          <w:spacing w:val="19"/>
        </w:rPr>
        <w:t> </w:t>
      </w:r>
      <w:r>
        <w:rPr/>
        <w:t>satisfaits.</w:t>
      </w:r>
    </w:p>
    <w:p>
      <w:pPr>
        <w:pStyle w:val="BodyText"/>
        <w:spacing w:line="360" w:lineRule="auto" w:before="149"/>
        <w:ind w:left="699" w:right="310" w:firstLine="360"/>
        <w:jc w:val="both"/>
      </w:pPr>
      <w:r>
        <w:rPr/>
        <w:t>Par ailleurs, </w:t>
      </w:r>
      <w:r>
        <w:rPr>
          <w:spacing w:val="-4"/>
        </w:rPr>
        <w:t>les </w:t>
      </w:r>
      <w:r>
        <w:rPr/>
        <w:t>bugs </w:t>
      </w:r>
      <w:r>
        <w:rPr>
          <w:b/>
        </w:rPr>
        <w:t>(ρ = –0,202, p &lt; 0,001) </w:t>
      </w:r>
      <w:r>
        <w:rPr>
          <w:spacing w:val="-3"/>
        </w:rPr>
        <w:t>et </w:t>
      </w:r>
      <w:r>
        <w:rPr/>
        <w:t>l’indisponibilité du service </w:t>
      </w:r>
      <w:r>
        <w:rPr>
          <w:b/>
        </w:rPr>
        <w:t>(ρ = –0,290, p &lt; 0,001)</w:t>
      </w:r>
      <w:r>
        <w:rPr>
          <w:b/>
          <w:spacing w:val="-15"/>
        </w:rPr>
        <w:t> </w:t>
      </w:r>
      <w:r>
        <w:rPr/>
        <w:t>ont</w:t>
      </w:r>
      <w:r>
        <w:rPr>
          <w:spacing w:val="-8"/>
        </w:rPr>
        <w:t> </w:t>
      </w:r>
      <w:r>
        <w:rPr/>
        <w:t>une</w:t>
      </w:r>
      <w:r>
        <w:rPr>
          <w:spacing w:val="-9"/>
        </w:rPr>
        <w:t> </w:t>
      </w:r>
      <w:r>
        <w:rPr/>
        <w:t>influence</w:t>
      </w:r>
      <w:r>
        <w:rPr>
          <w:spacing w:val="-13"/>
        </w:rPr>
        <w:t> </w:t>
      </w:r>
      <w:r>
        <w:rPr/>
        <w:t>négative</w:t>
      </w:r>
      <w:r>
        <w:rPr>
          <w:spacing w:val="-14"/>
        </w:rPr>
        <w:t> </w:t>
      </w:r>
      <w:r>
        <w:rPr/>
        <w:t>sur</w:t>
      </w:r>
      <w:r>
        <w:rPr>
          <w:spacing w:val="-6"/>
        </w:rPr>
        <w:t> </w:t>
      </w:r>
      <w:r>
        <w:rPr>
          <w:spacing w:val="-3"/>
        </w:rPr>
        <w:t>la</w:t>
      </w:r>
      <w:r>
        <w:rPr>
          <w:spacing w:val="-13"/>
        </w:rPr>
        <w:t> </w:t>
      </w:r>
      <w:r>
        <w:rPr/>
        <w:t>satisfaction.</w:t>
      </w:r>
      <w:r>
        <w:rPr>
          <w:spacing w:val="-11"/>
        </w:rPr>
        <w:t> </w:t>
      </w:r>
      <w:r>
        <w:rPr/>
        <w:t>Autrement</w:t>
      </w:r>
      <w:r>
        <w:rPr>
          <w:spacing w:val="-8"/>
        </w:rPr>
        <w:t> </w:t>
      </w:r>
      <w:r>
        <w:rPr/>
        <w:t>dit,</w:t>
      </w:r>
      <w:r>
        <w:rPr>
          <w:spacing w:val="-11"/>
        </w:rPr>
        <w:t> </w:t>
      </w:r>
      <w:r>
        <w:rPr>
          <w:spacing w:val="-3"/>
        </w:rPr>
        <w:t>plus</w:t>
      </w:r>
      <w:r>
        <w:rPr>
          <w:spacing w:val="-10"/>
        </w:rPr>
        <w:t> </w:t>
      </w:r>
      <w:r>
        <w:rPr/>
        <w:t>les</w:t>
      </w:r>
      <w:r>
        <w:rPr>
          <w:spacing w:val="-14"/>
        </w:rPr>
        <w:t> </w:t>
      </w:r>
      <w:r>
        <w:rPr/>
        <w:t>utilisateurs</w:t>
      </w:r>
      <w:r>
        <w:rPr>
          <w:spacing w:val="-15"/>
        </w:rPr>
        <w:t> </w:t>
      </w:r>
      <w:r>
        <w:rPr/>
        <w:t>rencontrent de bugs ou des indisponibilités de service, moins ils sont satisfaits de l’application. </w:t>
      </w:r>
      <w:r>
        <w:rPr>
          <w:spacing w:val="-3"/>
        </w:rPr>
        <w:t>Même </w:t>
      </w:r>
      <w:r>
        <w:rPr/>
        <w:t>si ces corrélations sont plus faibles, elles sont tout de </w:t>
      </w:r>
      <w:r>
        <w:rPr>
          <w:spacing w:val="-3"/>
        </w:rPr>
        <w:t>même</w:t>
      </w:r>
      <w:r>
        <w:rPr>
          <w:spacing w:val="14"/>
        </w:rPr>
        <w:t> </w:t>
      </w:r>
      <w:r>
        <w:rPr/>
        <w:t>significatives.</w:t>
      </w:r>
    </w:p>
    <w:p>
      <w:pPr>
        <w:pStyle w:val="BodyText"/>
        <w:spacing w:line="360" w:lineRule="auto" w:before="159"/>
        <w:ind w:left="699" w:right="303" w:firstLine="360"/>
        <w:jc w:val="both"/>
      </w:pPr>
      <w:r>
        <w:rPr/>
        <w:t>Il existe aussi une relation positive entre la satisfaction et le service client </w:t>
      </w:r>
      <w:r>
        <w:rPr>
          <w:b/>
        </w:rPr>
        <w:t>(ρ = 0,225)</w:t>
      </w:r>
      <w:r>
        <w:rPr/>
        <w:t>, ce qui pourrait indiquer que les utilisateurs sont plus satisfaits quand le service client est efficace.</w:t>
      </w:r>
    </w:p>
    <w:p>
      <w:pPr>
        <w:spacing w:after="0" w:line="360" w:lineRule="auto"/>
        <w:jc w:val="both"/>
        <w:sectPr>
          <w:pgSz w:w="12240" w:h="15840"/>
          <w:pgMar w:header="723" w:footer="850" w:top="1080" w:bottom="1040" w:left="1000" w:right="820"/>
        </w:sectPr>
      </w:pPr>
    </w:p>
    <w:p>
      <w:pPr>
        <w:pStyle w:val="BodyText"/>
        <w:spacing w:before="6"/>
        <w:rPr>
          <w:sz w:val="19"/>
        </w:rPr>
      </w:pPr>
    </w:p>
    <w:p>
      <w:pPr>
        <w:pStyle w:val="BodyText"/>
        <w:spacing w:line="367" w:lineRule="auto" w:before="90"/>
        <w:ind w:left="699" w:right="314"/>
        <w:jc w:val="both"/>
      </w:pPr>
      <w:r>
        <w:rPr/>
        <w:t>Cependant,</w:t>
      </w:r>
      <w:r>
        <w:rPr>
          <w:spacing w:val="-4"/>
        </w:rPr>
        <w:t> </w:t>
      </w:r>
      <w:r>
        <w:rPr/>
        <w:t>cette</w:t>
      </w:r>
      <w:r>
        <w:rPr>
          <w:spacing w:val="-12"/>
        </w:rPr>
        <w:t> </w:t>
      </w:r>
      <w:r>
        <w:rPr/>
        <w:t>relation n’est</w:t>
      </w:r>
      <w:r>
        <w:rPr>
          <w:spacing w:val="3"/>
        </w:rPr>
        <w:t> </w:t>
      </w:r>
      <w:r>
        <w:rPr/>
        <w:t>pas</w:t>
      </w:r>
      <w:r>
        <w:rPr>
          <w:spacing w:val="-7"/>
        </w:rPr>
        <w:t> </w:t>
      </w:r>
      <w:r>
        <w:rPr/>
        <w:t>statistiquement</w:t>
      </w:r>
      <w:r>
        <w:rPr>
          <w:spacing w:val="-1"/>
        </w:rPr>
        <w:t> </w:t>
      </w:r>
      <w:r>
        <w:rPr/>
        <w:t>significative</w:t>
      </w:r>
      <w:r>
        <w:rPr>
          <w:spacing w:val="-1"/>
        </w:rPr>
        <w:t> </w:t>
      </w:r>
      <w:r>
        <w:rPr>
          <w:b/>
        </w:rPr>
        <w:t>(p</w:t>
      </w:r>
      <w:r>
        <w:rPr>
          <w:b/>
          <w:spacing w:val="-1"/>
        </w:rPr>
        <w:t> </w:t>
      </w:r>
      <w:r>
        <w:rPr>
          <w:b/>
        </w:rPr>
        <w:t>=</w:t>
      </w:r>
      <w:r>
        <w:rPr>
          <w:b/>
          <w:spacing w:val="-8"/>
        </w:rPr>
        <w:t> </w:t>
      </w:r>
      <w:r>
        <w:rPr>
          <w:b/>
        </w:rPr>
        <w:t>0,065)</w:t>
      </w:r>
      <w:r>
        <w:rPr/>
        <w:t>,</w:t>
      </w:r>
      <w:r>
        <w:rPr>
          <w:spacing w:val="-4"/>
        </w:rPr>
        <w:t> </w:t>
      </w:r>
      <w:r>
        <w:rPr/>
        <w:t>ce</w:t>
      </w:r>
      <w:r>
        <w:rPr>
          <w:spacing w:val="-7"/>
        </w:rPr>
        <w:t> </w:t>
      </w:r>
      <w:r>
        <w:rPr/>
        <w:t>qui</w:t>
      </w:r>
      <w:r>
        <w:rPr>
          <w:spacing w:val="-9"/>
        </w:rPr>
        <w:t> </w:t>
      </w:r>
      <w:r>
        <w:rPr/>
        <w:t>veut</w:t>
      </w:r>
      <w:r>
        <w:rPr>
          <w:spacing w:val="4"/>
        </w:rPr>
        <w:t> </w:t>
      </w:r>
      <w:r>
        <w:rPr>
          <w:spacing w:val="-3"/>
        </w:rPr>
        <w:t>dire</w:t>
      </w:r>
      <w:r>
        <w:rPr>
          <w:spacing w:val="-2"/>
        </w:rPr>
        <w:t> </w:t>
      </w:r>
      <w:r>
        <w:rPr/>
        <w:t>qu’on </w:t>
      </w:r>
      <w:r>
        <w:rPr>
          <w:spacing w:val="-3"/>
        </w:rPr>
        <w:t>ne</w:t>
      </w:r>
      <w:r>
        <w:rPr>
          <w:spacing w:val="-12"/>
        </w:rPr>
        <w:t> </w:t>
      </w:r>
      <w:r>
        <w:rPr/>
        <w:t>peut</w:t>
      </w:r>
      <w:r>
        <w:rPr>
          <w:spacing w:val="-9"/>
        </w:rPr>
        <w:t> </w:t>
      </w:r>
      <w:r>
        <w:rPr/>
        <w:t>pas</w:t>
      </w:r>
      <w:r>
        <w:rPr>
          <w:spacing w:val="-12"/>
        </w:rPr>
        <w:t> </w:t>
      </w:r>
      <w:r>
        <w:rPr/>
        <w:t>être</w:t>
      </w:r>
      <w:r>
        <w:rPr>
          <w:spacing w:val="-15"/>
        </w:rPr>
        <w:t> </w:t>
      </w:r>
      <w:r>
        <w:rPr/>
        <w:t>sûr</w:t>
      </w:r>
      <w:r>
        <w:rPr>
          <w:spacing w:val="-13"/>
        </w:rPr>
        <w:t> </w:t>
      </w:r>
      <w:r>
        <w:rPr/>
        <w:t>à</w:t>
      </w:r>
      <w:r>
        <w:rPr>
          <w:spacing w:val="-14"/>
        </w:rPr>
        <w:t> </w:t>
      </w:r>
      <w:r>
        <w:rPr>
          <w:b/>
        </w:rPr>
        <w:t>100</w:t>
      </w:r>
      <w:r>
        <w:rPr>
          <w:b/>
          <w:spacing w:val="-14"/>
        </w:rPr>
        <w:t> </w:t>
      </w:r>
      <w:r>
        <w:rPr>
          <w:b/>
        </w:rPr>
        <w:t>%</w:t>
      </w:r>
      <w:r>
        <w:rPr>
          <w:b/>
          <w:spacing w:val="-14"/>
        </w:rPr>
        <w:t> </w:t>
      </w:r>
      <w:r>
        <w:rPr/>
        <w:t>que</w:t>
      </w:r>
      <w:r>
        <w:rPr>
          <w:spacing w:val="-15"/>
        </w:rPr>
        <w:t> </w:t>
      </w:r>
      <w:r>
        <w:rPr/>
        <w:t>cette</w:t>
      </w:r>
      <w:r>
        <w:rPr>
          <w:spacing w:val="-15"/>
        </w:rPr>
        <w:t> </w:t>
      </w:r>
      <w:r>
        <w:rPr/>
        <w:t>variable</w:t>
      </w:r>
      <w:r>
        <w:rPr>
          <w:spacing w:val="-11"/>
        </w:rPr>
        <w:t> </w:t>
      </w:r>
      <w:r>
        <w:rPr/>
        <w:t>a</w:t>
      </w:r>
      <w:r>
        <w:rPr>
          <w:spacing w:val="-11"/>
        </w:rPr>
        <w:t> </w:t>
      </w:r>
      <w:r>
        <w:rPr/>
        <w:t>un</w:t>
      </w:r>
      <w:r>
        <w:rPr>
          <w:spacing w:val="-19"/>
        </w:rPr>
        <w:t> </w:t>
      </w:r>
      <w:r>
        <w:rPr/>
        <w:t>réel</w:t>
      </w:r>
      <w:r>
        <w:rPr>
          <w:spacing w:val="-18"/>
        </w:rPr>
        <w:t> </w:t>
      </w:r>
      <w:r>
        <w:rPr/>
        <w:t>effet</w:t>
      </w:r>
      <w:r>
        <w:rPr>
          <w:spacing w:val="-6"/>
        </w:rPr>
        <w:t> </w:t>
      </w:r>
      <w:r>
        <w:rPr/>
        <w:t>sur</w:t>
      </w:r>
      <w:r>
        <w:rPr>
          <w:spacing w:val="-13"/>
        </w:rPr>
        <w:t> </w:t>
      </w:r>
      <w:r>
        <w:rPr>
          <w:spacing w:val="-5"/>
        </w:rPr>
        <w:t>la</w:t>
      </w:r>
      <w:r>
        <w:rPr>
          <w:spacing w:val="-11"/>
        </w:rPr>
        <w:t> </w:t>
      </w:r>
      <w:r>
        <w:rPr/>
        <w:t>satisfaction</w:t>
      </w:r>
      <w:r>
        <w:rPr>
          <w:spacing w:val="-14"/>
        </w:rPr>
        <w:t> </w:t>
      </w:r>
      <w:r>
        <w:rPr/>
        <w:t>dans</w:t>
      </w:r>
      <w:r>
        <w:rPr>
          <w:spacing w:val="-12"/>
        </w:rPr>
        <w:t> </w:t>
      </w:r>
      <w:r>
        <w:rPr/>
        <w:t>cet</w:t>
      </w:r>
      <w:r>
        <w:rPr>
          <w:spacing w:val="-9"/>
        </w:rPr>
        <w:t> </w:t>
      </w:r>
      <w:r>
        <w:rPr/>
        <w:t>échantillon.</w:t>
      </w:r>
    </w:p>
    <w:p>
      <w:pPr>
        <w:pStyle w:val="Heading5"/>
        <w:numPr>
          <w:ilvl w:val="1"/>
          <w:numId w:val="28"/>
        </w:numPr>
        <w:tabs>
          <w:tab w:pos="1421" w:val="left" w:leader="none"/>
        </w:tabs>
        <w:spacing w:line="240" w:lineRule="auto" w:before="156" w:after="0"/>
        <w:ind w:left="1420" w:right="0" w:hanging="361"/>
        <w:jc w:val="both"/>
      </w:pPr>
      <w:r>
        <w:rPr/>
        <w:t>Analyse de </w:t>
      </w:r>
      <w:r>
        <w:rPr>
          <w:spacing w:val="-3"/>
        </w:rPr>
        <w:t>la </w:t>
      </w:r>
      <w:r>
        <w:rPr/>
        <w:t>régression linéaire</w:t>
      </w:r>
      <w:r>
        <w:rPr>
          <w:spacing w:val="21"/>
        </w:rPr>
        <w:t> </w:t>
      </w:r>
      <w:r>
        <w:rPr/>
        <w:t>:</w:t>
      </w:r>
    </w:p>
    <w:p>
      <w:pPr>
        <w:pStyle w:val="BodyText"/>
        <w:spacing w:line="360" w:lineRule="auto" w:before="194"/>
        <w:ind w:left="699" w:right="314" w:firstLine="360"/>
        <w:jc w:val="both"/>
      </w:pPr>
      <w:r>
        <w:rPr/>
        <w:t>Dans le cadre de notre analyse, la satisfaction globale des utilisateurs de l’application BaridiMob a été considérée comme la variable dépendante, tandis que les sentiments de sécurité, la disponibilité du service, l’évaluation des bugs et le service client comme variables indépendantes. Une analyse de régression linéaire, effectuée à l’aide de SPSS, nous a permis d’étudier les liens entre ces dimensions et de déterminer plus précisément dans quelle mesure la protection des données personnelles influence la satisfaction des utilisateurs de BaridiMob.</w:t>
      </w:r>
    </w:p>
    <w:p>
      <w:pPr>
        <w:pStyle w:val="BodyText"/>
        <w:spacing w:before="161"/>
        <w:ind w:left="699"/>
        <w:jc w:val="both"/>
      </w:pPr>
      <w:bookmarkStart w:name="_bookmark71" w:id="265"/>
      <w:bookmarkEnd w:id="265"/>
      <w:r>
        <w:rPr/>
      </w:r>
      <w:r>
        <w:rPr>
          <w:b/>
          <w:color w:val="44536A"/>
        </w:rPr>
        <w:t>Tableau 35 : </w:t>
      </w:r>
      <w:r>
        <w:rPr>
          <w:color w:val="44536A"/>
        </w:rPr>
        <w:t>Modèle de régression linéaire sur la satisfaction des utilisateurs de BaridiMob</w:t>
      </w:r>
    </w:p>
    <w:p>
      <w:pPr>
        <w:spacing w:before="209"/>
        <w:ind w:left="1405" w:right="0" w:firstLine="0"/>
        <w:jc w:val="left"/>
        <w:rPr>
          <w:b/>
          <w:sz w:val="22"/>
        </w:rPr>
      </w:pPr>
      <w:r>
        <w:rPr>
          <w:b/>
          <w:sz w:val="22"/>
        </w:rPr>
        <w:t>Model Summary</w:t>
      </w:r>
    </w:p>
    <w:p>
      <w:pPr>
        <w:pStyle w:val="BodyText"/>
        <w:spacing w:before="10"/>
        <w:rPr>
          <w:b/>
          <w:sz w:val="10"/>
        </w:rPr>
      </w:pPr>
    </w:p>
    <w:tbl>
      <w:tblPr>
        <w:tblW w:w="0" w:type="auto"/>
        <w:jc w:val="left"/>
        <w:tblInd w:w="72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239"/>
        <w:gridCol w:w="1604"/>
        <w:gridCol w:w="1699"/>
        <w:gridCol w:w="2295"/>
        <w:gridCol w:w="2299"/>
      </w:tblGrid>
      <w:tr>
        <w:trPr>
          <w:trHeight w:val="439" w:hRule="atLeast"/>
        </w:trPr>
        <w:tc>
          <w:tcPr>
            <w:tcW w:w="1239" w:type="dxa"/>
          </w:tcPr>
          <w:p>
            <w:pPr>
              <w:pStyle w:val="TableParagraph"/>
              <w:spacing w:before="89"/>
              <w:ind w:left="313" w:right="266"/>
              <w:rPr>
                <w:sz w:val="22"/>
              </w:rPr>
            </w:pPr>
            <w:r>
              <w:rPr>
                <w:sz w:val="22"/>
              </w:rPr>
              <w:t>Model</w:t>
            </w:r>
          </w:p>
        </w:tc>
        <w:tc>
          <w:tcPr>
            <w:tcW w:w="1604" w:type="dxa"/>
            <w:tcBorders>
              <w:right w:val="single" w:sz="8" w:space="0" w:color="000000"/>
            </w:tcBorders>
          </w:tcPr>
          <w:p>
            <w:pPr>
              <w:pStyle w:val="TableParagraph"/>
              <w:spacing w:before="89"/>
              <w:ind w:left="38"/>
              <w:rPr>
                <w:sz w:val="22"/>
              </w:rPr>
            </w:pPr>
            <w:r>
              <w:rPr>
                <w:w w:val="100"/>
                <w:sz w:val="22"/>
              </w:rPr>
              <w:t>R</w:t>
            </w:r>
          </w:p>
        </w:tc>
        <w:tc>
          <w:tcPr>
            <w:tcW w:w="1699" w:type="dxa"/>
            <w:tcBorders>
              <w:left w:val="single" w:sz="8" w:space="0" w:color="000000"/>
              <w:right w:val="single" w:sz="8" w:space="0" w:color="000000"/>
            </w:tcBorders>
          </w:tcPr>
          <w:p>
            <w:pPr>
              <w:pStyle w:val="TableParagraph"/>
              <w:spacing w:before="89"/>
              <w:ind w:left="432" w:right="393"/>
              <w:rPr>
                <w:sz w:val="22"/>
              </w:rPr>
            </w:pPr>
            <w:r>
              <w:rPr>
                <w:sz w:val="22"/>
              </w:rPr>
              <w:t>R Square</w:t>
            </w:r>
          </w:p>
        </w:tc>
        <w:tc>
          <w:tcPr>
            <w:tcW w:w="2295" w:type="dxa"/>
            <w:tcBorders>
              <w:left w:val="single" w:sz="8" w:space="0" w:color="000000"/>
              <w:right w:val="single" w:sz="8" w:space="0" w:color="000000"/>
            </w:tcBorders>
          </w:tcPr>
          <w:p>
            <w:pPr>
              <w:pStyle w:val="TableParagraph"/>
              <w:spacing w:before="89"/>
              <w:ind w:left="308" w:right="264"/>
              <w:rPr>
                <w:sz w:val="22"/>
              </w:rPr>
            </w:pPr>
            <w:r>
              <w:rPr>
                <w:sz w:val="22"/>
              </w:rPr>
              <w:t>Adjusted R Square</w:t>
            </w:r>
          </w:p>
        </w:tc>
        <w:tc>
          <w:tcPr>
            <w:tcW w:w="2299" w:type="dxa"/>
            <w:tcBorders>
              <w:left w:val="single" w:sz="8" w:space="0" w:color="000000"/>
            </w:tcBorders>
          </w:tcPr>
          <w:p>
            <w:pPr>
              <w:pStyle w:val="TableParagraph"/>
              <w:spacing w:before="89"/>
              <w:ind w:left="24" w:right="-15"/>
              <w:rPr>
                <w:sz w:val="22"/>
              </w:rPr>
            </w:pPr>
            <w:r>
              <w:rPr>
                <w:sz w:val="22"/>
              </w:rPr>
              <w:t>Std. Error </w:t>
            </w:r>
            <w:r>
              <w:rPr>
                <w:spacing w:val="-3"/>
                <w:sz w:val="22"/>
              </w:rPr>
              <w:t>of </w:t>
            </w:r>
            <w:r>
              <w:rPr>
                <w:sz w:val="22"/>
              </w:rPr>
              <w:t>the</w:t>
            </w:r>
            <w:r>
              <w:rPr>
                <w:spacing w:val="-1"/>
                <w:sz w:val="22"/>
              </w:rPr>
              <w:t> </w:t>
            </w:r>
            <w:r>
              <w:rPr>
                <w:sz w:val="22"/>
              </w:rPr>
              <w:t>Estimate</w:t>
            </w:r>
          </w:p>
        </w:tc>
      </w:tr>
      <w:tr>
        <w:trPr>
          <w:trHeight w:val="257" w:hRule="atLeast"/>
        </w:trPr>
        <w:tc>
          <w:tcPr>
            <w:tcW w:w="1239" w:type="dxa"/>
          </w:tcPr>
          <w:p>
            <w:pPr>
              <w:pStyle w:val="TableParagraph"/>
              <w:spacing w:line="237" w:lineRule="exact"/>
              <w:ind w:left="43"/>
              <w:rPr>
                <w:sz w:val="22"/>
              </w:rPr>
            </w:pPr>
            <w:r>
              <w:rPr>
                <w:w w:val="100"/>
                <w:sz w:val="22"/>
              </w:rPr>
              <w:t>1</w:t>
            </w:r>
          </w:p>
        </w:tc>
        <w:tc>
          <w:tcPr>
            <w:tcW w:w="1604" w:type="dxa"/>
            <w:tcBorders>
              <w:right w:val="single" w:sz="8" w:space="0" w:color="000000"/>
            </w:tcBorders>
          </w:tcPr>
          <w:p>
            <w:pPr>
              <w:pStyle w:val="TableParagraph"/>
              <w:spacing w:line="237" w:lineRule="exact"/>
              <w:ind w:left="544" w:right="503"/>
              <w:rPr>
                <w:sz w:val="22"/>
              </w:rPr>
            </w:pPr>
            <w:r>
              <w:rPr>
                <w:sz w:val="22"/>
              </w:rPr>
              <w:t>,684a</w:t>
            </w:r>
          </w:p>
        </w:tc>
        <w:tc>
          <w:tcPr>
            <w:tcW w:w="1699" w:type="dxa"/>
            <w:tcBorders>
              <w:left w:val="single" w:sz="8" w:space="0" w:color="000000"/>
              <w:right w:val="single" w:sz="8" w:space="0" w:color="000000"/>
            </w:tcBorders>
          </w:tcPr>
          <w:p>
            <w:pPr>
              <w:pStyle w:val="TableParagraph"/>
              <w:spacing w:line="237" w:lineRule="exact"/>
              <w:ind w:left="432" w:right="389"/>
              <w:rPr>
                <w:sz w:val="22"/>
              </w:rPr>
            </w:pPr>
            <w:r>
              <w:rPr>
                <w:sz w:val="22"/>
              </w:rPr>
              <w:t>,467</w:t>
            </w:r>
          </w:p>
        </w:tc>
        <w:tc>
          <w:tcPr>
            <w:tcW w:w="2295" w:type="dxa"/>
            <w:tcBorders>
              <w:left w:val="single" w:sz="8" w:space="0" w:color="000000"/>
              <w:right w:val="single" w:sz="8" w:space="0" w:color="000000"/>
            </w:tcBorders>
          </w:tcPr>
          <w:p>
            <w:pPr>
              <w:pStyle w:val="TableParagraph"/>
              <w:spacing w:line="237" w:lineRule="exact"/>
              <w:ind w:left="308" w:right="264"/>
              <w:rPr>
                <w:sz w:val="22"/>
              </w:rPr>
            </w:pPr>
            <w:r>
              <w:rPr>
                <w:sz w:val="22"/>
              </w:rPr>
              <w:t>,427</w:t>
            </w:r>
          </w:p>
        </w:tc>
        <w:tc>
          <w:tcPr>
            <w:tcW w:w="2299" w:type="dxa"/>
            <w:tcBorders>
              <w:left w:val="single" w:sz="8" w:space="0" w:color="000000"/>
            </w:tcBorders>
          </w:tcPr>
          <w:p>
            <w:pPr>
              <w:pStyle w:val="TableParagraph"/>
              <w:spacing w:line="237" w:lineRule="exact"/>
              <w:ind w:left="942" w:right="899"/>
              <w:rPr>
                <w:sz w:val="22"/>
              </w:rPr>
            </w:pPr>
            <w:r>
              <w:rPr>
                <w:sz w:val="22"/>
              </w:rPr>
              <w:t>,916</w:t>
            </w:r>
          </w:p>
        </w:tc>
      </w:tr>
    </w:tbl>
    <w:p>
      <w:pPr>
        <w:spacing w:before="34"/>
        <w:ind w:left="1405" w:right="0" w:firstLine="0"/>
        <w:jc w:val="left"/>
        <w:rPr>
          <w:b/>
          <w:sz w:val="22"/>
        </w:rPr>
      </w:pPr>
      <w:r>
        <w:rPr>
          <w:b/>
          <w:sz w:val="22"/>
        </w:rPr>
        <w:t>a. Predictors : (Constant), Service client, Bugs, Indisponibilité, Sécurité</w:t>
      </w:r>
    </w:p>
    <w:p>
      <w:pPr>
        <w:pStyle w:val="BodyText"/>
        <w:spacing w:before="147"/>
        <w:ind w:left="699"/>
        <w:jc w:val="both"/>
      </w:pPr>
      <w:bookmarkStart w:name="_bookmark72" w:id="266"/>
      <w:bookmarkEnd w:id="266"/>
      <w:r>
        <w:rPr/>
      </w:r>
      <w:r>
        <w:rPr>
          <w:b/>
          <w:color w:val="44536A"/>
        </w:rPr>
        <w:t>Tableau 36 : </w:t>
      </w:r>
      <w:r>
        <w:rPr>
          <w:color w:val="44536A"/>
        </w:rPr>
        <w:t>Analyse de la variance (ANOVA) du modèle de régression</w:t>
      </w:r>
    </w:p>
    <w:p>
      <w:pPr>
        <w:spacing w:before="208"/>
        <w:ind w:left="1405" w:right="0" w:firstLine="0"/>
        <w:jc w:val="left"/>
        <w:rPr>
          <w:b/>
          <w:sz w:val="22"/>
        </w:rPr>
      </w:pPr>
      <w:r>
        <w:rPr>
          <w:b/>
          <w:sz w:val="22"/>
        </w:rPr>
        <w:t>ANOVA</w:t>
      </w:r>
      <w:r>
        <w:rPr>
          <w:b/>
          <w:sz w:val="22"/>
          <w:vertAlign w:val="superscript"/>
        </w:rPr>
        <w:t>a</w:t>
      </w:r>
    </w:p>
    <w:p>
      <w:pPr>
        <w:pStyle w:val="BodyText"/>
        <w:spacing w:before="2"/>
        <w:rPr>
          <w:b/>
          <w:sz w:val="22"/>
        </w:rPr>
      </w:pPr>
    </w:p>
    <w:tbl>
      <w:tblPr>
        <w:tblW w:w="0" w:type="auto"/>
        <w:jc w:val="left"/>
        <w:tblInd w:w="72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935"/>
        <w:gridCol w:w="1407"/>
        <w:gridCol w:w="980"/>
        <w:gridCol w:w="1354"/>
        <w:gridCol w:w="979"/>
        <w:gridCol w:w="2415"/>
      </w:tblGrid>
      <w:tr>
        <w:trPr>
          <w:trHeight w:val="497" w:hRule="atLeast"/>
        </w:trPr>
        <w:tc>
          <w:tcPr>
            <w:tcW w:w="1935" w:type="dxa"/>
          </w:tcPr>
          <w:p>
            <w:pPr>
              <w:pStyle w:val="TableParagraph"/>
              <w:spacing w:before="122"/>
              <w:ind w:left="664"/>
              <w:jc w:val="left"/>
              <w:rPr>
                <w:b/>
                <w:sz w:val="22"/>
              </w:rPr>
            </w:pPr>
            <w:r>
              <w:rPr>
                <w:b/>
                <w:sz w:val="22"/>
              </w:rPr>
              <w:t>Model</w:t>
            </w:r>
          </w:p>
        </w:tc>
        <w:tc>
          <w:tcPr>
            <w:tcW w:w="1407" w:type="dxa"/>
            <w:tcBorders>
              <w:right w:val="single" w:sz="8" w:space="0" w:color="000000"/>
            </w:tcBorders>
          </w:tcPr>
          <w:p>
            <w:pPr>
              <w:pStyle w:val="TableParagraph"/>
              <w:spacing w:line="244" w:lineRule="exact"/>
              <w:ind w:left="385"/>
              <w:jc w:val="left"/>
              <w:rPr>
                <w:sz w:val="22"/>
              </w:rPr>
            </w:pPr>
            <w:r>
              <w:rPr>
                <w:sz w:val="22"/>
              </w:rPr>
              <w:t>Sum</w:t>
            </w:r>
            <w:r>
              <w:rPr>
                <w:spacing w:val="-4"/>
                <w:sz w:val="22"/>
              </w:rPr>
              <w:t> </w:t>
            </w:r>
            <w:r>
              <w:rPr>
                <w:sz w:val="22"/>
              </w:rPr>
              <w:t>of</w:t>
            </w:r>
          </w:p>
          <w:p>
            <w:pPr>
              <w:pStyle w:val="TableParagraph"/>
              <w:spacing w:line="234" w:lineRule="exact"/>
              <w:ind w:left="357"/>
              <w:jc w:val="left"/>
              <w:rPr>
                <w:sz w:val="22"/>
              </w:rPr>
            </w:pPr>
            <w:r>
              <w:rPr>
                <w:sz w:val="22"/>
              </w:rPr>
              <w:t>Squares</w:t>
            </w:r>
          </w:p>
        </w:tc>
        <w:tc>
          <w:tcPr>
            <w:tcW w:w="980" w:type="dxa"/>
            <w:tcBorders>
              <w:left w:val="single" w:sz="8" w:space="0" w:color="000000"/>
              <w:right w:val="single" w:sz="8" w:space="0" w:color="000000"/>
            </w:tcBorders>
          </w:tcPr>
          <w:p>
            <w:pPr>
              <w:pStyle w:val="TableParagraph"/>
              <w:spacing w:before="117"/>
              <w:ind w:left="361" w:right="331"/>
              <w:rPr>
                <w:sz w:val="22"/>
              </w:rPr>
            </w:pPr>
            <w:r>
              <w:rPr>
                <w:sz w:val="22"/>
              </w:rPr>
              <w:t>df</w:t>
            </w:r>
          </w:p>
        </w:tc>
        <w:tc>
          <w:tcPr>
            <w:tcW w:w="1354" w:type="dxa"/>
            <w:tcBorders>
              <w:left w:val="single" w:sz="8" w:space="0" w:color="000000"/>
              <w:right w:val="single" w:sz="8" w:space="0" w:color="000000"/>
            </w:tcBorders>
          </w:tcPr>
          <w:p>
            <w:pPr>
              <w:pStyle w:val="TableParagraph"/>
              <w:spacing w:before="117"/>
              <w:ind w:left="85" w:right="42"/>
              <w:rPr>
                <w:sz w:val="22"/>
              </w:rPr>
            </w:pPr>
            <w:r>
              <w:rPr>
                <w:sz w:val="22"/>
              </w:rPr>
              <w:t>Mean Square</w:t>
            </w:r>
          </w:p>
        </w:tc>
        <w:tc>
          <w:tcPr>
            <w:tcW w:w="979" w:type="dxa"/>
            <w:tcBorders>
              <w:left w:val="single" w:sz="8" w:space="0" w:color="000000"/>
              <w:right w:val="single" w:sz="8" w:space="0" w:color="000000"/>
            </w:tcBorders>
          </w:tcPr>
          <w:p>
            <w:pPr>
              <w:pStyle w:val="TableParagraph"/>
              <w:spacing w:before="117"/>
              <w:ind w:left="36"/>
              <w:rPr>
                <w:sz w:val="22"/>
              </w:rPr>
            </w:pPr>
            <w:r>
              <w:rPr>
                <w:w w:val="100"/>
                <w:sz w:val="22"/>
              </w:rPr>
              <w:t>F</w:t>
            </w:r>
          </w:p>
        </w:tc>
        <w:tc>
          <w:tcPr>
            <w:tcW w:w="2415" w:type="dxa"/>
            <w:tcBorders>
              <w:left w:val="single" w:sz="8" w:space="0" w:color="000000"/>
            </w:tcBorders>
          </w:tcPr>
          <w:p>
            <w:pPr>
              <w:pStyle w:val="TableParagraph"/>
              <w:spacing w:before="117"/>
              <w:ind w:left="934" w:right="900"/>
              <w:rPr>
                <w:sz w:val="22"/>
              </w:rPr>
            </w:pPr>
            <w:r>
              <w:rPr>
                <w:sz w:val="22"/>
              </w:rPr>
              <w:t>Sig.</w:t>
            </w:r>
          </w:p>
        </w:tc>
      </w:tr>
      <w:tr>
        <w:trPr>
          <w:trHeight w:val="252" w:hRule="atLeast"/>
        </w:trPr>
        <w:tc>
          <w:tcPr>
            <w:tcW w:w="1935" w:type="dxa"/>
            <w:tcBorders>
              <w:bottom w:val="nil"/>
            </w:tcBorders>
          </w:tcPr>
          <w:p>
            <w:pPr>
              <w:pStyle w:val="TableParagraph"/>
              <w:spacing w:line="233" w:lineRule="exact"/>
              <w:ind w:left="698"/>
              <w:jc w:val="left"/>
              <w:rPr>
                <w:b/>
                <w:sz w:val="22"/>
              </w:rPr>
            </w:pPr>
            <w:r>
              <w:rPr>
                <w:b/>
                <w:sz w:val="22"/>
              </w:rPr>
              <w:t>Regression</w:t>
            </w:r>
          </w:p>
        </w:tc>
        <w:tc>
          <w:tcPr>
            <w:tcW w:w="1407" w:type="dxa"/>
            <w:tcBorders>
              <w:bottom w:val="nil"/>
              <w:right w:val="single" w:sz="8" w:space="0" w:color="000000"/>
            </w:tcBorders>
          </w:tcPr>
          <w:p>
            <w:pPr>
              <w:pStyle w:val="TableParagraph"/>
              <w:spacing w:line="233" w:lineRule="exact"/>
              <w:ind w:left="382" w:right="347"/>
              <w:rPr>
                <w:sz w:val="22"/>
              </w:rPr>
            </w:pPr>
            <w:r>
              <w:rPr>
                <w:sz w:val="22"/>
              </w:rPr>
              <w:t>39,042</w:t>
            </w:r>
          </w:p>
        </w:tc>
        <w:tc>
          <w:tcPr>
            <w:tcW w:w="980" w:type="dxa"/>
            <w:tcBorders>
              <w:left w:val="single" w:sz="8" w:space="0" w:color="000000"/>
              <w:bottom w:val="nil"/>
              <w:right w:val="single" w:sz="8" w:space="0" w:color="000000"/>
            </w:tcBorders>
          </w:tcPr>
          <w:p>
            <w:pPr>
              <w:pStyle w:val="TableParagraph"/>
              <w:spacing w:line="233" w:lineRule="exact"/>
              <w:ind w:left="33"/>
              <w:rPr>
                <w:sz w:val="22"/>
              </w:rPr>
            </w:pPr>
            <w:r>
              <w:rPr>
                <w:w w:val="100"/>
                <w:sz w:val="22"/>
              </w:rPr>
              <w:t>4</w:t>
            </w:r>
          </w:p>
        </w:tc>
        <w:tc>
          <w:tcPr>
            <w:tcW w:w="1354" w:type="dxa"/>
            <w:tcBorders>
              <w:left w:val="single" w:sz="8" w:space="0" w:color="000000"/>
              <w:bottom w:val="nil"/>
              <w:right w:val="single" w:sz="8" w:space="0" w:color="000000"/>
            </w:tcBorders>
          </w:tcPr>
          <w:p>
            <w:pPr>
              <w:pStyle w:val="TableParagraph"/>
              <w:spacing w:line="233" w:lineRule="exact"/>
              <w:ind w:left="85" w:right="38"/>
              <w:rPr>
                <w:sz w:val="22"/>
              </w:rPr>
            </w:pPr>
            <w:r>
              <w:rPr>
                <w:sz w:val="22"/>
              </w:rPr>
              <w:t>9,761</w:t>
            </w:r>
          </w:p>
        </w:tc>
        <w:tc>
          <w:tcPr>
            <w:tcW w:w="979" w:type="dxa"/>
            <w:vMerge w:val="restart"/>
            <w:tcBorders>
              <w:left w:val="single" w:sz="8" w:space="0" w:color="000000"/>
              <w:right w:val="single" w:sz="8" w:space="0" w:color="000000"/>
            </w:tcBorders>
          </w:tcPr>
          <w:p>
            <w:pPr>
              <w:pStyle w:val="TableParagraph"/>
              <w:spacing w:line="246" w:lineRule="exact"/>
              <w:ind w:left="196"/>
              <w:jc w:val="left"/>
              <w:rPr>
                <w:sz w:val="22"/>
              </w:rPr>
            </w:pPr>
            <w:r>
              <w:rPr>
                <w:sz w:val="22"/>
              </w:rPr>
              <w:t>11,631</w:t>
            </w:r>
          </w:p>
        </w:tc>
        <w:tc>
          <w:tcPr>
            <w:tcW w:w="2415" w:type="dxa"/>
            <w:vMerge w:val="restart"/>
            <w:tcBorders>
              <w:left w:val="single" w:sz="8" w:space="0" w:color="000000"/>
            </w:tcBorders>
          </w:tcPr>
          <w:p>
            <w:pPr>
              <w:pStyle w:val="TableParagraph"/>
              <w:spacing w:line="246" w:lineRule="exact"/>
              <w:ind w:left="946" w:right="900"/>
              <w:rPr>
                <w:sz w:val="22"/>
              </w:rPr>
            </w:pPr>
            <w:r>
              <w:rPr>
                <w:sz w:val="22"/>
              </w:rPr>
              <w:t>,000b</w:t>
            </w:r>
          </w:p>
        </w:tc>
      </w:tr>
      <w:tr>
        <w:trPr>
          <w:trHeight w:val="250" w:hRule="atLeast"/>
        </w:trPr>
        <w:tc>
          <w:tcPr>
            <w:tcW w:w="1935" w:type="dxa"/>
            <w:tcBorders>
              <w:top w:val="nil"/>
              <w:bottom w:val="nil"/>
            </w:tcBorders>
          </w:tcPr>
          <w:p>
            <w:pPr>
              <w:pStyle w:val="TableParagraph"/>
              <w:spacing w:line="230" w:lineRule="exact"/>
              <w:ind w:left="698"/>
              <w:jc w:val="left"/>
              <w:rPr>
                <w:b/>
                <w:sz w:val="22"/>
              </w:rPr>
            </w:pPr>
            <w:r>
              <w:rPr>
                <w:b/>
                <w:sz w:val="22"/>
              </w:rPr>
              <w:t>Residual</w:t>
            </w:r>
          </w:p>
        </w:tc>
        <w:tc>
          <w:tcPr>
            <w:tcW w:w="1407" w:type="dxa"/>
            <w:tcBorders>
              <w:top w:val="nil"/>
              <w:bottom w:val="nil"/>
              <w:right w:val="single" w:sz="8" w:space="0" w:color="000000"/>
            </w:tcBorders>
          </w:tcPr>
          <w:p>
            <w:pPr>
              <w:pStyle w:val="TableParagraph"/>
              <w:spacing w:line="230" w:lineRule="exact"/>
              <w:ind w:left="382" w:right="347"/>
              <w:rPr>
                <w:sz w:val="22"/>
              </w:rPr>
            </w:pPr>
            <w:r>
              <w:rPr>
                <w:sz w:val="22"/>
              </w:rPr>
              <w:t>44,475</w:t>
            </w:r>
          </w:p>
        </w:tc>
        <w:tc>
          <w:tcPr>
            <w:tcW w:w="980" w:type="dxa"/>
            <w:tcBorders>
              <w:top w:val="nil"/>
              <w:left w:val="single" w:sz="8" w:space="0" w:color="000000"/>
              <w:bottom w:val="nil"/>
              <w:right w:val="single" w:sz="8" w:space="0" w:color="000000"/>
            </w:tcBorders>
          </w:tcPr>
          <w:p>
            <w:pPr>
              <w:pStyle w:val="TableParagraph"/>
              <w:spacing w:line="230" w:lineRule="exact"/>
              <w:ind w:left="369" w:right="331"/>
              <w:rPr>
                <w:sz w:val="22"/>
              </w:rPr>
            </w:pPr>
            <w:r>
              <w:rPr>
                <w:sz w:val="22"/>
              </w:rPr>
              <w:t>53</w:t>
            </w:r>
          </w:p>
        </w:tc>
        <w:tc>
          <w:tcPr>
            <w:tcW w:w="1354" w:type="dxa"/>
            <w:tcBorders>
              <w:top w:val="nil"/>
              <w:left w:val="single" w:sz="8" w:space="0" w:color="000000"/>
              <w:bottom w:val="nil"/>
              <w:right w:val="single" w:sz="8" w:space="0" w:color="000000"/>
            </w:tcBorders>
          </w:tcPr>
          <w:p>
            <w:pPr>
              <w:pStyle w:val="TableParagraph"/>
              <w:spacing w:line="230" w:lineRule="exact"/>
              <w:ind w:left="84" w:right="42"/>
              <w:rPr>
                <w:sz w:val="22"/>
              </w:rPr>
            </w:pPr>
            <w:r>
              <w:rPr>
                <w:sz w:val="22"/>
              </w:rPr>
              <w:t>,839</w:t>
            </w:r>
          </w:p>
        </w:tc>
        <w:tc>
          <w:tcPr>
            <w:tcW w:w="979" w:type="dxa"/>
            <w:vMerge/>
            <w:tcBorders>
              <w:top w:val="nil"/>
              <w:left w:val="single" w:sz="8" w:space="0" w:color="000000"/>
              <w:right w:val="single" w:sz="8" w:space="0" w:color="000000"/>
            </w:tcBorders>
          </w:tcPr>
          <w:p>
            <w:pPr>
              <w:rPr>
                <w:sz w:val="2"/>
                <w:szCs w:val="2"/>
              </w:rPr>
            </w:pPr>
          </w:p>
        </w:tc>
        <w:tc>
          <w:tcPr>
            <w:tcW w:w="2415" w:type="dxa"/>
            <w:vMerge/>
            <w:tcBorders>
              <w:top w:val="nil"/>
              <w:left w:val="single" w:sz="8" w:space="0" w:color="000000"/>
            </w:tcBorders>
          </w:tcPr>
          <w:p>
            <w:pPr>
              <w:rPr>
                <w:sz w:val="2"/>
                <w:szCs w:val="2"/>
              </w:rPr>
            </w:pPr>
          </w:p>
        </w:tc>
      </w:tr>
      <w:tr>
        <w:trPr>
          <w:trHeight w:val="245" w:hRule="atLeast"/>
        </w:trPr>
        <w:tc>
          <w:tcPr>
            <w:tcW w:w="1935" w:type="dxa"/>
            <w:tcBorders>
              <w:top w:val="nil"/>
            </w:tcBorders>
          </w:tcPr>
          <w:p>
            <w:pPr>
              <w:pStyle w:val="TableParagraph"/>
              <w:spacing w:line="225" w:lineRule="exact"/>
              <w:ind w:left="698"/>
              <w:jc w:val="left"/>
              <w:rPr>
                <w:b/>
                <w:sz w:val="22"/>
              </w:rPr>
            </w:pPr>
            <w:r>
              <w:rPr>
                <w:b/>
                <w:sz w:val="22"/>
              </w:rPr>
              <w:t>Total</w:t>
            </w:r>
          </w:p>
        </w:tc>
        <w:tc>
          <w:tcPr>
            <w:tcW w:w="1407" w:type="dxa"/>
            <w:tcBorders>
              <w:top w:val="nil"/>
              <w:right w:val="single" w:sz="8" w:space="0" w:color="000000"/>
            </w:tcBorders>
          </w:tcPr>
          <w:p>
            <w:pPr>
              <w:pStyle w:val="TableParagraph"/>
              <w:spacing w:line="225" w:lineRule="exact"/>
              <w:ind w:left="382" w:right="347"/>
              <w:rPr>
                <w:sz w:val="22"/>
              </w:rPr>
            </w:pPr>
            <w:r>
              <w:rPr>
                <w:sz w:val="22"/>
              </w:rPr>
              <w:t>83,517</w:t>
            </w:r>
          </w:p>
        </w:tc>
        <w:tc>
          <w:tcPr>
            <w:tcW w:w="980" w:type="dxa"/>
            <w:tcBorders>
              <w:top w:val="nil"/>
              <w:left w:val="single" w:sz="8" w:space="0" w:color="000000"/>
              <w:right w:val="single" w:sz="8" w:space="0" w:color="000000"/>
            </w:tcBorders>
          </w:tcPr>
          <w:p>
            <w:pPr>
              <w:pStyle w:val="TableParagraph"/>
              <w:spacing w:line="225" w:lineRule="exact"/>
              <w:ind w:left="369" w:right="331"/>
              <w:rPr>
                <w:sz w:val="22"/>
              </w:rPr>
            </w:pPr>
            <w:r>
              <w:rPr>
                <w:sz w:val="22"/>
              </w:rPr>
              <w:t>57</w:t>
            </w:r>
          </w:p>
        </w:tc>
        <w:tc>
          <w:tcPr>
            <w:tcW w:w="1354" w:type="dxa"/>
            <w:tcBorders>
              <w:top w:val="nil"/>
              <w:left w:val="single" w:sz="8" w:space="0" w:color="000000"/>
              <w:right w:val="single" w:sz="8" w:space="0" w:color="000000"/>
            </w:tcBorders>
          </w:tcPr>
          <w:p>
            <w:pPr>
              <w:pStyle w:val="TableParagraph"/>
              <w:jc w:val="left"/>
              <w:rPr>
                <w:sz w:val="16"/>
              </w:rPr>
            </w:pPr>
          </w:p>
        </w:tc>
        <w:tc>
          <w:tcPr>
            <w:tcW w:w="979" w:type="dxa"/>
            <w:vMerge/>
            <w:tcBorders>
              <w:top w:val="nil"/>
              <w:left w:val="single" w:sz="8" w:space="0" w:color="000000"/>
              <w:right w:val="single" w:sz="8" w:space="0" w:color="000000"/>
            </w:tcBorders>
          </w:tcPr>
          <w:p>
            <w:pPr>
              <w:rPr>
                <w:sz w:val="2"/>
                <w:szCs w:val="2"/>
              </w:rPr>
            </w:pPr>
          </w:p>
        </w:tc>
        <w:tc>
          <w:tcPr>
            <w:tcW w:w="2415" w:type="dxa"/>
            <w:vMerge/>
            <w:tcBorders>
              <w:top w:val="nil"/>
              <w:left w:val="single" w:sz="8" w:space="0" w:color="000000"/>
            </w:tcBorders>
          </w:tcPr>
          <w:p>
            <w:pPr>
              <w:rPr>
                <w:sz w:val="2"/>
                <w:szCs w:val="2"/>
              </w:rPr>
            </w:pPr>
          </w:p>
        </w:tc>
      </w:tr>
    </w:tbl>
    <w:p>
      <w:pPr>
        <w:pStyle w:val="ListParagraph"/>
        <w:numPr>
          <w:ilvl w:val="0"/>
          <w:numId w:val="29"/>
        </w:numPr>
        <w:tabs>
          <w:tab w:pos="1627" w:val="left" w:leader="none"/>
        </w:tabs>
        <w:spacing w:line="240" w:lineRule="auto" w:before="1" w:after="0"/>
        <w:ind w:left="1626" w:right="0" w:hanging="222"/>
        <w:jc w:val="left"/>
        <w:rPr>
          <w:b/>
          <w:sz w:val="22"/>
        </w:rPr>
      </w:pPr>
      <w:r>
        <w:rPr>
          <w:b/>
          <w:sz w:val="22"/>
        </w:rPr>
        <w:t>Dependent Variable :</w:t>
      </w:r>
      <w:r>
        <w:rPr>
          <w:b/>
          <w:spacing w:val="3"/>
          <w:sz w:val="22"/>
        </w:rPr>
        <w:t> </w:t>
      </w:r>
      <w:r>
        <w:rPr>
          <w:b/>
          <w:sz w:val="22"/>
        </w:rPr>
        <w:t>Satisfaction</w:t>
      </w:r>
    </w:p>
    <w:p>
      <w:pPr>
        <w:pStyle w:val="ListParagraph"/>
        <w:numPr>
          <w:ilvl w:val="0"/>
          <w:numId w:val="29"/>
        </w:numPr>
        <w:tabs>
          <w:tab w:pos="1641" w:val="left" w:leader="none"/>
        </w:tabs>
        <w:spacing w:line="240" w:lineRule="auto" w:before="44" w:after="0"/>
        <w:ind w:left="1640" w:right="0" w:hanging="236"/>
        <w:jc w:val="left"/>
        <w:rPr>
          <w:b/>
          <w:sz w:val="22"/>
        </w:rPr>
      </w:pPr>
      <w:r>
        <w:rPr>
          <w:b/>
          <w:sz w:val="22"/>
        </w:rPr>
        <w:t>Predictors : (Constant), Service client, Bugs, Indisponibilité,</w:t>
      </w:r>
      <w:r>
        <w:rPr>
          <w:b/>
          <w:spacing w:val="12"/>
          <w:sz w:val="22"/>
        </w:rPr>
        <w:t> </w:t>
      </w:r>
      <w:r>
        <w:rPr>
          <w:b/>
          <w:sz w:val="22"/>
        </w:rPr>
        <w:t>Sécurité</w:t>
      </w:r>
    </w:p>
    <w:p>
      <w:pPr>
        <w:pStyle w:val="BodyText"/>
        <w:spacing w:before="1"/>
        <w:rPr>
          <w:b/>
          <w:sz w:val="21"/>
        </w:rPr>
      </w:pPr>
    </w:p>
    <w:p>
      <w:pPr>
        <w:spacing w:before="0"/>
        <w:ind w:left="1127" w:right="0" w:firstLine="0"/>
        <w:jc w:val="left"/>
        <w:rPr>
          <w:sz w:val="24"/>
        </w:rPr>
      </w:pPr>
      <w:bookmarkStart w:name="_bookmark73" w:id="267"/>
      <w:bookmarkEnd w:id="267"/>
      <w:r>
        <w:rPr/>
      </w:r>
      <w:r>
        <w:rPr>
          <w:b/>
          <w:color w:val="44536A"/>
          <w:sz w:val="24"/>
        </w:rPr>
        <w:t>Tableau 37 : </w:t>
      </w:r>
      <w:r>
        <w:rPr>
          <w:color w:val="44536A"/>
          <w:sz w:val="24"/>
        </w:rPr>
        <w:t>Tableau des coefficients de régression linéaire</w:t>
      </w:r>
    </w:p>
    <w:p>
      <w:pPr>
        <w:pStyle w:val="BodyText"/>
        <w:spacing w:before="1"/>
        <w:rPr>
          <w:sz w:val="18"/>
        </w:rPr>
      </w:pPr>
    </w:p>
    <w:tbl>
      <w:tblPr>
        <w:tblW w:w="0" w:type="auto"/>
        <w:jc w:val="left"/>
        <w:tblInd w:w="74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641"/>
        <w:gridCol w:w="1802"/>
        <w:gridCol w:w="1459"/>
        <w:gridCol w:w="1474"/>
        <w:gridCol w:w="1618"/>
        <w:gridCol w:w="1138"/>
        <w:gridCol w:w="1133"/>
      </w:tblGrid>
      <w:tr>
        <w:trPr>
          <w:trHeight w:val="492" w:hRule="atLeast"/>
        </w:trPr>
        <w:tc>
          <w:tcPr>
            <w:tcW w:w="2443" w:type="dxa"/>
            <w:gridSpan w:val="2"/>
            <w:vMerge w:val="restart"/>
          </w:tcPr>
          <w:p>
            <w:pPr>
              <w:pStyle w:val="TableParagraph"/>
              <w:spacing w:before="6"/>
              <w:jc w:val="left"/>
              <w:rPr>
                <w:sz w:val="23"/>
              </w:rPr>
            </w:pPr>
          </w:p>
          <w:p>
            <w:pPr>
              <w:pStyle w:val="TableParagraph"/>
              <w:spacing w:before="1"/>
              <w:ind w:left="893" w:right="865"/>
              <w:rPr>
                <w:b/>
                <w:sz w:val="22"/>
              </w:rPr>
            </w:pPr>
            <w:r>
              <w:rPr>
                <w:b/>
                <w:sz w:val="22"/>
              </w:rPr>
              <w:t>Model</w:t>
            </w:r>
          </w:p>
        </w:tc>
        <w:tc>
          <w:tcPr>
            <w:tcW w:w="2933" w:type="dxa"/>
            <w:gridSpan w:val="2"/>
            <w:tcBorders>
              <w:bottom w:val="single" w:sz="8" w:space="0" w:color="000000"/>
              <w:right w:val="single" w:sz="8" w:space="0" w:color="000000"/>
            </w:tcBorders>
          </w:tcPr>
          <w:p>
            <w:pPr>
              <w:pStyle w:val="TableParagraph"/>
              <w:spacing w:before="122"/>
              <w:ind w:left="127"/>
              <w:jc w:val="left"/>
              <w:rPr>
                <w:b/>
                <w:sz w:val="22"/>
              </w:rPr>
            </w:pPr>
            <w:r>
              <w:rPr>
                <w:b/>
                <w:sz w:val="22"/>
              </w:rPr>
              <w:t>Unstandardized Coefficients</w:t>
            </w:r>
          </w:p>
        </w:tc>
        <w:tc>
          <w:tcPr>
            <w:tcW w:w="1618" w:type="dxa"/>
            <w:tcBorders>
              <w:left w:val="single" w:sz="8" w:space="0" w:color="000000"/>
              <w:bottom w:val="single" w:sz="8" w:space="0" w:color="000000"/>
              <w:right w:val="single" w:sz="8" w:space="0" w:color="000000"/>
            </w:tcBorders>
          </w:tcPr>
          <w:p>
            <w:pPr>
              <w:pStyle w:val="TableParagraph"/>
              <w:spacing w:line="251" w:lineRule="exact"/>
              <w:ind w:left="193"/>
              <w:jc w:val="left"/>
              <w:rPr>
                <w:b/>
                <w:sz w:val="22"/>
              </w:rPr>
            </w:pPr>
            <w:r>
              <w:rPr>
                <w:b/>
                <w:sz w:val="22"/>
              </w:rPr>
              <w:t>Standardized</w:t>
            </w:r>
          </w:p>
          <w:p>
            <w:pPr>
              <w:pStyle w:val="TableParagraph"/>
              <w:spacing w:line="220" w:lineRule="exact" w:before="1"/>
              <w:ind w:left="265"/>
              <w:jc w:val="left"/>
              <w:rPr>
                <w:b/>
                <w:sz w:val="22"/>
              </w:rPr>
            </w:pPr>
            <w:r>
              <w:rPr>
                <w:b/>
                <w:sz w:val="22"/>
              </w:rPr>
              <w:t>Coefficients</w:t>
            </w:r>
          </w:p>
        </w:tc>
        <w:tc>
          <w:tcPr>
            <w:tcW w:w="1138" w:type="dxa"/>
            <w:vMerge w:val="restart"/>
            <w:tcBorders>
              <w:left w:val="single" w:sz="8" w:space="0" w:color="000000"/>
              <w:right w:val="single" w:sz="8" w:space="0" w:color="000000"/>
            </w:tcBorders>
          </w:tcPr>
          <w:p>
            <w:pPr>
              <w:pStyle w:val="TableParagraph"/>
              <w:spacing w:before="6"/>
              <w:jc w:val="left"/>
              <w:rPr>
                <w:sz w:val="23"/>
              </w:rPr>
            </w:pPr>
          </w:p>
          <w:p>
            <w:pPr>
              <w:pStyle w:val="TableParagraph"/>
              <w:spacing w:before="1"/>
              <w:ind w:left="44"/>
              <w:rPr>
                <w:b/>
                <w:sz w:val="22"/>
              </w:rPr>
            </w:pPr>
            <w:r>
              <w:rPr>
                <w:b/>
                <w:w w:val="100"/>
                <w:sz w:val="22"/>
              </w:rPr>
              <w:t>t</w:t>
            </w:r>
          </w:p>
        </w:tc>
        <w:tc>
          <w:tcPr>
            <w:tcW w:w="1133" w:type="dxa"/>
            <w:vMerge w:val="restart"/>
            <w:tcBorders>
              <w:left w:val="single" w:sz="8" w:space="0" w:color="000000"/>
            </w:tcBorders>
          </w:tcPr>
          <w:p>
            <w:pPr>
              <w:pStyle w:val="TableParagraph"/>
              <w:spacing w:before="6"/>
              <w:jc w:val="left"/>
              <w:rPr>
                <w:sz w:val="23"/>
              </w:rPr>
            </w:pPr>
          </w:p>
          <w:p>
            <w:pPr>
              <w:pStyle w:val="TableParagraph"/>
              <w:spacing w:before="1"/>
              <w:ind w:left="395"/>
              <w:jc w:val="left"/>
              <w:rPr>
                <w:b/>
                <w:sz w:val="22"/>
              </w:rPr>
            </w:pPr>
            <w:r>
              <w:rPr>
                <w:b/>
                <w:sz w:val="22"/>
              </w:rPr>
              <w:t>Sig.</w:t>
            </w:r>
          </w:p>
        </w:tc>
      </w:tr>
      <w:tr>
        <w:trPr>
          <w:trHeight w:val="257" w:hRule="atLeast"/>
        </w:trPr>
        <w:tc>
          <w:tcPr>
            <w:tcW w:w="2443" w:type="dxa"/>
            <w:gridSpan w:val="2"/>
            <w:vMerge/>
            <w:tcBorders>
              <w:top w:val="nil"/>
            </w:tcBorders>
          </w:tcPr>
          <w:p>
            <w:pPr>
              <w:rPr>
                <w:sz w:val="2"/>
                <w:szCs w:val="2"/>
              </w:rPr>
            </w:pPr>
          </w:p>
        </w:tc>
        <w:tc>
          <w:tcPr>
            <w:tcW w:w="1459" w:type="dxa"/>
            <w:tcBorders>
              <w:top w:val="single" w:sz="8" w:space="0" w:color="000000"/>
              <w:right w:val="single" w:sz="8" w:space="0" w:color="000000"/>
            </w:tcBorders>
          </w:tcPr>
          <w:p>
            <w:pPr>
              <w:pStyle w:val="TableParagraph"/>
              <w:spacing w:line="230" w:lineRule="exact" w:before="7"/>
              <w:ind w:left="23"/>
              <w:rPr>
                <w:b/>
                <w:sz w:val="22"/>
              </w:rPr>
            </w:pPr>
            <w:r>
              <w:rPr>
                <w:b/>
                <w:w w:val="100"/>
                <w:sz w:val="22"/>
              </w:rPr>
              <w:t>B</w:t>
            </w:r>
          </w:p>
        </w:tc>
        <w:tc>
          <w:tcPr>
            <w:tcW w:w="1474" w:type="dxa"/>
            <w:tcBorders>
              <w:top w:val="single" w:sz="8" w:space="0" w:color="000000"/>
              <w:left w:val="single" w:sz="8" w:space="0" w:color="000000"/>
              <w:right w:val="single" w:sz="8" w:space="0" w:color="000000"/>
            </w:tcBorders>
          </w:tcPr>
          <w:p>
            <w:pPr>
              <w:pStyle w:val="TableParagraph"/>
              <w:spacing w:line="230" w:lineRule="exact" w:before="7"/>
              <w:ind w:left="242" w:right="194"/>
              <w:rPr>
                <w:b/>
                <w:sz w:val="22"/>
              </w:rPr>
            </w:pPr>
            <w:r>
              <w:rPr>
                <w:b/>
                <w:sz w:val="22"/>
              </w:rPr>
              <w:t>Std. Error</w:t>
            </w:r>
          </w:p>
        </w:tc>
        <w:tc>
          <w:tcPr>
            <w:tcW w:w="1618" w:type="dxa"/>
            <w:tcBorders>
              <w:top w:val="single" w:sz="8" w:space="0" w:color="000000"/>
              <w:left w:val="single" w:sz="8" w:space="0" w:color="000000"/>
              <w:right w:val="single" w:sz="8" w:space="0" w:color="000000"/>
            </w:tcBorders>
          </w:tcPr>
          <w:p>
            <w:pPr>
              <w:pStyle w:val="TableParagraph"/>
              <w:spacing w:line="230" w:lineRule="exact" w:before="7"/>
              <w:ind w:left="606"/>
              <w:jc w:val="left"/>
              <w:rPr>
                <w:b/>
                <w:sz w:val="22"/>
              </w:rPr>
            </w:pPr>
            <w:r>
              <w:rPr>
                <w:b/>
                <w:sz w:val="22"/>
              </w:rPr>
              <w:t>Beta</w:t>
            </w:r>
          </w:p>
        </w:tc>
        <w:tc>
          <w:tcPr>
            <w:tcW w:w="1138" w:type="dxa"/>
            <w:vMerge/>
            <w:tcBorders>
              <w:top w:val="nil"/>
              <w:left w:val="single" w:sz="8" w:space="0" w:color="000000"/>
              <w:right w:val="single" w:sz="8" w:space="0" w:color="000000"/>
            </w:tcBorders>
          </w:tcPr>
          <w:p>
            <w:pPr>
              <w:rPr>
                <w:sz w:val="2"/>
                <w:szCs w:val="2"/>
              </w:rPr>
            </w:pPr>
          </w:p>
        </w:tc>
        <w:tc>
          <w:tcPr>
            <w:tcW w:w="1133" w:type="dxa"/>
            <w:vMerge/>
            <w:tcBorders>
              <w:top w:val="nil"/>
              <w:left w:val="single" w:sz="8" w:space="0" w:color="000000"/>
            </w:tcBorders>
          </w:tcPr>
          <w:p>
            <w:pPr>
              <w:rPr>
                <w:sz w:val="2"/>
                <w:szCs w:val="2"/>
              </w:rPr>
            </w:pPr>
          </w:p>
        </w:tc>
      </w:tr>
      <w:tr>
        <w:trPr>
          <w:trHeight w:val="275" w:hRule="atLeast"/>
        </w:trPr>
        <w:tc>
          <w:tcPr>
            <w:tcW w:w="641" w:type="dxa"/>
            <w:tcBorders>
              <w:bottom w:val="nil"/>
              <w:right w:val="nil"/>
            </w:tcBorders>
          </w:tcPr>
          <w:p>
            <w:pPr>
              <w:pStyle w:val="TableParagraph"/>
              <w:jc w:val="left"/>
              <w:rPr>
                <w:sz w:val="20"/>
              </w:rPr>
            </w:pPr>
          </w:p>
        </w:tc>
        <w:tc>
          <w:tcPr>
            <w:tcW w:w="1802" w:type="dxa"/>
            <w:tcBorders>
              <w:left w:val="nil"/>
              <w:bottom w:val="nil"/>
            </w:tcBorders>
          </w:tcPr>
          <w:p>
            <w:pPr>
              <w:pStyle w:val="TableParagraph"/>
              <w:spacing w:line="251" w:lineRule="exact"/>
              <w:ind w:left="189"/>
              <w:jc w:val="left"/>
              <w:rPr>
                <w:b/>
                <w:sz w:val="22"/>
              </w:rPr>
            </w:pPr>
            <w:r>
              <w:rPr>
                <w:b/>
                <w:sz w:val="22"/>
              </w:rPr>
              <w:t>(Constant)</w:t>
            </w:r>
          </w:p>
        </w:tc>
        <w:tc>
          <w:tcPr>
            <w:tcW w:w="1459" w:type="dxa"/>
            <w:tcBorders>
              <w:bottom w:val="nil"/>
              <w:right w:val="single" w:sz="8" w:space="0" w:color="000000"/>
            </w:tcBorders>
          </w:tcPr>
          <w:p>
            <w:pPr>
              <w:pStyle w:val="TableParagraph"/>
              <w:spacing w:line="251" w:lineRule="exact"/>
              <w:ind w:left="460" w:right="431"/>
              <w:rPr>
                <w:b/>
                <w:sz w:val="22"/>
              </w:rPr>
            </w:pPr>
            <w:r>
              <w:rPr>
                <w:b/>
                <w:sz w:val="22"/>
              </w:rPr>
              <w:t>3,643</w:t>
            </w:r>
          </w:p>
        </w:tc>
        <w:tc>
          <w:tcPr>
            <w:tcW w:w="1474" w:type="dxa"/>
            <w:tcBorders>
              <w:left w:val="single" w:sz="8" w:space="0" w:color="000000"/>
              <w:bottom w:val="nil"/>
              <w:right w:val="single" w:sz="8" w:space="0" w:color="000000"/>
            </w:tcBorders>
          </w:tcPr>
          <w:p>
            <w:pPr>
              <w:pStyle w:val="TableParagraph"/>
              <w:spacing w:line="251" w:lineRule="exact"/>
              <w:ind w:left="242" w:right="190"/>
              <w:rPr>
                <w:b/>
                <w:sz w:val="22"/>
              </w:rPr>
            </w:pPr>
            <w:r>
              <w:rPr>
                <w:b/>
                <w:sz w:val="22"/>
              </w:rPr>
              <w:t>,787</w:t>
            </w:r>
          </w:p>
        </w:tc>
        <w:tc>
          <w:tcPr>
            <w:tcW w:w="1618" w:type="dxa"/>
            <w:tcBorders>
              <w:left w:val="single" w:sz="8" w:space="0" w:color="000000"/>
              <w:bottom w:val="nil"/>
              <w:right w:val="single" w:sz="8" w:space="0" w:color="000000"/>
            </w:tcBorders>
          </w:tcPr>
          <w:p>
            <w:pPr>
              <w:pStyle w:val="TableParagraph"/>
              <w:jc w:val="left"/>
              <w:rPr>
                <w:sz w:val="20"/>
              </w:rPr>
            </w:pPr>
          </w:p>
        </w:tc>
        <w:tc>
          <w:tcPr>
            <w:tcW w:w="1138" w:type="dxa"/>
            <w:tcBorders>
              <w:left w:val="single" w:sz="8" w:space="0" w:color="000000"/>
              <w:bottom w:val="nil"/>
              <w:right w:val="single" w:sz="8" w:space="0" w:color="000000"/>
            </w:tcBorders>
          </w:tcPr>
          <w:p>
            <w:pPr>
              <w:pStyle w:val="TableParagraph"/>
              <w:spacing w:line="251" w:lineRule="exact"/>
              <w:ind w:left="65" w:right="18"/>
              <w:rPr>
                <w:b/>
                <w:sz w:val="22"/>
              </w:rPr>
            </w:pPr>
            <w:r>
              <w:rPr>
                <w:b/>
                <w:sz w:val="22"/>
              </w:rPr>
              <w:t>4,632</w:t>
            </w:r>
          </w:p>
        </w:tc>
        <w:tc>
          <w:tcPr>
            <w:tcW w:w="1133" w:type="dxa"/>
            <w:tcBorders>
              <w:left w:val="single" w:sz="8" w:space="0" w:color="000000"/>
              <w:bottom w:val="nil"/>
            </w:tcBorders>
          </w:tcPr>
          <w:p>
            <w:pPr>
              <w:pStyle w:val="TableParagraph"/>
              <w:spacing w:line="251" w:lineRule="exact"/>
              <w:ind w:right="328"/>
              <w:jc w:val="right"/>
              <w:rPr>
                <w:b/>
                <w:sz w:val="22"/>
              </w:rPr>
            </w:pPr>
            <w:r>
              <w:rPr>
                <w:b/>
                <w:sz w:val="22"/>
              </w:rPr>
              <w:t>,000</w:t>
            </w:r>
          </w:p>
        </w:tc>
      </w:tr>
      <w:tr>
        <w:trPr>
          <w:trHeight w:val="293" w:hRule="atLeast"/>
        </w:trPr>
        <w:tc>
          <w:tcPr>
            <w:tcW w:w="641" w:type="dxa"/>
            <w:tcBorders>
              <w:top w:val="nil"/>
              <w:bottom w:val="nil"/>
              <w:right w:val="nil"/>
            </w:tcBorders>
          </w:tcPr>
          <w:p>
            <w:pPr>
              <w:pStyle w:val="TableParagraph"/>
              <w:jc w:val="left"/>
              <w:rPr>
                <w:sz w:val="22"/>
              </w:rPr>
            </w:pPr>
          </w:p>
        </w:tc>
        <w:tc>
          <w:tcPr>
            <w:tcW w:w="1802" w:type="dxa"/>
            <w:tcBorders>
              <w:top w:val="nil"/>
              <w:left w:val="nil"/>
              <w:bottom w:val="nil"/>
            </w:tcBorders>
          </w:tcPr>
          <w:p>
            <w:pPr>
              <w:pStyle w:val="TableParagraph"/>
              <w:spacing w:before="15"/>
              <w:ind w:left="189"/>
              <w:jc w:val="left"/>
              <w:rPr>
                <w:b/>
                <w:sz w:val="22"/>
              </w:rPr>
            </w:pPr>
            <w:r>
              <w:rPr>
                <w:b/>
                <w:sz w:val="22"/>
              </w:rPr>
              <w:t>Sécurité</w:t>
            </w:r>
          </w:p>
        </w:tc>
        <w:tc>
          <w:tcPr>
            <w:tcW w:w="1459" w:type="dxa"/>
            <w:tcBorders>
              <w:top w:val="nil"/>
              <w:bottom w:val="nil"/>
              <w:right w:val="single" w:sz="8" w:space="0" w:color="000000"/>
            </w:tcBorders>
          </w:tcPr>
          <w:p>
            <w:pPr>
              <w:pStyle w:val="TableParagraph"/>
              <w:spacing w:before="15"/>
              <w:ind w:left="460" w:right="426"/>
              <w:rPr>
                <w:b/>
                <w:sz w:val="22"/>
              </w:rPr>
            </w:pPr>
            <w:r>
              <w:rPr>
                <w:b/>
                <w:sz w:val="22"/>
              </w:rPr>
              <w:t>,467</w:t>
            </w:r>
          </w:p>
        </w:tc>
        <w:tc>
          <w:tcPr>
            <w:tcW w:w="1474" w:type="dxa"/>
            <w:tcBorders>
              <w:top w:val="nil"/>
              <w:left w:val="single" w:sz="8" w:space="0" w:color="000000"/>
              <w:bottom w:val="nil"/>
              <w:right w:val="single" w:sz="8" w:space="0" w:color="000000"/>
            </w:tcBorders>
          </w:tcPr>
          <w:p>
            <w:pPr>
              <w:pStyle w:val="TableParagraph"/>
              <w:spacing w:before="15"/>
              <w:ind w:left="242" w:right="190"/>
              <w:rPr>
                <w:b/>
                <w:sz w:val="22"/>
              </w:rPr>
            </w:pPr>
            <w:r>
              <w:rPr>
                <w:b/>
                <w:sz w:val="22"/>
              </w:rPr>
              <w:t>,114</w:t>
            </w:r>
          </w:p>
        </w:tc>
        <w:tc>
          <w:tcPr>
            <w:tcW w:w="1618" w:type="dxa"/>
            <w:tcBorders>
              <w:top w:val="nil"/>
              <w:left w:val="single" w:sz="8" w:space="0" w:color="000000"/>
              <w:bottom w:val="nil"/>
              <w:right w:val="single" w:sz="8" w:space="0" w:color="000000"/>
            </w:tcBorders>
          </w:tcPr>
          <w:p>
            <w:pPr>
              <w:pStyle w:val="TableParagraph"/>
              <w:spacing w:before="15"/>
              <w:ind w:left="630"/>
              <w:jc w:val="left"/>
              <w:rPr>
                <w:b/>
                <w:sz w:val="22"/>
              </w:rPr>
            </w:pPr>
            <w:r>
              <w:rPr>
                <w:b/>
                <w:sz w:val="22"/>
              </w:rPr>
              <w:t>,528</w:t>
            </w:r>
          </w:p>
        </w:tc>
        <w:tc>
          <w:tcPr>
            <w:tcW w:w="1138" w:type="dxa"/>
            <w:tcBorders>
              <w:top w:val="nil"/>
              <w:left w:val="single" w:sz="8" w:space="0" w:color="000000"/>
              <w:bottom w:val="nil"/>
              <w:right w:val="single" w:sz="8" w:space="0" w:color="000000"/>
            </w:tcBorders>
          </w:tcPr>
          <w:p>
            <w:pPr>
              <w:pStyle w:val="TableParagraph"/>
              <w:spacing w:before="15"/>
              <w:ind w:left="65" w:right="18"/>
              <w:rPr>
                <w:b/>
                <w:sz w:val="22"/>
              </w:rPr>
            </w:pPr>
            <w:r>
              <w:rPr>
                <w:b/>
                <w:sz w:val="22"/>
              </w:rPr>
              <w:t>4,095</w:t>
            </w:r>
          </w:p>
        </w:tc>
        <w:tc>
          <w:tcPr>
            <w:tcW w:w="1133" w:type="dxa"/>
            <w:tcBorders>
              <w:top w:val="nil"/>
              <w:left w:val="single" w:sz="8" w:space="0" w:color="000000"/>
              <w:bottom w:val="nil"/>
            </w:tcBorders>
          </w:tcPr>
          <w:p>
            <w:pPr>
              <w:pStyle w:val="TableParagraph"/>
              <w:spacing w:before="15"/>
              <w:ind w:right="328"/>
              <w:jc w:val="right"/>
              <w:rPr>
                <w:b/>
                <w:sz w:val="22"/>
              </w:rPr>
            </w:pPr>
            <w:r>
              <w:rPr>
                <w:b/>
                <w:sz w:val="22"/>
              </w:rPr>
              <w:t>,000</w:t>
            </w:r>
          </w:p>
        </w:tc>
      </w:tr>
      <w:tr>
        <w:trPr>
          <w:trHeight w:val="292" w:hRule="atLeast"/>
        </w:trPr>
        <w:tc>
          <w:tcPr>
            <w:tcW w:w="641" w:type="dxa"/>
            <w:tcBorders>
              <w:top w:val="nil"/>
              <w:bottom w:val="nil"/>
              <w:right w:val="nil"/>
            </w:tcBorders>
          </w:tcPr>
          <w:p>
            <w:pPr>
              <w:pStyle w:val="TableParagraph"/>
              <w:spacing w:before="15"/>
              <w:ind w:left="357"/>
              <w:jc w:val="left"/>
              <w:rPr>
                <w:b/>
                <w:sz w:val="22"/>
              </w:rPr>
            </w:pPr>
            <w:r>
              <w:rPr>
                <w:b/>
                <w:w w:val="100"/>
                <w:sz w:val="22"/>
              </w:rPr>
              <w:t>1</w:t>
            </w:r>
          </w:p>
        </w:tc>
        <w:tc>
          <w:tcPr>
            <w:tcW w:w="1802" w:type="dxa"/>
            <w:tcBorders>
              <w:top w:val="nil"/>
              <w:left w:val="nil"/>
              <w:bottom w:val="nil"/>
            </w:tcBorders>
          </w:tcPr>
          <w:p>
            <w:pPr>
              <w:pStyle w:val="TableParagraph"/>
              <w:spacing w:before="15"/>
              <w:ind w:left="189"/>
              <w:jc w:val="left"/>
              <w:rPr>
                <w:b/>
                <w:sz w:val="22"/>
              </w:rPr>
            </w:pPr>
            <w:r>
              <w:rPr>
                <w:b/>
                <w:sz w:val="22"/>
              </w:rPr>
              <w:t>Bugs</w:t>
            </w:r>
          </w:p>
        </w:tc>
        <w:tc>
          <w:tcPr>
            <w:tcW w:w="1459" w:type="dxa"/>
            <w:tcBorders>
              <w:top w:val="nil"/>
              <w:bottom w:val="nil"/>
              <w:right w:val="single" w:sz="8" w:space="0" w:color="000000"/>
            </w:tcBorders>
          </w:tcPr>
          <w:p>
            <w:pPr>
              <w:pStyle w:val="TableParagraph"/>
              <w:spacing w:before="15"/>
              <w:ind w:left="460" w:right="431"/>
              <w:rPr>
                <w:b/>
                <w:sz w:val="22"/>
              </w:rPr>
            </w:pPr>
            <w:r>
              <w:rPr>
                <w:b/>
                <w:sz w:val="22"/>
              </w:rPr>
              <w:t>-,162</w:t>
            </w:r>
          </w:p>
        </w:tc>
        <w:tc>
          <w:tcPr>
            <w:tcW w:w="1474" w:type="dxa"/>
            <w:tcBorders>
              <w:top w:val="nil"/>
              <w:left w:val="single" w:sz="8" w:space="0" w:color="000000"/>
              <w:bottom w:val="nil"/>
              <w:right w:val="single" w:sz="8" w:space="0" w:color="000000"/>
            </w:tcBorders>
          </w:tcPr>
          <w:p>
            <w:pPr>
              <w:pStyle w:val="TableParagraph"/>
              <w:spacing w:before="15"/>
              <w:ind w:left="242" w:right="190"/>
              <w:rPr>
                <w:b/>
                <w:sz w:val="22"/>
              </w:rPr>
            </w:pPr>
            <w:r>
              <w:rPr>
                <w:b/>
                <w:sz w:val="22"/>
              </w:rPr>
              <w:t>,232</w:t>
            </w:r>
          </w:p>
        </w:tc>
        <w:tc>
          <w:tcPr>
            <w:tcW w:w="1618" w:type="dxa"/>
            <w:tcBorders>
              <w:top w:val="nil"/>
              <w:left w:val="single" w:sz="8" w:space="0" w:color="000000"/>
              <w:bottom w:val="nil"/>
              <w:right w:val="single" w:sz="8" w:space="0" w:color="000000"/>
            </w:tcBorders>
          </w:tcPr>
          <w:p>
            <w:pPr>
              <w:pStyle w:val="TableParagraph"/>
              <w:spacing w:before="15"/>
              <w:ind w:left="592"/>
              <w:jc w:val="left"/>
              <w:rPr>
                <w:b/>
                <w:sz w:val="22"/>
              </w:rPr>
            </w:pPr>
            <w:r>
              <w:rPr>
                <w:b/>
                <w:sz w:val="22"/>
              </w:rPr>
              <w:t>-,073</w:t>
            </w:r>
          </w:p>
        </w:tc>
        <w:tc>
          <w:tcPr>
            <w:tcW w:w="1138" w:type="dxa"/>
            <w:tcBorders>
              <w:top w:val="nil"/>
              <w:left w:val="single" w:sz="8" w:space="0" w:color="000000"/>
              <w:bottom w:val="nil"/>
              <w:right w:val="single" w:sz="8" w:space="0" w:color="000000"/>
            </w:tcBorders>
          </w:tcPr>
          <w:p>
            <w:pPr>
              <w:pStyle w:val="TableParagraph"/>
              <w:spacing w:before="15"/>
              <w:ind w:left="65" w:right="18"/>
              <w:rPr>
                <w:b/>
                <w:sz w:val="22"/>
              </w:rPr>
            </w:pPr>
            <w:r>
              <w:rPr>
                <w:b/>
                <w:sz w:val="22"/>
              </w:rPr>
              <w:t>-,701</w:t>
            </w:r>
          </w:p>
        </w:tc>
        <w:tc>
          <w:tcPr>
            <w:tcW w:w="1133" w:type="dxa"/>
            <w:tcBorders>
              <w:top w:val="nil"/>
              <w:left w:val="single" w:sz="8" w:space="0" w:color="000000"/>
              <w:bottom w:val="nil"/>
            </w:tcBorders>
          </w:tcPr>
          <w:p>
            <w:pPr>
              <w:pStyle w:val="TableParagraph"/>
              <w:spacing w:before="15"/>
              <w:ind w:right="328"/>
              <w:jc w:val="right"/>
              <w:rPr>
                <w:b/>
                <w:sz w:val="22"/>
              </w:rPr>
            </w:pPr>
            <w:r>
              <w:rPr>
                <w:b/>
                <w:sz w:val="22"/>
              </w:rPr>
              <w:t>,486</w:t>
            </w:r>
          </w:p>
        </w:tc>
      </w:tr>
      <w:tr>
        <w:trPr>
          <w:trHeight w:val="292" w:hRule="atLeast"/>
        </w:trPr>
        <w:tc>
          <w:tcPr>
            <w:tcW w:w="641" w:type="dxa"/>
            <w:tcBorders>
              <w:top w:val="nil"/>
              <w:bottom w:val="nil"/>
              <w:right w:val="nil"/>
            </w:tcBorders>
          </w:tcPr>
          <w:p>
            <w:pPr>
              <w:pStyle w:val="TableParagraph"/>
              <w:jc w:val="left"/>
              <w:rPr>
                <w:sz w:val="20"/>
              </w:rPr>
            </w:pPr>
          </w:p>
        </w:tc>
        <w:tc>
          <w:tcPr>
            <w:tcW w:w="1802" w:type="dxa"/>
            <w:tcBorders>
              <w:top w:val="nil"/>
              <w:left w:val="nil"/>
              <w:bottom w:val="nil"/>
            </w:tcBorders>
          </w:tcPr>
          <w:p>
            <w:pPr>
              <w:pStyle w:val="TableParagraph"/>
              <w:spacing w:before="15"/>
              <w:ind w:left="189"/>
              <w:jc w:val="left"/>
              <w:rPr>
                <w:b/>
                <w:sz w:val="22"/>
              </w:rPr>
            </w:pPr>
            <w:r>
              <w:rPr>
                <w:b/>
                <w:sz w:val="22"/>
              </w:rPr>
              <w:t>Indisponibilité</w:t>
            </w:r>
          </w:p>
        </w:tc>
        <w:tc>
          <w:tcPr>
            <w:tcW w:w="1459" w:type="dxa"/>
            <w:tcBorders>
              <w:top w:val="nil"/>
              <w:bottom w:val="nil"/>
              <w:right w:val="single" w:sz="8" w:space="0" w:color="000000"/>
            </w:tcBorders>
          </w:tcPr>
          <w:p>
            <w:pPr>
              <w:pStyle w:val="TableParagraph"/>
              <w:spacing w:before="15"/>
              <w:ind w:left="460" w:right="431"/>
              <w:rPr>
                <w:b/>
                <w:sz w:val="22"/>
              </w:rPr>
            </w:pPr>
            <w:r>
              <w:rPr>
                <w:b/>
                <w:sz w:val="22"/>
              </w:rPr>
              <w:t>-,601</w:t>
            </w:r>
          </w:p>
        </w:tc>
        <w:tc>
          <w:tcPr>
            <w:tcW w:w="1474" w:type="dxa"/>
            <w:tcBorders>
              <w:top w:val="nil"/>
              <w:left w:val="single" w:sz="8" w:space="0" w:color="000000"/>
              <w:bottom w:val="nil"/>
              <w:right w:val="single" w:sz="8" w:space="0" w:color="000000"/>
            </w:tcBorders>
          </w:tcPr>
          <w:p>
            <w:pPr>
              <w:pStyle w:val="TableParagraph"/>
              <w:spacing w:before="15"/>
              <w:ind w:left="242" w:right="190"/>
              <w:rPr>
                <w:b/>
                <w:sz w:val="22"/>
              </w:rPr>
            </w:pPr>
            <w:r>
              <w:rPr>
                <w:b/>
                <w:sz w:val="22"/>
              </w:rPr>
              <w:t>,187</w:t>
            </w:r>
          </w:p>
        </w:tc>
        <w:tc>
          <w:tcPr>
            <w:tcW w:w="1618" w:type="dxa"/>
            <w:tcBorders>
              <w:top w:val="nil"/>
              <w:left w:val="single" w:sz="8" w:space="0" w:color="000000"/>
              <w:bottom w:val="nil"/>
              <w:right w:val="single" w:sz="8" w:space="0" w:color="000000"/>
            </w:tcBorders>
          </w:tcPr>
          <w:p>
            <w:pPr>
              <w:pStyle w:val="TableParagraph"/>
              <w:spacing w:before="15"/>
              <w:ind w:left="592"/>
              <w:jc w:val="left"/>
              <w:rPr>
                <w:b/>
                <w:sz w:val="22"/>
              </w:rPr>
            </w:pPr>
            <w:r>
              <w:rPr>
                <w:b/>
                <w:sz w:val="22"/>
              </w:rPr>
              <w:t>-,338</w:t>
            </w:r>
          </w:p>
        </w:tc>
        <w:tc>
          <w:tcPr>
            <w:tcW w:w="1138" w:type="dxa"/>
            <w:tcBorders>
              <w:top w:val="nil"/>
              <w:left w:val="single" w:sz="8" w:space="0" w:color="000000"/>
              <w:bottom w:val="nil"/>
              <w:right w:val="single" w:sz="8" w:space="0" w:color="000000"/>
            </w:tcBorders>
          </w:tcPr>
          <w:p>
            <w:pPr>
              <w:pStyle w:val="TableParagraph"/>
              <w:spacing w:before="15"/>
              <w:ind w:left="65" w:right="13"/>
              <w:rPr>
                <w:b/>
                <w:sz w:val="22"/>
              </w:rPr>
            </w:pPr>
            <w:r>
              <w:rPr>
                <w:b/>
                <w:sz w:val="22"/>
              </w:rPr>
              <w:t>-3,220</w:t>
            </w:r>
          </w:p>
        </w:tc>
        <w:tc>
          <w:tcPr>
            <w:tcW w:w="1133" w:type="dxa"/>
            <w:tcBorders>
              <w:top w:val="nil"/>
              <w:left w:val="single" w:sz="8" w:space="0" w:color="000000"/>
              <w:bottom w:val="nil"/>
            </w:tcBorders>
          </w:tcPr>
          <w:p>
            <w:pPr>
              <w:pStyle w:val="TableParagraph"/>
              <w:spacing w:before="15"/>
              <w:ind w:right="328"/>
              <w:jc w:val="right"/>
              <w:rPr>
                <w:b/>
                <w:sz w:val="22"/>
              </w:rPr>
            </w:pPr>
            <w:r>
              <w:rPr>
                <w:b/>
                <w:sz w:val="22"/>
              </w:rPr>
              <w:t>,002</w:t>
            </w:r>
          </w:p>
        </w:tc>
      </w:tr>
      <w:tr>
        <w:trPr>
          <w:trHeight w:val="265" w:hRule="atLeast"/>
        </w:trPr>
        <w:tc>
          <w:tcPr>
            <w:tcW w:w="641" w:type="dxa"/>
            <w:tcBorders>
              <w:top w:val="nil"/>
              <w:right w:val="nil"/>
            </w:tcBorders>
          </w:tcPr>
          <w:p>
            <w:pPr>
              <w:pStyle w:val="TableParagraph"/>
              <w:jc w:val="left"/>
              <w:rPr>
                <w:sz w:val="18"/>
              </w:rPr>
            </w:pPr>
          </w:p>
        </w:tc>
        <w:tc>
          <w:tcPr>
            <w:tcW w:w="1802" w:type="dxa"/>
            <w:tcBorders>
              <w:top w:val="nil"/>
              <w:left w:val="nil"/>
            </w:tcBorders>
          </w:tcPr>
          <w:p>
            <w:pPr>
              <w:pStyle w:val="TableParagraph"/>
              <w:spacing w:line="230" w:lineRule="exact" w:before="15"/>
              <w:ind w:left="189"/>
              <w:jc w:val="left"/>
              <w:rPr>
                <w:b/>
                <w:sz w:val="22"/>
              </w:rPr>
            </w:pPr>
            <w:r>
              <w:rPr>
                <w:b/>
                <w:sz w:val="22"/>
              </w:rPr>
              <w:t>Service client</w:t>
            </w:r>
          </w:p>
        </w:tc>
        <w:tc>
          <w:tcPr>
            <w:tcW w:w="1459" w:type="dxa"/>
            <w:tcBorders>
              <w:top w:val="nil"/>
              <w:right w:val="single" w:sz="8" w:space="0" w:color="000000"/>
            </w:tcBorders>
          </w:tcPr>
          <w:p>
            <w:pPr>
              <w:pStyle w:val="TableParagraph"/>
              <w:spacing w:line="230" w:lineRule="exact" w:before="15"/>
              <w:ind w:left="460" w:right="431"/>
              <w:rPr>
                <w:b/>
                <w:sz w:val="22"/>
              </w:rPr>
            </w:pPr>
            <w:r>
              <w:rPr>
                <w:b/>
                <w:sz w:val="22"/>
              </w:rPr>
              <w:t>-,082</w:t>
            </w:r>
          </w:p>
        </w:tc>
        <w:tc>
          <w:tcPr>
            <w:tcW w:w="1474" w:type="dxa"/>
            <w:tcBorders>
              <w:top w:val="nil"/>
              <w:left w:val="single" w:sz="8" w:space="0" w:color="000000"/>
              <w:right w:val="single" w:sz="8" w:space="0" w:color="000000"/>
            </w:tcBorders>
          </w:tcPr>
          <w:p>
            <w:pPr>
              <w:pStyle w:val="TableParagraph"/>
              <w:spacing w:line="230" w:lineRule="exact" w:before="15"/>
              <w:ind w:left="242" w:right="190"/>
              <w:rPr>
                <w:b/>
                <w:sz w:val="22"/>
              </w:rPr>
            </w:pPr>
            <w:r>
              <w:rPr>
                <w:b/>
                <w:sz w:val="22"/>
              </w:rPr>
              <w:t>,110</w:t>
            </w:r>
          </w:p>
        </w:tc>
        <w:tc>
          <w:tcPr>
            <w:tcW w:w="1618" w:type="dxa"/>
            <w:tcBorders>
              <w:top w:val="nil"/>
              <w:left w:val="single" w:sz="8" w:space="0" w:color="000000"/>
              <w:right w:val="single" w:sz="8" w:space="0" w:color="000000"/>
            </w:tcBorders>
          </w:tcPr>
          <w:p>
            <w:pPr>
              <w:pStyle w:val="TableParagraph"/>
              <w:spacing w:line="230" w:lineRule="exact" w:before="15"/>
              <w:ind w:left="592"/>
              <w:jc w:val="left"/>
              <w:rPr>
                <w:b/>
                <w:sz w:val="22"/>
              </w:rPr>
            </w:pPr>
            <w:r>
              <w:rPr>
                <w:b/>
                <w:sz w:val="22"/>
              </w:rPr>
              <w:t>-,092</w:t>
            </w:r>
          </w:p>
        </w:tc>
        <w:tc>
          <w:tcPr>
            <w:tcW w:w="1138" w:type="dxa"/>
            <w:tcBorders>
              <w:top w:val="nil"/>
              <w:left w:val="single" w:sz="8" w:space="0" w:color="000000"/>
              <w:right w:val="single" w:sz="8" w:space="0" w:color="000000"/>
            </w:tcBorders>
          </w:tcPr>
          <w:p>
            <w:pPr>
              <w:pStyle w:val="TableParagraph"/>
              <w:spacing w:line="230" w:lineRule="exact" w:before="15"/>
              <w:ind w:left="65" w:right="18"/>
              <w:rPr>
                <w:b/>
                <w:sz w:val="22"/>
              </w:rPr>
            </w:pPr>
            <w:r>
              <w:rPr>
                <w:b/>
                <w:sz w:val="22"/>
              </w:rPr>
              <w:t>-,752</w:t>
            </w:r>
          </w:p>
        </w:tc>
        <w:tc>
          <w:tcPr>
            <w:tcW w:w="1133" w:type="dxa"/>
            <w:tcBorders>
              <w:top w:val="nil"/>
              <w:left w:val="single" w:sz="8" w:space="0" w:color="000000"/>
            </w:tcBorders>
          </w:tcPr>
          <w:p>
            <w:pPr>
              <w:pStyle w:val="TableParagraph"/>
              <w:spacing w:line="230" w:lineRule="exact" w:before="15"/>
              <w:ind w:right="328"/>
              <w:jc w:val="right"/>
              <w:rPr>
                <w:b/>
                <w:sz w:val="22"/>
              </w:rPr>
            </w:pPr>
            <w:r>
              <w:rPr>
                <w:b/>
                <w:sz w:val="22"/>
              </w:rPr>
              <w:t>,456</w:t>
            </w:r>
          </w:p>
        </w:tc>
      </w:tr>
    </w:tbl>
    <w:p>
      <w:pPr>
        <w:pStyle w:val="ListParagraph"/>
        <w:numPr>
          <w:ilvl w:val="1"/>
          <w:numId w:val="29"/>
        </w:numPr>
        <w:tabs>
          <w:tab w:pos="2501" w:val="left" w:leader="none"/>
        </w:tabs>
        <w:spacing w:line="240" w:lineRule="auto" w:before="0" w:after="0"/>
        <w:ind w:left="2500" w:right="0" w:hanging="361"/>
        <w:jc w:val="left"/>
        <w:rPr>
          <w:b/>
          <w:sz w:val="22"/>
        </w:rPr>
      </w:pPr>
      <w:r>
        <w:rPr>
          <w:b/>
          <w:sz w:val="22"/>
        </w:rPr>
        <w:t>Variable dépendante :</w:t>
      </w:r>
      <w:r>
        <w:rPr>
          <w:b/>
          <w:spacing w:val="2"/>
          <w:sz w:val="22"/>
        </w:rPr>
        <w:t> </w:t>
      </w:r>
      <w:r>
        <w:rPr>
          <w:b/>
          <w:sz w:val="22"/>
        </w:rPr>
        <w:t>Satisfaction</w:t>
      </w:r>
    </w:p>
    <w:p>
      <w:pPr>
        <w:spacing w:after="0" w:line="240" w:lineRule="auto"/>
        <w:jc w:val="left"/>
        <w:rPr>
          <w:sz w:val="22"/>
        </w:rPr>
        <w:sectPr>
          <w:pgSz w:w="12240" w:h="15840"/>
          <w:pgMar w:header="723" w:footer="850" w:top="1080" w:bottom="1040" w:left="1000" w:right="820"/>
        </w:sectPr>
      </w:pPr>
    </w:p>
    <w:p>
      <w:pPr>
        <w:pStyle w:val="BodyText"/>
        <w:spacing w:before="6"/>
        <w:rPr>
          <w:b/>
          <w:sz w:val="19"/>
        </w:rPr>
      </w:pPr>
    </w:p>
    <w:p>
      <w:pPr>
        <w:pStyle w:val="BodyText"/>
        <w:spacing w:line="362" w:lineRule="auto" w:before="90"/>
        <w:ind w:left="699" w:right="320" w:firstLine="360"/>
        <w:jc w:val="both"/>
      </w:pPr>
      <w:r>
        <w:rPr/>
        <w:t>Afin d’analyser la régression linéaire, nous n’avons pas pris en considération l’ensemble des questions du questionnaire, mais nous avons choisi quatre variables indépendantes clés : le sentiment de sécurité, la disponibilité du service, l’évaluation des bugs, et la qualité du service client. Les autres variables ont été prises en compte sous forme de moyennes, afin de simplifier l’interprétation.</w:t>
      </w:r>
    </w:p>
    <w:p>
      <w:pPr>
        <w:pStyle w:val="BodyText"/>
        <w:spacing w:line="360" w:lineRule="auto" w:before="149"/>
        <w:ind w:left="699" w:right="310" w:firstLine="360"/>
        <w:jc w:val="both"/>
      </w:pPr>
      <w:r>
        <w:rPr/>
        <w:t>L’analyse issue des tableaux de régression linéaire multiple montre que </w:t>
      </w:r>
      <w:r>
        <w:rPr>
          <w:spacing w:val="-5"/>
        </w:rPr>
        <w:t>le </w:t>
      </w:r>
      <w:r>
        <w:rPr/>
        <w:t>modèle est globalement</w:t>
      </w:r>
      <w:r>
        <w:rPr>
          <w:spacing w:val="-5"/>
        </w:rPr>
        <w:t> </w:t>
      </w:r>
      <w:r>
        <w:rPr/>
        <w:t>pertinent</w:t>
      </w:r>
      <w:r>
        <w:rPr>
          <w:spacing w:val="-4"/>
        </w:rPr>
        <w:t> </w:t>
      </w:r>
      <w:r>
        <w:rPr>
          <w:spacing w:val="-3"/>
        </w:rPr>
        <w:t>et</w:t>
      </w:r>
      <w:r>
        <w:rPr>
          <w:spacing w:val="-7"/>
        </w:rPr>
        <w:t> </w:t>
      </w:r>
      <w:r>
        <w:rPr/>
        <w:t>significatif</w:t>
      </w:r>
      <w:r>
        <w:rPr>
          <w:spacing w:val="-12"/>
        </w:rPr>
        <w:t> </w:t>
      </w:r>
      <w:r>
        <w:rPr>
          <w:b/>
        </w:rPr>
        <w:t>(R</w:t>
      </w:r>
      <w:r>
        <w:rPr>
          <w:b/>
          <w:spacing w:val="-8"/>
        </w:rPr>
        <w:t> </w:t>
      </w:r>
      <w:r>
        <w:rPr>
          <w:b/>
        </w:rPr>
        <w:t>=</w:t>
      </w:r>
      <w:r>
        <w:rPr>
          <w:b/>
          <w:spacing w:val="-11"/>
        </w:rPr>
        <w:t> </w:t>
      </w:r>
      <w:r>
        <w:rPr>
          <w:b/>
        </w:rPr>
        <w:t>0,684)</w:t>
      </w:r>
      <w:r>
        <w:rPr/>
        <w:t>,</w:t>
      </w:r>
      <w:r>
        <w:rPr>
          <w:spacing w:val="-6"/>
        </w:rPr>
        <w:t> </w:t>
      </w:r>
      <w:r>
        <w:rPr/>
        <w:t>indiquant</w:t>
      </w:r>
      <w:r>
        <w:rPr>
          <w:spacing w:val="-4"/>
        </w:rPr>
        <w:t> </w:t>
      </w:r>
      <w:r>
        <w:rPr/>
        <w:t>une</w:t>
      </w:r>
      <w:r>
        <w:rPr>
          <w:spacing w:val="-10"/>
        </w:rPr>
        <w:t> </w:t>
      </w:r>
      <w:r>
        <w:rPr/>
        <w:t>relation</w:t>
      </w:r>
      <w:r>
        <w:rPr>
          <w:spacing w:val="-9"/>
        </w:rPr>
        <w:t> </w:t>
      </w:r>
      <w:r>
        <w:rPr/>
        <w:t>modérément</w:t>
      </w:r>
      <w:r>
        <w:rPr>
          <w:spacing w:val="-4"/>
        </w:rPr>
        <w:t> </w:t>
      </w:r>
      <w:r>
        <w:rPr/>
        <w:t>forte</w:t>
      </w:r>
      <w:r>
        <w:rPr>
          <w:spacing w:val="-14"/>
        </w:rPr>
        <w:t> </w:t>
      </w:r>
      <w:r>
        <w:rPr/>
        <w:t>entre</w:t>
      </w:r>
      <w:r>
        <w:rPr>
          <w:spacing w:val="-14"/>
        </w:rPr>
        <w:t> </w:t>
      </w:r>
      <w:r>
        <w:rPr>
          <w:spacing w:val="-3"/>
        </w:rPr>
        <w:t>les </w:t>
      </w:r>
      <w:r>
        <w:rPr/>
        <w:t>variables explicatives (sécurité, indisponibilité, bugs et service client) </w:t>
      </w:r>
      <w:r>
        <w:rPr>
          <w:spacing w:val="-3"/>
        </w:rPr>
        <w:t>et </w:t>
      </w:r>
      <w:r>
        <w:rPr>
          <w:spacing w:val="-5"/>
        </w:rPr>
        <w:t>la </w:t>
      </w:r>
      <w:r>
        <w:rPr/>
        <w:t>satisfaction des utilisateurs de BaridiMob. Le coefficient de détermination </w:t>
      </w:r>
      <w:r>
        <w:rPr>
          <w:b/>
        </w:rPr>
        <w:t>R² = 0,467 </w:t>
      </w:r>
      <w:r>
        <w:rPr/>
        <w:t>révèle que </w:t>
      </w:r>
      <w:r>
        <w:rPr>
          <w:b/>
        </w:rPr>
        <w:t>46,7 % </w:t>
      </w:r>
      <w:r>
        <w:rPr/>
        <w:t>de </w:t>
      </w:r>
      <w:r>
        <w:rPr>
          <w:spacing w:val="-5"/>
        </w:rPr>
        <w:t>la </w:t>
      </w:r>
      <w:r>
        <w:rPr/>
        <w:t>variation de </w:t>
      </w:r>
      <w:r>
        <w:rPr>
          <w:spacing w:val="-3"/>
        </w:rPr>
        <w:t>la </w:t>
      </w:r>
      <w:r>
        <w:rPr/>
        <w:t>satisfaction est expliquée par ce modèle. Le test </w:t>
      </w:r>
      <w:r>
        <w:rPr>
          <w:b/>
        </w:rPr>
        <w:t>ANOVA (F = 11,631 ; p = 0,000) </w:t>
      </w:r>
      <w:r>
        <w:rPr/>
        <w:t>atteste</w:t>
      </w:r>
      <w:r>
        <w:rPr>
          <w:spacing w:val="-17"/>
        </w:rPr>
        <w:t> </w:t>
      </w:r>
      <w:r>
        <w:rPr>
          <w:spacing w:val="-5"/>
        </w:rPr>
        <w:t>la</w:t>
      </w:r>
      <w:r>
        <w:rPr>
          <w:spacing w:val="-9"/>
        </w:rPr>
        <w:t> </w:t>
      </w:r>
      <w:r>
        <w:rPr/>
        <w:t>significativité</w:t>
      </w:r>
      <w:r>
        <w:rPr>
          <w:spacing w:val="-13"/>
        </w:rPr>
        <w:t> </w:t>
      </w:r>
      <w:r>
        <w:rPr/>
        <w:t>globale</w:t>
      </w:r>
      <w:r>
        <w:rPr>
          <w:spacing w:val="-10"/>
        </w:rPr>
        <w:t> </w:t>
      </w:r>
      <w:r>
        <w:rPr/>
        <w:t>du</w:t>
      </w:r>
      <w:r>
        <w:rPr>
          <w:spacing w:val="-8"/>
        </w:rPr>
        <w:t> </w:t>
      </w:r>
      <w:r>
        <w:rPr/>
        <w:t>modèle,</w:t>
      </w:r>
      <w:r>
        <w:rPr>
          <w:spacing w:val="-11"/>
        </w:rPr>
        <w:t> </w:t>
      </w:r>
      <w:r>
        <w:rPr/>
        <w:t>validant</w:t>
      </w:r>
      <w:r>
        <w:rPr>
          <w:spacing w:val="-3"/>
        </w:rPr>
        <w:t> </w:t>
      </w:r>
      <w:r>
        <w:rPr/>
        <w:t>l’influence</w:t>
      </w:r>
      <w:r>
        <w:rPr>
          <w:spacing w:val="-14"/>
        </w:rPr>
        <w:t> </w:t>
      </w:r>
      <w:r>
        <w:rPr/>
        <w:t>conjointe</w:t>
      </w:r>
      <w:r>
        <w:rPr>
          <w:spacing w:val="-13"/>
        </w:rPr>
        <w:t> </w:t>
      </w:r>
      <w:r>
        <w:rPr/>
        <w:t>des</w:t>
      </w:r>
      <w:r>
        <w:rPr>
          <w:spacing w:val="-10"/>
        </w:rPr>
        <w:t> </w:t>
      </w:r>
      <w:r>
        <w:rPr/>
        <w:t>variables</w:t>
      </w:r>
      <w:r>
        <w:rPr>
          <w:spacing w:val="-15"/>
        </w:rPr>
        <w:t> </w:t>
      </w:r>
      <w:r>
        <w:rPr/>
        <w:t>étudiées</w:t>
      </w:r>
      <w:r>
        <w:rPr>
          <w:spacing w:val="-14"/>
        </w:rPr>
        <w:t> </w:t>
      </w:r>
      <w:r>
        <w:rPr/>
        <w:t>sur </w:t>
      </w:r>
      <w:r>
        <w:rPr>
          <w:spacing w:val="-3"/>
        </w:rPr>
        <w:t>la</w:t>
      </w:r>
      <w:r>
        <w:rPr>
          <w:spacing w:val="-7"/>
        </w:rPr>
        <w:t> </w:t>
      </w:r>
      <w:r>
        <w:rPr/>
        <w:t>satisfaction.</w:t>
      </w:r>
      <w:r>
        <w:rPr>
          <w:spacing w:val="-2"/>
        </w:rPr>
        <w:t> </w:t>
      </w:r>
      <w:r>
        <w:rPr/>
        <w:t>Parmi</w:t>
      </w:r>
      <w:r>
        <w:rPr>
          <w:spacing w:val="-9"/>
        </w:rPr>
        <w:t> </w:t>
      </w:r>
      <w:r>
        <w:rPr/>
        <w:t>les</w:t>
      </w:r>
      <w:r>
        <w:rPr>
          <w:spacing w:val="-8"/>
        </w:rPr>
        <w:t> </w:t>
      </w:r>
      <w:r>
        <w:rPr/>
        <w:t>variables</w:t>
      </w:r>
      <w:r>
        <w:rPr>
          <w:spacing w:val="-7"/>
        </w:rPr>
        <w:t> </w:t>
      </w:r>
      <w:r>
        <w:rPr/>
        <w:t>étudiées,</w:t>
      </w:r>
      <w:r>
        <w:rPr>
          <w:spacing w:val="1"/>
        </w:rPr>
        <w:t> </w:t>
      </w:r>
      <w:r>
        <w:rPr>
          <w:spacing w:val="-5"/>
        </w:rPr>
        <w:t>la</w:t>
      </w:r>
      <w:r>
        <w:rPr>
          <w:spacing w:val="-7"/>
        </w:rPr>
        <w:t> </w:t>
      </w:r>
      <w:r>
        <w:rPr/>
        <w:t>sécurité</w:t>
      </w:r>
      <w:r>
        <w:rPr>
          <w:spacing w:val="-7"/>
        </w:rPr>
        <w:t> </w:t>
      </w:r>
      <w:r>
        <w:rPr/>
        <w:t>perçue</w:t>
      </w:r>
      <w:r>
        <w:rPr>
          <w:spacing w:val="-7"/>
        </w:rPr>
        <w:t> </w:t>
      </w:r>
      <w:r>
        <w:rPr/>
        <w:t>a</w:t>
      </w:r>
      <w:r>
        <w:rPr>
          <w:spacing w:val="-6"/>
        </w:rPr>
        <w:t> </w:t>
      </w:r>
      <w:r>
        <w:rPr/>
        <w:t>un</w:t>
      </w:r>
      <w:r>
        <w:rPr>
          <w:spacing w:val="-11"/>
        </w:rPr>
        <w:t> </w:t>
      </w:r>
      <w:r>
        <w:rPr/>
        <w:t>effet</w:t>
      </w:r>
      <w:r>
        <w:rPr>
          <w:spacing w:val="-1"/>
        </w:rPr>
        <w:t> </w:t>
      </w:r>
      <w:r>
        <w:rPr/>
        <w:t>positif</w:t>
      </w:r>
      <w:r>
        <w:rPr>
          <w:spacing w:val="-13"/>
        </w:rPr>
        <w:t> </w:t>
      </w:r>
      <w:r>
        <w:rPr/>
        <w:t>et</w:t>
      </w:r>
      <w:r>
        <w:rPr>
          <w:spacing w:val="-1"/>
        </w:rPr>
        <w:t> </w:t>
      </w:r>
      <w:r>
        <w:rPr/>
        <w:t>significatif</w:t>
      </w:r>
      <w:r>
        <w:rPr>
          <w:spacing w:val="-9"/>
        </w:rPr>
        <w:t> </w:t>
      </w:r>
      <w:r>
        <w:rPr/>
        <w:t>sur </w:t>
      </w:r>
      <w:r>
        <w:rPr>
          <w:spacing w:val="-5"/>
        </w:rPr>
        <w:t>la </w:t>
      </w:r>
      <w:r>
        <w:rPr/>
        <w:t>satisfaction </w:t>
      </w:r>
      <w:r>
        <w:rPr>
          <w:b/>
        </w:rPr>
        <w:t>(B = 0,467 ; β = 0,528 ; p &lt; 0,001)</w:t>
      </w:r>
      <w:r>
        <w:rPr/>
        <w:t>, ce qui signifie que plus </w:t>
      </w:r>
      <w:r>
        <w:rPr>
          <w:spacing w:val="-3"/>
        </w:rPr>
        <w:t>les </w:t>
      </w:r>
      <w:r>
        <w:rPr/>
        <w:t>utilisateurs se sentent en sécurité, plus </w:t>
      </w:r>
      <w:r>
        <w:rPr>
          <w:spacing w:val="-4"/>
        </w:rPr>
        <w:t>ils </w:t>
      </w:r>
      <w:r>
        <w:rPr/>
        <w:t>sont satisfaits. En revanche, l’indisponibilité du service a un effet négatif significatif </w:t>
      </w:r>
      <w:r>
        <w:rPr>
          <w:b/>
        </w:rPr>
        <w:t>(B = –0,601 ; β = –0,338; p = 0,002), </w:t>
      </w:r>
      <w:r>
        <w:rPr/>
        <w:t>indiquant que </w:t>
      </w:r>
      <w:r>
        <w:rPr>
          <w:spacing w:val="-3"/>
        </w:rPr>
        <w:t>les </w:t>
      </w:r>
      <w:r>
        <w:rPr/>
        <w:t>interruptions de service réduisent </w:t>
      </w:r>
      <w:r>
        <w:rPr>
          <w:spacing w:val="-5"/>
        </w:rPr>
        <w:t>la </w:t>
      </w:r>
      <w:r>
        <w:rPr/>
        <w:t>satisfaction. Les deux autres variables, </w:t>
      </w:r>
      <w:r>
        <w:rPr>
          <w:spacing w:val="-4"/>
        </w:rPr>
        <w:t>les </w:t>
      </w:r>
      <w:r>
        <w:rPr/>
        <w:t>bugs </w:t>
      </w:r>
      <w:r>
        <w:rPr>
          <w:b/>
        </w:rPr>
        <w:t>(B = –0,162 ; β = –0,073 ; p = 0,486) </w:t>
      </w:r>
      <w:r>
        <w:rPr/>
        <w:t>et </w:t>
      </w:r>
      <w:r>
        <w:rPr>
          <w:spacing w:val="-5"/>
        </w:rPr>
        <w:t>le </w:t>
      </w:r>
      <w:r>
        <w:rPr/>
        <w:t>service client </w:t>
      </w:r>
      <w:r>
        <w:rPr>
          <w:b/>
        </w:rPr>
        <w:t>(B = –0,082 ; β = –0,092 ; p = 0,456)</w:t>
      </w:r>
      <w:r>
        <w:rPr/>
        <w:t>, </w:t>
      </w:r>
      <w:r>
        <w:rPr>
          <w:spacing w:val="-3"/>
        </w:rPr>
        <w:t>n'ont </w:t>
      </w:r>
      <w:r>
        <w:rPr/>
        <w:t>pas montré d’effet significatif sur </w:t>
      </w:r>
      <w:r>
        <w:rPr>
          <w:spacing w:val="-3"/>
        </w:rPr>
        <w:t>la </w:t>
      </w:r>
      <w:r>
        <w:rPr/>
        <w:t>satisfaction dans ce modèle. Cela suggère que la sécurité et </w:t>
      </w:r>
      <w:r>
        <w:rPr>
          <w:spacing w:val="-5"/>
        </w:rPr>
        <w:t>la </w:t>
      </w:r>
      <w:r>
        <w:rPr/>
        <w:t>disponibilité du service sont </w:t>
      </w:r>
      <w:r>
        <w:rPr>
          <w:spacing w:val="-4"/>
        </w:rPr>
        <w:t>les </w:t>
      </w:r>
      <w:r>
        <w:rPr/>
        <w:t>deux facteurs principaux à améliorer pour augmenter </w:t>
      </w:r>
      <w:r>
        <w:rPr>
          <w:spacing w:val="-5"/>
        </w:rPr>
        <w:t>la </w:t>
      </w:r>
      <w:r>
        <w:rPr/>
        <w:t>satisfaction des</w:t>
      </w:r>
      <w:r>
        <w:rPr>
          <w:spacing w:val="2"/>
        </w:rPr>
        <w:t> </w:t>
      </w:r>
      <w:r>
        <w:rPr/>
        <w:t>utilisateurs.</w:t>
      </w:r>
    </w:p>
    <w:p>
      <w:pPr>
        <w:spacing w:after="0" w:line="360" w:lineRule="auto"/>
        <w:jc w:val="both"/>
        <w:sectPr>
          <w:pgSz w:w="12240" w:h="15840"/>
          <w:pgMar w:header="723" w:footer="850" w:top="1080" w:bottom="1040" w:left="1000" w:right="820"/>
        </w:sectPr>
      </w:pPr>
    </w:p>
    <w:p>
      <w:pPr>
        <w:pStyle w:val="BodyText"/>
        <w:spacing w:before="7"/>
        <w:rPr>
          <w:sz w:val="19"/>
        </w:rPr>
      </w:pPr>
    </w:p>
    <w:p>
      <w:pPr>
        <w:pStyle w:val="Heading5"/>
        <w:numPr>
          <w:ilvl w:val="1"/>
          <w:numId w:val="28"/>
        </w:numPr>
        <w:tabs>
          <w:tab w:pos="1421" w:val="left" w:leader="none"/>
        </w:tabs>
        <w:spacing w:line="240" w:lineRule="auto" w:before="100" w:after="0"/>
        <w:ind w:left="1420" w:right="0" w:hanging="361"/>
        <w:jc w:val="both"/>
      </w:pPr>
      <w:r>
        <w:rPr/>
        <w:t>Vérifications des</w:t>
      </w:r>
      <w:r>
        <w:rPr>
          <w:spacing w:val="-1"/>
        </w:rPr>
        <w:t> </w:t>
      </w:r>
      <w:r>
        <w:rPr/>
        <w:t>hypothèses</w:t>
      </w:r>
    </w:p>
    <w:p>
      <w:pPr>
        <w:pStyle w:val="BodyText"/>
        <w:spacing w:line="362" w:lineRule="auto" w:before="194"/>
        <w:ind w:left="906" w:right="323" w:firstLine="513"/>
        <w:jc w:val="both"/>
      </w:pPr>
      <w:r>
        <w:rPr>
          <w:spacing w:val="-3"/>
        </w:rPr>
        <w:t>Au</w:t>
      </w:r>
      <w:r>
        <w:rPr>
          <w:spacing w:val="-7"/>
        </w:rPr>
        <w:t> </w:t>
      </w:r>
      <w:r>
        <w:rPr/>
        <w:t>début</w:t>
      </w:r>
      <w:r>
        <w:rPr>
          <w:spacing w:val="-1"/>
        </w:rPr>
        <w:t> </w:t>
      </w:r>
      <w:r>
        <w:rPr/>
        <w:t>de</w:t>
      </w:r>
      <w:r>
        <w:rPr>
          <w:spacing w:val="-12"/>
        </w:rPr>
        <w:t> </w:t>
      </w:r>
      <w:r>
        <w:rPr/>
        <w:t>notre</w:t>
      </w:r>
      <w:r>
        <w:rPr>
          <w:spacing w:val="-12"/>
        </w:rPr>
        <w:t> </w:t>
      </w:r>
      <w:r>
        <w:rPr/>
        <w:t>mémoire,</w:t>
      </w:r>
      <w:r>
        <w:rPr>
          <w:spacing w:val="-5"/>
        </w:rPr>
        <w:t> </w:t>
      </w:r>
      <w:r>
        <w:rPr/>
        <w:t>nous</w:t>
      </w:r>
      <w:r>
        <w:rPr>
          <w:spacing w:val="-8"/>
        </w:rPr>
        <w:t> </w:t>
      </w:r>
      <w:r>
        <w:rPr/>
        <w:t>avons</w:t>
      </w:r>
      <w:r>
        <w:rPr>
          <w:spacing w:val="-8"/>
        </w:rPr>
        <w:t> </w:t>
      </w:r>
      <w:r>
        <w:rPr/>
        <w:t>proposé</w:t>
      </w:r>
      <w:r>
        <w:rPr>
          <w:spacing w:val="-7"/>
        </w:rPr>
        <w:t> </w:t>
      </w:r>
      <w:r>
        <w:rPr/>
        <w:t>quatre</w:t>
      </w:r>
      <w:r>
        <w:rPr>
          <w:spacing w:val="-12"/>
        </w:rPr>
        <w:t> </w:t>
      </w:r>
      <w:r>
        <w:rPr/>
        <w:t>hypothèses</w:t>
      </w:r>
      <w:r>
        <w:rPr>
          <w:spacing w:val="-8"/>
        </w:rPr>
        <w:t> </w:t>
      </w:r>
      <w:r>
        <w:rPr/>
        <w:t>principales</w:t>
      </w:r>
      <w:r>
        <w:rPr>
          <w:spacing w:val="-9"/>
        </w:rPr>
        <w:t> </w:t>
      </w:r>
      <w:r>
        <w:rPr/>
        <w:t>en</w:t>
      </w:r>
      <w:r>
        <w:rPr>
          <w:spacing w:val="-6"/>
        </w:rPr>
        <w:t> </w:t>
      </w:r>
      <w:r>
        <w:rPr/>
        <w:t>lien</w:t>
      </w:r>
      <w:r>
        <w:rPr>
          <w:spacing w:val="-11"/>
        </w:rPr>
        <w:t> </w:t>
      </w:r>
      <w:r>
        <w:rPr/>
        <w:t>avec notre Problématique. Ces hypothèses ont été formulées dans </w:t>
      </w:r>
      <w:r>
        <w:rPr>
          <w:spacing w:val="-3"/>
        </w:rPr>
        <w:t>le </w:t>
      </w:r>
      <w:r>
        <w:rPr/>
        <w:t>but de guider notre démarche de recherche et de structurer notre analyse. À présent, après </w:t>
      </w:r>
      <w:r>
        <w:rPr>
          <w:spacing w:val="-3"/>
        </w:rPr>
        <w:t>avoir </w:t>
      </w:r>
      <w:r>
        <w:rPr/>
        <w:t>collecté et </w:t>
      </w:r>
      <w:r>
        <w:rPr>
          <w:spacing w:val="-3"/>
        </w:rPr>
        <w:t>analysé </w:t>
      </w:r>
      <w:r>
        <w:rPr/>
        <w:t>les données nécessaires,</w:t>
      </w:r>
      <w:r>
        <w:rPr>
          <w:spacing w:val="-4"/>
        </w:rPr>
        <w:t> </w:t>
      </w:r>
      <w:r>
        <w:rPr/>
        <w:t>nous</w:t>
      </w:r>
      <w:r>
        <w:rPr>
          <w:spacing w:val="-7"/>
        </w:rPr>
        <w:t> </w:t>
      </w:r>
      <w:r>
        <w:rPr/>
        <w:t>procédons</w:t>
      </w:r>
      <w:r>
        <w:rPr>
          <w:spacing w:val="-7"/>
        </w:rPr>
        <w:t> </w:t>
      </w:r>
      <w:r>
        <w:rPr/>
        <w:t>à</w:t>
      </w:r>
      <w:r>
        <w:rPr>
          <w:spacing w:val="-1"/>
        </w:rPr>
        <w:t> </w:t>
      </w:r>
      <w:r>
        <w:rPr>
          <w:spacing w:val="-5"/>
        </w:rPr>
        <w:t>la</w:t>
      </w:r>
      <w:r>
        <w:rPr>
          <w:spacing w:val="-2"/>
        </w:rPr>
        <w:t> </w:t>
      </w:r>
      <w:r>
        <w:rPr/>
        <w:t>vérification</w:t>
      </w:r>
      <w:r>
        <w:rPr>
          <w:spacing w:val="-10"/>
        </w:rPr>
        <w:t> </w:t>
      </w:r>
      <w:r>
        <w:rPr/>
        <w:t>de</w:t>
      </w:r>
      <w:r>
        <w:rPr>
          <w:spacing w:val="-6"/>
        </w:rPr>
        <w:t> </w:t>
      </w:r>
      <w:r>
        <w:rPr/>
        <w:t>chacune</w:t>
      </w:r>
      <w:r>
        <w:rPr>
          <w:spacing w:val="-6"/>
        </w:rPr>
        <w:t> </w:t>
      </w:r>
      <w:r>
        <w:rPr/>
        <w:t>de</w:t>
      </w:r>
      <w:r>
        <w:rPr>
          <w:spacing w:val="-6"/>
        </w:rPr>
        <w:t> </w:t>
      </w:r>
      <w:r>
        <w:rPr/>
        <w:t>ces</w:t>
      </w:r>
      <w:r>
        <w:rPr>
          <w:spacing w:val="-3"/>
        </w:rPr>
        <w:t> </w:t>
      </w:r>
      <w:r>
        <w:rPr/>
        <w:t>hypothèses,</w:t>
      </w:r>
      <w:r>
        <w:rPr>
          <w:spacing w:val="-3"/>
        </w:rPr>
        <w:t> </w:t>
      </w:r>
      <w:r>
        <w:rPr/>
        <w:t>de</w:t>
      </w:r>
      <w:r>
        <w:rPr>
          <w:spacing w:val="-1"/>
        </w:rPr>
        <w:t> </w:t>
      </w:r>
      <w:r>
        <w:rPr/>
        <w:t>manière</w:t>
      </w:r>
      <w:r>
        <w:rPr>
          <w:spacing w:val="-6"/>
        </w:rPr>
        <w:t> </w:t>
      </w:r>
      <w:r>
        <w:rPr/>
        <w:t>détaillée et argumentée, afin de déterminer si elles se confirment ou non à travers des résultats</w:t>
      </w:r>
      <w:r>
        <w:rPr>
          <w:spacing w:val="-33"/>
        </w:rPr>
        <w:t> </w:t>
      </w:r>
      <w:r>
        <w:rPr/>
        <w:t>obtenus.</w:t>
      </w:r>
    </w:p>
    <w:p>
      <w:pPr>
        <w:pStyle w:val="Heading5"/>
        <w:spacing w:line="367" w:lineRule="auto" w:before="149"/>
        <w:ind w:left="699" w:right="465" w:firstLine="0"/>
      </w:pPr>
      <w:r>
        <w:rPr/>
        <w:t>Hypothèse 1 : L’insuffisance de </w:t>
      </w:r>
      <w:r>
        <w:rPr>
          <w:spacing w:val="-3"/>
        </w:rPr>
        <w:t>la </w:t>
      </w:r>
      <w:r>
        <w:rPr/>
        <w:t>protection des données personnelles et financières</w:t>
      </w:r>
      <w:r>
        <w:rPr>
          <w:spacing w:val="-33"/>
        </w:rPr>
        <w:t> </w:t>
      </w:r>
      <w:r>
        <w:rPr/>
        <w:t>freine l’usage de l’application pour les</w:t>
      </w:r>
      <w:r>
        <w:rPr>
          <w:spacing w:val="-2"/>
        </w:rPr>
        <w:t> </w:t>
      </w:r>
      <w:r>
        <w:rPr/>
        <w:t>transactions</w:t>
      </w:r>
    </w:p>
    <w:p>
      <w:pPr>
        <w:pStyle w:val="BodyText"/>
        <w:spacing w:line="362" w:lineRule="auto" w:before="140"/>
        <w:ind w:left="906" w:right="309" w:firstLine="513"/>
        <w:jc w:val="both"/>
      </w:pPr>
      <w:r>
        <w:rPr/>
        <w:t>Les résultats de l’analyse montrent que </w:t>
      </w:r>
      <w:r>
        <w:rPr>
          <w:spacing w:val="-5"/>
        </w:rPr>
        <w:t>le </w:t>
      </w:r>
      <w:r>
        <w:rPr/>
        <w:t>sentiment de sécurité a un effet positif et significatif sur </w:t>
      </w:r>
      <w:r>
        <w:rPr>
          <w:spacing w:val="-5"/>
        </w:rPr>
        <w:t>la </w:t>
      </w:r>
      <w:r>
        <w:rPr/>
        <w:t>satisfaction des utilisateurs. En effet, </w:t>
      </w:r>
      <w:r>
        <w:rPr>
          <w:spacing w:val="-5"/>
        </w:rPr>
        <w:t>le </w:t>
      </w:r>
      <w:r>
        <w:rPr/>
        <w:t>coefficient B = 0,467, ce qui signifie que</w:t>
      </w:r>
      <w:r>
        <w:rPr>
          <w:spacing w:val="-12"/>
        </w:rPr>
        <w:t> </w:t>
      </w:r>
      <w:r>
        <w:rPr/>
        <w:t>lorsqu’un</w:t>
      </w:r>
      <w:r>
        <w:rPr>
          <w:spacing w:val="-15"/>
        </w:rPr>
        <w:t> </w:t>
      </w:r>
      <w:r>
        <w:rPr/>
        <w:t>utilisateur</w:t>
      </w:r>
      <w:r>
        <w:rPr>
          <w:spacing w:val="-9"/>
        </w:rPr>
        <w:t> </w:t>
      </w:r>
      <w:r>
        <w:rPr/>
        <w:t>se</w:t>
      </w:r>
      <w:r>
        <w:rPr>
          <w:spacing w:val="-12"/>
        </w:rPr>
        <w:t> </w:t>
      </w:r>
      <w:r>
        <w:rPr>
          <w:spacing w:val="-3"/>
        </w:rPr>
        <w:t>sent</w:t>
      </w:r>
      <w:r>
        <w:rPr>
          <w:spacing w:val="-6"/>
        </w:rPr>
        <w:t> </w:t>
      </w:r>
      <w:r>
        <w:rPr/>
        <w:t>en</w:t>
      </w:r>
      <w:r>
        <w:rPr>
          <w:spacing w:val="-15"/>
        </w:rPr>
        <w:t> </w:t>
      </w:r>
      <w:r>
        <w:rPr/>
        <w:t>sécurité,</w:t>
      </w:r>
      <w:r>
        <w:rPr>
          <w:spacing w:val="-9"/>
        </w:rPr>
        <w:t> </w:t>
      </w:r>
      <w:r>
        <w:rPr/>
        <w:t>sa</w:t>
      </w:r>
      <w:r>
        <w:rPr>
          <w:spacing w:val="-12"/>
        </w:rPr>
        <w:t> </w:t>
      </w:r>
      <w:r>
        <w:rPr/>
        <w:t>satisfaction</w:t>
      </w:r>
      <w:r>
        <w:rPr>
          <w:spacing w:val="-15"/>
        </w:rPr>
        <w:t> </w:t>
      </w:r>
      <w:r>
        <w:rPr/>
        <w:t>augmente</w:t>
      </w:r>
      <w:r>
        <w:rPr>
          <w:spacing w:val="-11"/>
        </w:rPr>
        <w:t> </w:t>
      </w:r>
      <w:r>
        <w:rPr/>
        <w:t>en</w:t>
      </w:r>
      <w:r>
        <w:rPr>
          <w:spacing w:val="-11"/>
        </w:rPr>
        <w:t> </w:t>
      </w:r>
      <w:r>
        <w:rPr/>
        <w:t>moyenne</w:t>
      </w:r>
      <w:r>
        <w:rPr>
          <w:spacing w:val="-12"/>
        </w:rPr>
        <w:t> </w:t>
      </w:r>
      <w:r>
        <w:rPr/>
        <w:t>de</w:t>
      </w:r>
      <w:r>
        <w:rPr>
          <w:spacing w:val="-5"/>
        </w:rPr>
        <w:t> </w:t>
      </w:r>
      <w:r>
        <w:rPr/>
        <w:t>0,467</w:t>
      </w:r>
      <w:r>
        <w:rPr>
          <w:spacing w:val="-10"/>
        </w:rPr>
        <w:t> </w:t>
      </w:r>
      <w:r>
        <w:rPr/>
        <w:t>point. De</w:t>
      </w:r>
      <w:r>
        <w:rPr>
          <w:spacing w:val="-18"/>
        </w:rPr>
        <w:t> </w:t>
      </w:r>
      <w:r>
        <w:rPr/>
        <w:t>plus,</w:t>
      </w:r>
      <w:r>
        <w:rPr>
          <w:spacing w:val="-10"/>
        </w:rPr>
        <w:t> </w:t>
      </w:r>
      <w:r>
        <w:rPr>
          <w:spacing w:val="-5"/>
        </w:rPr>
        <w:t>la</w:t>
      </w:r>
      <w:r>
        <w:rPr>
          <w:spacing w:val="-13"/>
        </w:rPr>
        <w:t> </w:t>
      </w:r>
      <w:r>
        <w:rPr/>
        <w:t>valeur</w:t>
      </w:r>
      <w:r>
        <w:rPr>
          <w:spacing w:val="-12"/>
        </w:rPr>
        <w:t> </w:t>
      </w:r>
      <w:r>
        <w:rPr/>
        <w:t>p</w:t>
      </w:r>
      <w:r>
        <w:rPr>
          <w:spacing w:val="-16"/>
        </w:rPr>
        <w:t> </w:t>
      </w:r>
      <w:r>
        <w:rPr/>
        <w:t>&lt;</w:t>
      </w:r>
      <w:r>
        <w:rPr>
          <w:spacing w:val="-16"/>
        </w:rPr>
        <w:t> </w:t>
      </w:r>
      <w:r>
        <w:rPr/>
        <w:t>0,001,</w:t>
      </w:r>
      <w:r>
        <w:rPr>
          <w:spacing w:val="-14"/>
        </w:rPr>
        <w:t> </w:t>
      </w:r>
      <w:r>
        <w:rPr/>
        <w:t>ce</w:t>
      </w:r>
      <w:r>
        <w:rPr>
          <w:spacing w:val="-17"/>
        </w:rPr>
        <w:t> </w:t>
      </w:r>
      <w:r>
        <w:rPr/>
        <w:t>qui</w:t>
      </w:r>
      <w:r>
        <w:rPr>
          <w:spacing w:val="-24"/>
        </w:rPr>
        <w:t> </w:t>
      </w:r>
      <w:r>
        <w:rPr/>
        <w:t>confirme</w:t>
      </w:r>
      <w:r>
        <w:rPr>
          <w:spacing w:val="-17"/>
        </w:rPr>
        <w:t> </w:t>
      </w:r>
      <w:r>
        <w:rPr/>
        <w:t>que</w:t>
      </w:r>
      <w:r>
        <w:rPr>
          <w:spacing w:val="-16"/>
        </w:rPr>
        <w:t> </w:t>
      </w:r>
      <w:r>
        <w:rPr/>
        <w:t>ce</w:t>
      </w:r>
      <w:r>
        <w:rPr>
          <w:spacing w:val="-13"/>
        </w:rPr>
        <w:t> </w:t>
      </w:r>
      <w:r>
        <w:rPr/>
        <w:t>résultat</w:t>
      </w:r>
      <w:r>
        <w:rPr>
          <w:spacing w:val="-11"/>
        </w:rPr>
        <w:t> </w:t>
      </w:r>
      <w:r>
        <w:rPr/>
        <w:t>est</w:t>
      </w:r>
      <w:r>
        <w:rPr>
          <w:spacing w:val="-11"/>
        </w:rPr>
        <w:t> </w:t>
      </w:r>
      <w:r>
        <w:rPr/>
        <w:t>statistiquement</w:t>
      </w:r>
      <w:r>
        <w:rPr>
          <w:spacing w:val="-11"/>
        </w:rPr>
        <w:t> </w:t>
      </w:r>
      <w:r>
        <w:rPr/>
        <w:t>significatif.</w:t>
      </w:r>
      <w:r>
        <w:rPr>
          <w:spacing w:val="-10"/>
        </w:rPr>
        <w:t> </w:t>
      </w:r>
      <w:r>
        <w:rPr/>
        <w:t>Alors, cette hypothèse est totalement</w:t>
      </w:r>
      <w:r>
        <w:rPr>
          <w:spacing w:val="9"/>
        </w:rPr>
        <w:t> </w:t>
      </w:r>
      <w:r>
        <w:rPr/>
        <w:t>confirmée.</w:t>
      </w:r>
    </w:p>
    <w:p>
      <w:pPr>
        <w:pStyle w:val="Heading5"/>
        <w:spacing w:line="362" w:lineRule="auto" w:before="154"/>
        <w:ind w:left="699" w:right="367" w:firstLine="0"/>
      </w:pPr>
      <w:r>
        <w:rPr/>
        <w:t>Hypothèse 2 : La répétition des bugs engendre une perte de confiance et un taux d’abandon élevé</w:t>
      </w:r>
    </w:p>
    <w:p>
      <w:pPr>
        <w:pStyle w:val="BodyText"/>
        <w:spacing w:line="360" w:lineRule="auto" w:before="150"/>
        <w:ind w:left="906" w:right="317" w:firstLine="513"/>
        <w:jc w:val="both"/>
      </w:pPr>
      <w:r>
        <w:rPr/>
        <w:t>Le coefficient B = –0,162 associé aux bugs indique une influence négative sur </w:t>
      </w:r>
      <w:r>
        <w:rPr>
          <w:spacing w:val="-5"/>
        </w:rPr>
        <w:t>la </w:t>
      </w:r>
      <w:r>
        <w:rPr/>
        <w:t>satisfaction</w:t>
      </w:r>
      <w:r>
        <w:rPr>
          <w:spacing w:val="-15"/>
        </w:rPr>
        <w:t> </w:t>
      </w:r>
      <w:r>
        <w:rPr/>
        <w:t>des</w:t>
      </w:r>
      <w:r>
        <w:rPr>
          <w:spacing w:val="-13"/>
        </w:rPr>
        <w:t> </w:t>
      </w:r>
      <w:r>
        <w:rPr/>
        <w:t>utilisateurs,</w:t>
      </w:r>
      <w:r>
        <w:rPr>
          <w:spacing w:val="-10"/>
        </w:rPr>
        <w:t> </w:t>
      </w:r>
      <w:r>
        <w:rPr/>
        <w:t>suggérant</w:t>
      </w:r>
      <w:r>
        <w:rPr>
          <w:spacing w:val="-6"/>
        </w:rPr>
        <w:t> </w:t>
      </w:r>
      <w:r>
        <w:rPr/>
        <w:t>que</w:t>
      </w:r>
      <w:r>
        <w:rPr>
          <w:spacing w:val="-12"/>
        </w:rPr>
        <w:t> </w:t>
      </w:r>
      <w:r>
        <w:rPr>
          <w:spacing w:val="-3"/>
        </w:rPr>
        <w:t>plus</w:t>
      </w:r>
      <w:r>
        <w:rPr>
          <w:spacing w:val="-9"/>
        </w:rPr>
        <w:t> </w:t>
      </w:r>
      <w:r>
        <w:rPr/>
        <w:t>l'application</w:t>
      </w:r>
      <w:r>
        <w:rPr>
          <w:spacing w:val="-15"/>
        </w:rPr>
        <w:t> </w:t>
      </w:r>
      <w:r>
        <w:rPr/>
        <w:t>présente</w:t>
      </w:r>
      <w:r>
        <w:rPr>
          <w:spacing w:val="-12"/>
        </w:rPr>
        <w:t> </w:t>
      </w:r>
      <w:r>
        <w:rPr/>
        <w:t>de</w:t>
      </w:r>
      <w:r>
        <w:rPr>
          <w:spacing w:val="-12"/>
        </w:rPr>
        <w:t> </w:t>
      </w:r>
      <w:r>
        <w:rPr/>
        <w:t>bugs,</w:t>
      </w:r>
      <w:r>
        <w:rPr>
          <w:spacing w:val="-9"/>
        </w:rPr>
        <w:t> </w:t>
      </w:r>
      <w:r>
        <w:rPr/>
        <w:t>plus</w:t>
      </w:r>
      <w:r>
        <w:rPr>
          <w:spacing w:val="-8"/>
        </w:rPr>
        <w:t> </w:t>
      </w:r>
      <w:r>
        <w:rPr>
          <w:spacing w:val="-3"/>
        </w:rPr>
        <w:t>la</w:t>
      </w:r>
      <w:r>
        <w:rPr>
          <w:spacing w:val="-12"/>
        </w:rPr>
        <w:t> </w:t>
      </w:r>
      <w:r>
        <w:rPr/>
        <w:t>satisfaction pourrait</w:t>
      </w:r>
      <w:r>
        <w:rPr>
          <w:spacing w:val="-4"/>
        </w:rPr>
        <w:t> </w:t>
      </w:r>
      <w:r>
        <w:rPr/>
        <w:t>diminuer.</w:t>
      </w:r>
      <w:r>
        <w:rPr>
          <w:spacing w:val="-6"/>
        </w:rPr>
        <w:t> </w:t>
      </w:r>
      <w:r>
        <w:rPr/>
        <w:t>Toutefois,</w:t>
      </w:r>
      <w:r>
        <w:rPr>
          <w:spacing w:val="-2"/>
        </w:rPr>
        <w:t> </w:t>
      </w:r>
      <w:r>
        <w:rPr>
          <w:spacing w:val="-5"/>
        </w:rPr>
        <w:t>la</w:t>
      </w:r>
      <w:r>
        <w:rPr>
          <w:spacing w:val="-9"/>
        </w:rPr>
        <w:t> </w:t>
      </w:r>
      <w:r>
        <w:rPr/>
        <w:t>valeur</w:t>
      </w:r>
      <w:r>
        <w:rPr>
          <w:spacing w:val="-2"/>
        </w:rPr>
        <w:t> </w:t>
      </w:r>
      <w:r>
        <w:rPr/>
        <w:t>p</w:t>
      </w:r>
      <w:r>
        <w:rPr>
          <w:spacing w:val="-8"/>
        </w:rPr>
        <w:t> </w:t>
      </w:r>
      <w:r>
        <w:rPr/>
        <w:t>=</w:t>
      </w:r>
      <w:r>
        <w:rPr>
          <w:spacing w:val="-9"/>
        </w:rPr>
        <w:t> </w:t>
      </w:r>
      <w:r>
        <w:rPr/>
        <w:t>0,486,</w:t>
      </w:r>
      <w:r>
        <w:rPr>
          <w:spacing w:val="-10"/>
        </w:rPr>
        <w:t> </w:t>
      </w:r>
      <w:r>
        <w:rPr/>
        <w:t>largement</w:t>
      </w:r>
      <w:r>
        <w:rPr>
          <w:spacing w:val="-3"/>
        </w:rPr>
        <w:t> </w:t>
      </w:r>
      <w:r>
        <w:rPr/>
        <w:t>supérieure</w:t>
      </w:r>
      <w:r>
        <w:rPr>
          <w:spacing w:val="-9"/>
        </w:rPr>
        <w:t> </w:t>
      </w:r>
      <w:r>
        <w:rPr/>
        <w:t>au</w:t>
      </w:r>
      <w:r>
        <w:rPr>
          <w:spacing w:val="-8"/>
        </w:rPr>
        <w:t> </w:t>
      </w:r>
      <w:r>
        <w:rPr/>
        <w:t>seuil</w:t>
      </w:r>
      <w:r>
        <w:rPr>
          <w:spacing w:val="-9"/>
        </w:rPr>
        <w:t> </w:t>
      </w:r>
      <w:r>
        <w:rPr/>
        <w:t>de</w:t>
      </w:r>
      <w:r>
        <w:rPr>
          <w:spacing w:val="-9"/>
        </w:rPr>
        <w:t> </w:t>
      </w:r>
      <w:r>
        <w:rPr/>
        <w:t>significativité de 0,05, montre que cette relation n’est pas statistiquement significative. Autrement dit, on </w:t>
      </w:r>
      <w:r>
        <w:rPr>
          <w:spacing w:val="-3"/>
        </w:rPr>
        <w:t>ne </w:t>
      </w:r>
      <w:r>
        <w:rPr/>
        <w:t>peut pas affirmer avec certitude que </w:t>
      </w:r>
      <w:r>
        <w:rPr>
          <w:spacing w:val="-4"/>
        </w:rPr>
        <w:t>les </w:t>
      </w:r>
      <w:r>
        <w:rPr/>
        <w:t>bugs ont un impact réel sur </w:t>
      </w:r>
      <w:r>
        <w:rPr>
          <w:spacing w:val="-3"/>
        </w:rPr>
        <w:t>la </w:t>
      </w:r>
      <w:r>
        <w:rPr/>
        <w:t>satisfaction, selon les données analysées. Donc cette hypothèse est</w:t>
      </w:r>
      <w:r>
        <w:rPr>
          <w:spacing w:val="15"/>
        </w:rPr>
        <w:t> </w:t>
      </w:r>
      <w:r>
        <w:rPr/>
        <w:t>infirmée.</w:t>
      </w:r>
    </w:p>
    <w:p>
      <w:pPr>
        <w:pStyle w:val="Heading5"/>
        <w:spacing w:line="367" w:lineRule="auto" w:before="162"/>
        <w:ind w:left="699" w:right="320" w:firstLine="0"/>
      </w:pPr>
      <w:r>
        <w:rPr/>
        <w:t>Hypothèse 3 : Les interruptions nocturnes du service affectent négativement la fiabilité perçue de l’application</w:t>
      </w:r>
    </w:p>
    <w:p>
      <w:pPr>
        <w:pStyle w:val="BodyText"/>
        <w:spacing w:line="362" w:lineRule="auto" w:before="140"/>
        <w:ind w:left="906" w:right="317" w:firstLine="513"/>
        <w:jc w:val="both"/>
      </w:pPr>
      <w:r>
        <w:rPr/>
        <w:t>Cette</w:t>
      </w:r>
      <w:r>
        <w:rPr>
          <w:spacing w:val="-15"/>
        </w:rPr>
        <w:t> </w:t>
      </w:r>
      <w:r>
        <w:rPr/>
        <w:t>hypothèse</w:t>
      </w:r>
      <w:r>
        <w:rPr>
          <w:spacing w:val="-14"/>
        </w:rPr>
        <w:t> </w:t>
      </w:r>
      <w:r>
        <w:rPr/>
        <w:t>est</w:t>
      </w:r>
      <w:r>
        <w:rPr>
          <w:spacing w:val="-9"/>
        </w:rPr>
        <w:t> </w:t>
      </w:r>
      <w:r>
        <w:rPr/>
        <w:t>clairement</w:t>
      </w:r>
      <w:r>
        <w:rPr>
          <w:spacing w:val="-8"/>
        </w:rPr>
        <w:t> </w:t>
      </w:r>
      <w:r>
        <w:rPr/>
        <w:t>validée.</w:t>
      </w:r>
      <w:r>
        <w:rPr>
          <w:spacing w:val="-12"/>
        </w:rPr>
        <w:t> </w:t>
      </w:r>
      <w:r>
        <w:rPr/>
        <w:t>L’analyse</w:t>
      </w:r>
      <w:r>
        <w:rPr>
          <w:spacing w:val="-14"/>
        </w:rPr>
        <w:t> </w:t>
      </w:r>
      <w:r>
        <w:rPr/>
        <w:t>démontre</w:t>
      </w:r>
      <w:r>
        <w:rPr>
          <w:spacing w:val="-14"/>
        </w:rPr>
        <w:t> </w:t>
      </w:r>
      <w:r>
        <w:rPr/>
        <w:t>que</w:t>
      </w:r>
      <w:r>
        <w:rPr>
          <w:spacing w:val="-10"/>
        </w:rPr>
        <w:t> </w:t>
      </w:r>
      <w:r>
        <w:rPr/>
        <w:t>l’indisponibilité</w:t>
      </w:r>
      <w:r>
        <w:rPr>
          <w:spacing w:val="-14"/>
        </w:rPr>
        <w:t> </w:t>
      </w:r>
      <w:r>
        <w:rPr/>
        <w:t>du</w:t>
      </w:r>
      <w:r>
        <w:rPr>
          <w:spacing w:val="-14"/>
        </w:rPr>
        <w:t> </w:t>
      </w:r>
      <w:r>
        <w:rPr/>
        <w:t>service a un effet négatif fort </w:t>
      </w:r>
      <w:r>
        <w:rPr>
          <w:spacing w:val="-3"/>
        </w:rPr>
        <w:t>et </w:t>
      </w:r>
      <w:r>
        <w:rPr/>
        <w:t>significatif sur </w:t>
      </w:r>
      <w:r>
        <w:rPr>
          <w:spacing w:val="-5"/>
        </w:rPr>
        <w:t>la </w:t>
      </w:r>
      <w:r>
        <w:rPr/>
        <w:t>satisfaction des utilisateurs avec un coefficient B = – 0,601. En d’autres termes, plus l’application est souvent indisponible, plus </w:t>
      </w:r>
      <w:r>
        <w:rPr>
          <w:spacing w:val="-3"/>
        </w:rPr>
        <w:t>les </w:t>
      </w:r>
      <w:r>
        <w:rPr/>
        <w:t>utilisateurs </w:t>
      </w:r>
      <w:r>
        <w:rPr>
          <w:spacing w:val="-3"/>
        </w:rPr>
        <w:t>sont </w:t>
      </w:r>
      <w:r>
        <w:rPr/>
        <w:t>insatisfaits. Ce résultat </w:t>
      </w:r>
      <w:r>
        <w:rPr>
          <w:spacing w:val="-3"/>
        </w:rPr>
        <w:t>est </w:t>
      </w:r>
      <w:r>
        <w:rPr/>
        <w:t>appuyé par une valeur p = 0,002, qui est</w:t>
      </w:r>
      <w:r>
        <w:rPr>
          <w:spacing w:val="26"/>
        </w:rPr>
        <w:t> </w:t>
      </w:r>
      <w:r>
        <w:rPr/>
        <w:t>significativ</w:t>
      </w:r>
    </w:p>
    <w:p>
      <w:pPr>
        <w:spacing w:after="0" w:line="362" w:lineRule="auto"/>
        <w:jc w:val="both"/>
        <w:sectPr>
          <w:pgSz w:w="12240" w:h="15840"/>
          <w:pgMar w:header="723" w:footer="850" w:top="1080" w:bottom="1040" w:left="1000" w:right="820"/>
        </w:sectPr>
      </w:pPr>
    </w:p>
    <w:p>
      <w:pPr>
        <w:pStyle w:val="BodyText"/>
        <w:spacing w:before="10"/>
        <w:rPr>
          <w:sz w:val="19"/>
        </w:rPr>
      </w:pPr>
    </w:p>
    <w:p>
      <w:pPr>
        <w:pStyle w:val="Heading5"/>
        <w:spacing w:line="367" w:lineRule="auto" w:before="90"/>
        <w:ind w:left="699" w:right="623" w:firstLine="0"/>
      </w:pPr>
      <w:r>
        <w:rPr/>
        <w:t>Hypothèse 4 : L'absence de personnel qualifié et d’outils automatisés allonge les délais</w:t>
      </w:r>
      <w:r>
        <w:rPr>
          <w:spacing w:val="-34"/>
        </w:rPr>
        <w:t> </w:t>
      </w:r>
      <w:r>
        <w:rPr/>
        <w:t>de réponse et impacte </w:t>
      </w:r>
      <w:r>
        <w:rPr>
          <w:spacing w:val="-3"/>
        </w:rPr>
        <w:t>la </w:t>
      </w:r>
      <w:r>
        <w:rPr/>
        <w:t>satisfaction</w:t>
      </w:r>
      <w:r>
        <w:rPr>
          <w:spacing w:val="11"/>
        </w:rPr>
        <w:t> </w:t>
      </w:r>
      <w:r>
        <w:rPr/>
        <w:t>client</w:t>
      </w:r>
    </w:p>
    <w:p>
      <w:pPr>
        <w:pStyle w:val="BodyText"/>
        <w:spacing w:line="360" w:lineRule="auto" w:before="140"/>
        <w:ind w:left="699" w:right="308" w:firstLine="360"/>
        <w:jc w:val="both"/>
      </w:pPr>
      <w:r>
        <w:rPr/>
        <w:t>Nos résultats ne confirment pas cette hypothèse. Le lien entre la qualité du service client et la satisfaction des utilisateurs n’est pas significatif. Le coefficient B = –0,082, indiquant un effet faible et légèrement négatif. La valeur p = 0,456, ce qui indique que cet effet n’est pas statistiquement significatif. Cela suggère que dans notre étude, la qualité du service client n’a pas eu d’impact manifeste sur la satisfaction des utilisateurs.</w:t>
      </w:r>
    </w:p>
    <w:p>
      <w:pPr>
        <w:pStyle w:val="BodyText"/>
        <w:rPr>
          <w:sz w:val="26"/>
        </w:rPr>
      </w:pPr>
    </w:p>
    <w:p>
      <w:pPr>
        <w:pStyle w:val="BodyText"/>
        <w:spacing w:before="8"/>
        <w:rPr>
          <w:sz w:val="38"/>
        </w:rPr>
      </w:pPr>
    </w:p>
    <w:p>
      <w:pPr>
        <w:pStyle w:val="Heading5"/>
        <w:ind w:left="699" w:firstLine="0"/>
        <w:jc w:val="left"/>
      </w:pPr>
      <w:r>
        <w:rPr/>
        <w:t>Conclusion</w:t>
      </w:r>
    </w:p>
    <w:p>
      <w:pPr>
        <w:pStyle w:val="BodyText"/>
        <w:spacing w:before="3"/>
        <w:rPr>
          <w:b/>
          <w:sz w:val="25"/>
        </w:rPr>
      </w:pPr>
    </w:p>
    <w:p>
      <w:pPr>
        <w:pStyle w:val="BodyText"/>
        <w:spacing w:line="362" w:lineRule="auto"/>
        <w:ind w:left="699" w:right="315" w:firstLine="360"/>
        <w:jc w:val="both"/>
      </w:pPr>
      <w:r>
        <w:rPr/>
        <w:t>Cette étude a permis de mieux comprendre </w:t>
      </w:r>
      <w:r>
        <w:rPr>
          <w:spacing w:val="-4"/>
        </w:rPr>
        <w:t>les </w:t>
      </w:r>
      <w:r>
        <w:rPr/>
        <w:t>éléments qui influencent </w:t>
      </w:r>
      <w:r>
        <w:rPr>
          <w:spacing w:val="-5"/>
        </w:rPr>
        <w:t>la </w:t>
      </w:r>
      <w:r>
        <w:rPr/>
        <w:t>satisfaction des utilisateurs des services de paiement proposés par BaridiMob. Elle s’est basée sur l’analyse des avis</w:t>
      </w:r>
      <w:r>
        <w:rPr>
          <w:spacing w:val="-9"/>
        </w:rPr>
        <w:t> </w:t>
      </w:r>
      <w:r>
        <w:rPr/>
        <w:t>des</w:t>
      </w:r>
      <w:r>
        <w:rPr>
          <w:spacing w:val="-8"/>
        </w:rPr>
        <w:t> </w:t>
      </w:r>
      <w:r>
        <w:rPr/>
        <w:t>usagers</w:t>
      </w:r>
      <w:r>
        <w:rPr>
          <w:spacing w:val="-8"/>
        </w:rPr>
        <w:t> </w:t>
      </w:r>
      <w:r>
        <w:rPr/>
        <w:t>afin</w:t>
      </w:r>
      <w:r>
        <w:rPr>
          <w:spacing w:val="-10"/>
        </w:rPr>
        <w:t> </w:t>
      </w:r>
      <w:r>
        <w:rPr/>
        <w:t>d’identifier</w:t>
      </w:r>
      <w:r>
        <w:rPr>
          <w:spacing w:val="-1"/>
        </w:rPr>
        <w:t> </w:t>
      </w:r>
      <w:r>
        <w:rPr>
          <w:spacing w:val="-4"/>
        </w:rPr>
        <w:t>les</w:t>
      </w:r>
      <w:r>
        <w:rPr>
          <w:spacing w:val="-8"/>
        </w:rPr>
        <w:t> </w:t>
      </w:r>
      <w:r>
        <w:rPr/>
        <w:t>aspects</w:t>
      </w:r>
      <w:r>
        <w:rPr>
          <w:spacing w:val="-8"/>
        </w:rPr>
        <w:t> </w:t>
      </w:r>
      <w:r>
        <w:rPr/>
        <w:t>du</w:t>
      </w:r>
      <w:r>
        <w:rPr>
          <w:spacing w:val="-11"/>
        </w:rPr>
        <w:t> </w:t>
      </w:r>
      <w:r>
        <w:rPr/>
        <w:t>service</w:t>
      </w:r>
      <w:r>
        <w:rPr>
          <w:spacing w:val="-7"/>
        </w:rPr>
        <w:t> </w:t>
      </w:r>
      <w:r>
        <w:rPr/>
        <w:t>qui</w:t>
      </w:r>
      <w:r>
        <w:rPr>
          <w:spacing w:val="-10"/>
        </w:rPr>
        <w:t> </w:t>
      </w:r>
      <w:r>
        <w:rPr/>
        <w:t>méritent</w:t>
      </w:r>
      <w:r>
        <w:rPr>
          <w:spacing w:val="-1"/>
        </w:rPr>
        <w:t> </w:t>
      </w:r>
      <w:r>
        <w:rPr/>
        <w:t>d’être</w:t>
      </w:r>
      <w:r>
        <w:rPr>
          <w:spacing w:val="-12"/>
        </w:rPr>
        <w:t> </w:t>
      </w:r>
      <w:r>
        <w:rPr/>
        <w:t>améliorés</w:t>
      </w:r>
      <w:r>
        <w:rPr>
          <w:spacing w:val="-8"/>
        </w:rPr>
        <w:t> </w:t>
      </w:r>
      <w:r>
        <w:rPr/>
        <w:t>pour</w:t>
      </w:r>
      <w:r>
        <w:rPr>
          <w:spacing w:val="-9"/>
        </w:rPr>
        <w:t> </w:t>
      </w:r>
      <w:r>
        <w:rPr/>
        <w:t>répondre au mieux à leurs</w:t>
      </w:r>
      <w:r>
        <w:rPr>
          <w:spacing w:val="8"/>
        </w:rPr>
        <w:t> </w:t>
      </w:r>
      <w:r>
        <w:rPr/>
        <w:t>attentes.</w:t>
      </w:r>
    </w:p>
    <w:p>
      <w:pPr>
        <w:pStyle w:val="BodyText"/>
        <w:spacing w:line="360" w:lineRule="auto" w:before="148"/>
        <w:ind w:left="699" w:right="309" w:firstLine="360"/>
        <w:jc w:val="both"/>
      </w:pPr>
      <w:r>
        <w:rPr/>
        <w:t>L’analyse des résultats, appuyée par des outils statistiques tels que les tableaux croisés, </w:t>
      </w:r>
      <w:r>
        <w:rPr>
          <w:spacing w:val="-5"/>
        </w:rPr>
        <w:t>la </w:t>
      </w:r>
      <w:r>
        <w:rPr/>
        <w:t>corrélation et </w:t>
      </w:r>
      <w:r>
        <w:rPr>
          <w:spacing w:val="-5"/>
        </w:rPr>
        <w:t>la </w:t>
      </w:r>
      <w:r>
        <w:rPr/>
        <w:t>régression linéaire, a permis de mettre en évidence </w:t>
      </w:r>
      <w:r>
        <w:rPr>
          <w:spacing w:val="-3"/>
        </w:rPr>
        <w:t>les </w:t>
      </w:r>
      <w:r>
        <w:rPr/>
        <w:t>principaux facteurs influençant </w:t>
      </w:r>
      <w:r>
        <w:rPr>
          <w:spacing w:val="-5"/>
        </w:rPr>
        <w:t>la </w:t>
      </w:r>
      <w:r>
        <w:rPr/>
        <w:t>satisfaction des utilisateurs. Les résultats ont montré que </w:t>
      </w:r>
      <w:r>
        <w:rPr>
          <w:spacing w:val="-5"/>
        </w:rPr>
        <w:t>la </w:t>
      </w:r>
      <w:r>
        <w:rPr/>
        <w:t>perception de sécurité exerce un effet positif significatif sur </w:t>
      </w:r>
      <w:r>
        <w:rPr>
          <w:spacing w:val="-5"/>
        </w:rPr>
        <w:t>la </w:t>
      </w:r>
      <w:r>
        <w:rPr/>
        <w:t>satisfaction des utilisateurs. En revanche, </w:t>
      </w:r>
      <w:r>
        <w:rPr>
          <w:spacing w:val="-4"/>
        </w:rPr>
        <w:t>les </w:t>
      </w:r>
      <w:r>
        <w:rPr/>
        <w:t>bugs (les dysfonctionnements), bien qu’ils puissent gêner l’expérience, </w:t>
      </w:r>
      <w:r>
        <w:rPr>
          <w:spacing w:val="-3"/>
        </w:rPr>
        <w:t>ne </w:t>
      </w:r>
      <w:r>
        <w:rPr/>
        <w:t>présentent pas d’impact statistiquement significatif sur </w:t>
      </w:r>
      <w:r>
        <w:rPr>
          <w:spacing w:val="-5"/>
        </w:rPr>
        <w:t>le </w:t>
      </w:r>
      <w:r>
        <w:rPr/>
        <w:t>niveau de satisfaction. L’indisponibilité du service a révélé un effet négatif fort, traduisant une source importante d’insatisfaction. </w:t>
      </w:r>
      <w:r>
        <w:rPr>
          <w:spacing w:val="-3"/>
        </w:rPr>
        <w:t>Enfin, </w:t>
      </w:r>
      <w:r>
        <w:rPr>
          <w:spacing w:val="-5"/>
        </w:rPr>
        <w:t>la </w:t>
      </w:r>
      <w:r>
        <w:rPr/>
        <w:t>qualité du service client</w:t>
      </w:r>
      <w:r>
        <w:rPr>
          <w:spacing w:val="-9"/>
        </w:rPr>
        <w:t> </w:t>
      </w:r>
      <w:r>
        <w:rPr/>
        <w:t>n’a</w:t>
      </w:r>
      <w:r>
        <w:rPr>
          <w:spacing w:val="-14"/>
        </w:rPr>
        <w:t> </w:t>
      </w:r>
      <w:r>
        <w:rPr/>
        <w:t>pas</w:t>
      </w:r>
      <w:r>
        <w:rPr>
          <w:spacing w:val="-11"/>
        </w:rPr>
        <w:t> </w:t>
      </w:r>
      <w:r>
        <w:rPr/>
        <w:t>montré</w:t>
      </w:r>
      <w:r>
        <w:rPr>
          <w:spacing w:val="-14"/>
        </w:rPr>
        <w:t> </w:t>
      </w:r>
      <w:r>
        <w:rPr/>
        <w:t>de</w:t>
      </w:r>
      <w:r>
        <w:rPr>
          <w:spacing w:val="-14"/>
        </w:rPr>
        <w:t> </w:t>
      </w:r>
      <w:r>
        <w:rPr/>
        <w:t>lien</w:t>
      </w:r>
      <w:r>
        <w:rPr>
          <w:spacing w:val="-13"/>
        </w:rPr>
        <w:t> </w:t>
      </w:r>
      <w:r>
        <w:rPr/>
        <w:t>significatif</w:t>
      </w:r>
      <w:r>
        <w:rPr>
          <w:spacing w:val="-17"/>
        </w:rPr>
        <w:t> </w:t>
      </w:r>
      <w:r>
        <w:rPr/>
        <w:t>avec</w:t>
      </w:r>
      <w:r>
        <w:rPr>
          <w:spacing w:val="-10"/>
        </w:rPr>
        <w:t> </w:t>
      </w:r>
      <w:r>
        <w:rPr>
          <w:spacing w:val="-3"/>
        </w:rPr>
        <w:t>la</w:t>
      </w:r>
      <w:r>
        <w:rPr>
          <w:spacing w:val="-14"/>
        </w:rPr>
        <w:t> </w:t>
      </w:r>
      <w:r>
        <w:rPr/>
        <w:t>satisfaction</w:t>
      </w:r>
      <w:r>
        <w:rPr>
          <w:spacing w:val="-18"/>
        </w:rPr>
        <w:t> </w:t>
      </w:r>
      <w:r>
        <w:rPr/>
        <w:t>des</w:t>
      </w:r>
      <w:r>
        <w:rPr>
          <w:spacing w:val="-16"/>
        </w:rPr>
        <w:t> </w:t>
      </w:r>
      <w:r>
        <w:rPr/>
        <w:t>usagers</w:t>
      </w:r>
      <w:r>
        <w:rPr>
          <w:spacing w:val="-16"/>
        </w:rPr>
        <w:t> </w:t>
      </w:r>
      <w:r>
        <w:rPr/>
        <w:t>dans</w:t>
      </w:r>
      <w:r>
        <w:rPr>
          <w:spacing w:val="-11"/>
        </w:rPr>
        <w:t> </w:t>
      </w:r>
      <w:r>
        <w:rPr>
          <w:spacing w:val="-3"/>
        </w:rPr>
        <w:t>le</w:t>
      </w:r>
      <w:r>
        <w:rPr>
          <w:spacing w:val="-15"/>
        </w:rPr>
        <w:t> </w:t>
      </w:r>
      <w:r>
        <w:rPr/>
        <w:t>cadre</w:t>
      </w:r>
      <w:r>
        <w:rPr>
          <w:spacing w:val="-14"/>
        </w:rPr>
        <w:t> </w:t>
      </w:r>
      <w:r>
        <w:rPr/>
        <w:t>de</w:t>
      </w:r>
      <w:r>
        <w:rPr>
          <w:spacing w:val="-14"/>
        </w:rPr>
        <w:t> </w:t>
      </w:r>
      <w:r>
        <w:rPr/>
        <w:t>cette</w:t>
      </w:r>
      <w:r>
        <w:rPr>
          <w:spacing w:val="-14"/>
        </w:rPr>
        <w:t> </w:t>
      </w:r>
      <w:r>
        <w:rPr/>
        <w:t>étude.</w:t>
      </w:r>
    </w:p>
    <w:p>
      <w:pPr>
        <w:pStyle w:val="BodyText"/>
        <w:spacing w:line="360" w:lineRule="auto" w:before="165"/>
        <w:ind w:left="699" w:right="325" w:firstLine="360"/>
        <w:jc w:val="both"/>
      </w:pPr>
      <w:r>
        <w:rPr/>
        <w:t>Ainsi, pour améliorer la satisfaction des clients de BaridiMob, il est essentiel de garantir un service fiable, simple à utiliser, sécurisé et disponible à tout moment. Ces conditions sont indispensables pour renforcer la confiance des usagers, encourager leur fidélité et améliorer leur expérience globale.</w:t>
      </w:r>
    </w:p>
    <w:p>
      <w:pPr>
        <w:spacing w:after="0" w:line="360" w:lineRule="auto"/>
        <w:jc w:val="both"/>
        <w:sectPr>
          <w:pgSz w:w="12240" w:h="15840"/>
          <w:pgMar w:header="723" w:footer="850" w:top="1080" w:bottom="1040" w:left="1000" w:right="820"/>
        </w:sectPr>
      </w:pPr>
    </w:p>
    <w:p>
      <w:pPr>
        <w:pStyle w:val="BodyText"/>
        <w:spacing w:before="4"/>
        <w:rPr>
          <w:sz w:val="27"/>
        </w:rPr>
      </w:pPr>
    </w:p>
    <w:p>
      <w:pPr>
        <w:pStyle w:val="Heading2"/>
        <w:ind w:left="699"/>
        <w:jc w:val="left"/>
      </w:pPr>
      <w:bookmarkStart w:name="Conclusion générale" w:id="268"/>
      <w:bookmarkEnd w:id="268"/>
      <w:r>
        <w:rPr>
          <w:b w:val="0"/>
        </w:rPr>
      </w:r>
      <w:bookmarkStart w:name="_bookmark74" w:id="269"/>
      <w:bookmarkEnd w:id="269"/>
      <w:r>
        <w:rPr>
          <w:b w:val="0"/>
        </w:rPr>
      </w:r>
      <w:r>
        <w:rPr/>
        <w:t>Conclusion générale</w:t>
      </w:r>
    </w:p>
    <w:p>
      <w:pPr>
        <w:pStyle w:val="BodyText"/>
        <w:spacing w:line="362" w:lineRule="auto" w:before="177"/>
        <w:ind w:left="699" w:right="310" w:firstLine="360"/>
        <w:jc w:val="both"/>
      </w:pPr>
      <w:r>
        <w:rPr/>
        <w:t>La</w:t>
      </w:r>
      <w:r>
        <w:rPr>
          <w:spacing w:val="-8"/>
        </w:rPr>
        <w:t> </w:t>
      </w:r>
      <w:r>
        <w:rPr/>
        <w:t>digitalisation</w:t>
      </w:r>
      <w:r>
        <w:rPr>
          <w:spacing w:val="-11"/>
        </w:rPr>
        <w:t> </w:t>
      </w:r>
      <w:r>
        <w:rPr/>
        <w:t>des</w:t>
      </w:r>
      <w:r>
        <w:rPr>
          <w:spacing w:val="-4"/>
        </w:rPr>
        <w:t> </w:t>
      </w:r>
      <w:r>
        <w:rPr/>
        <w:t>moyens</w:t>
      </w:r>
      <w:r>
        <w:rPr>
          <w:spacing w:val="-9"/>
        </w:rPr>
        <w:t> </w:t>
      </w:r>
      <w:r>
        <w:rPr/>
        <w:t>de</w:t>
      </w:r>
      <w:r>
        <w:rPr>
          <w:spacing w:val="-8"/>
        </w:rPr>
        <w:t> </w:t>
      </w:r>
      <w:r>
        <w:rPr/>
        <w:t>paiement</w:t>
      </w:r>
      <w:r>
        <w:rPr>
          <w:spacing w:val="-2"/>
        </w:rPr>
        <w:t> </w:t>
      </w:r>
      <w:r>
        <w:rPr/>
        <w:t>transforme</w:t>
      </w:r>
      <w:r>
        <w:rPr>
          <w:spacing w:val="-7"/>
        </w:rPr>
        <w:t> </w:t>
      </w:r>
      <w:r>
        <w:rPr/>
        <w:t>en</w:t>
      </w:r>
      <w:r>
        <w:rPr>
          <w:spacing w:val="-11"/>
        </w:rPr>
        <w:t> </w:t>
      </w:r>
      <w:r>
        <w:rPr/>
        <w:t>profondeur</w:t>
      </w:r>
      <w:r>
        <w:rPr>
          <w:spacing w:val="-2"/>
        </w:rPr>
        <w:t> </w:t>
      </w:r>
      <w:r>
        <w:rPr/>
        <w:t>les</w:t>
      </w:r>
      <w:r>
        <w:rPr>
          <w:spacing w:val="-8"/>
        </w:rPr>
        <w:t> </w:t>
      </w:r>
      <w:r>
        <w:rPr/>
        <w:t>échanges</w:t>
      </w:r>
      <w:r>
        <w:rPr>
          <w:spacing w:val="-9"/>
        </w:rPr>
        <w:t> </w:t>
      </w:r>
      <w:r>
        <w:rPr/>
        <w:t>économiques en</w:t>
      </w:r>
      <w:r>
        <w:rPr>
          <w:spacing w:val="-21"/>
        </w:rPr>
        <w:t> </w:t>
      </w:r>
      <w:r>
        <w:rPr/>
        <w:t>offrant</w:t>
      </w:r>
      <w:r>
        <w:rPr>
          <w:spacing w:val="-10"/>
        </w:rPr>
        <w:t> </w:t>
      </w:r>
      <w:r>
        <w:rPr/>
        <w:t>des</w:t>
      </w:r>
      <w:r>
        <w:rPr>
          <w:spacing w:val="-18"/>
        </w:rPr>
        <w:t> </w:t>
      </w:r>
      <w:r>
        <w:rPr/>
        <w:t>solutions</w:t>
      </w:r>
      <w:r>
        <w:rPr>
          <w:spacing w:val="-19"/>
        </w:rPr>
        <w:t> </w:t>
      </w:r>
      <w:r>
        <w:rPr/>
        <w:t>rapides,</w:t>
      </w:r>
      <w:r>
        <w:rPr>
          <w:spacing w:val="-13"/>
        </w:rPr>
        <w:t> </w:t>
      </w:r>
      <w:r>
        <w:rPr/>
        <w:t>sécurisées</w:t>
      </w:r>
      <w:r>
        <w:rPr>
          <w:spacing w:val="-18"/>
        </w:rPr>
        <w:t> </w:t>
      </w:r>
      <w:r>
        <w:rPr/>
        <w:t>et</w:t>
      </w:r>
      <w:r>
        <w:rPr>
          <w:spacing w:val="-11"/>
        </w:rPr>
        <w:t> </w:t>
      </w:r>
      <w:r>
        <w:rPr/>
        <w:t>accessibles.</w:t>
      </w:r>
      <w:r>
        <w:rPr>
          <w:spacing w:val="-14"/>
        </w:rPr>
        <w:t> </w:t>
      </w:r>
      <w:r>
        <w:rPr/>
        <w:t>Elle</w:t>
      </w:r>
      <w:r>
        <w:rPr>
          <w:spacing w:val="-16"/>
        </w:rPr>
        <w:t> </w:t>
      </w:r>
      <w:r>
        <w:rPr/>
        <w:t>permet</w:t>
      </w:r>
      <w:r>
        <w:rPr>
          <w:spacing w:val="-11"/>
        </w:rPr>
        <w:t> </w:t>
      </w:r>
      <w:r>
        <w:rPr/>
        <w:t>aux</w:t>
      </w:r>
      <w:r>
        <w:rPr>
          <w:spacing w:val="-20"/>
        </w:rPr>
        <w:t> </w:t>
      </w:r>
      <w:r>
        <w:rPr/>
        <w:t>États</w:t>
      </w:r>
      <w:r>
        <w:rPr>
          <w:spacing w:val="-18"/>
        </w:rPr>
        <w:t> </w:t>
      </w:r>
      <w:r>
        <w:rPr/>
        <w:t>de</w:t>
      </w:r>
      <w:r>
        <w:rPr>
          <w:spacing w:val="-21"/>
        </w:rPr>
        <w:t> </w:t>
      </w:r>
      <w:r>
        <w:rPr/>
        <w:t>réduire</w:t>
      </w:r>
      <w:r>
        <w:rPr>
          <w:spacing w:val="-13"/>
        </w:rPr>
        <w:t> </w:t>
      </w:r>
      <w:r>
        <w:rPr/>
        <w:t>les</w:t>
      </w:r>
      <w:r>
        <w:rPr>
          <w:spacing w:val="-18"/>
        </w:rPr>
        <w:t> </w:t>
      </w:r>
      <w:r>
        <w:rPr/>
        <w:t>coûts, d’améliorer </w:t>
      </w:r>
      <w:r>
        <w:rPr>
          <w:spacing w:val="-3"/>
        </w:rPr>
        <w:t>la </w:t>
      </w:r>
      <w:r>
        <w:rPr/>
        <w:t>transparence et d’optimiser </w:t>
      </w:r>
      <w:r>
        <w:rPr>
          <w:spacing w:val="-5"/>
        </w:rPr>
        <w:t>la </w:t>
      </w:r>
      <w:r>
        <w:rPr/>
        <w:t>collecte des ressources publiques. Les entreprises y voient un </w:t>
      </w:r>
      <w:r>
        <w:rPr>
          <w:spacing w:val="-3"/>
        </w:rPr>
        <w:t>levier </w:t>
      </w:r>
      <w:r>
        <w:rPr/>
        <w:t>stratégique pour renforcer </w:t>
      </w:r>
      <w:r>
        <w:rPr>
          <w:spacing w:val="-5"/>
        </w:rPr>
        <w:t>la </w:t>
      </w:r>
      <w:r>
        <w:rPr/>
        <w:t>satisfaction et </w:t>
      </w:r>
      <w:r>
        <w:rPr>
          <w:spacing w:val="-5"/>
        </w:rPr>
        <w:t>la </w:t>
      </w:r>
      <w:r>
        <w:rPr/>
        <w:t>fidélisation des clients, tout en facilitant leurs relations avec</w:t>
      </w:r>
      <w:r>
        <w:rPr>
          <w:spacing w:val="11"/>
        </w:rPr>
        <w:t> </w:t>
      </w:r>
      <w:r>
        <w:rPr/>
        <w:t>eux.</w:t>
      </w:r>
    </w:p>
    <w:p>
      <w:pPr>
        <w:spacing w:line="360" w:lineRule="auto" w:before="150"/>
        <w:ind w:left="699" w:right="316" w:firstLine="360"/>
        <w:jc w:val="both"/>
        <w:rPr>
          <w:sz w:val="24"/>
        </w:rPr>
      </w:pPr>
      <w:r>
        <w:rPr>
          <w:sz w:val="24"/>
        </w:rPr>
        <w:t>L’analyse</w:t>
      </w:r>
      <w:r>
        <w:rPr>
          <w:spacing w:val="-1"/>
          <w:sz w:val="24"/>
        </w:rPr>
        <w:t> </w:t>
      </w:r>
      <w:r>
        <w:rPr>
          <w:sz w:val="24"/>
        </w:rPr>
        <w:t>menée</w:t>
      </w:r>
      <w:r>
        <w:rPr>
          <w:spacing w:val="-5"/>
          <w:sz w:val="24"/>
        </w:rPr>
        <w:t> </w:t>
      </w:r>
      <w:r>
        <w:rPr>
          <w:sz w:val="24"/>
        </w:rPr>
        <w:t>dans</w:t>
      </w:r>
      <w:r>
        <w:rPr>
          <w:spacing w:val="-2"/>
          <w:sz w:val="24"/>
        </w:rPr>
        <w:t> </w:t>
      </w:r>
      <w:r>
        <w:rPr>
          <w:spacing w:val="-3"/>
          <w:sz w:val="24"/>
        </w:rPr>
        <w:t>le</w:t>
      </w:r>
      <w:r>
        <w:rPr>
          <w:spacing w:val="-5"/>
          <w:sz w:val="24"/>
        </w:rPr>
        <w:t> </w:t>
      </w:r>
      <w:r>
        <w:rPr>
          <w:sz w:val="24"/>
        </w:rPr>
        <w:t>cadre</w:t>
      </w:r>
      <w:r>
        <w:rPr>
          <w:spacing w:val="-6"/>
          <w:sz w:val="24"/>
        </w:rPr>
        <w:t> </w:t>
      </w:r>
      <w:r>
        <w:rPr>
          <w:sz w:val="24"/>
        </w:rPr>
        <w:t>de</w:t>
      </w:r>
      <w:r>
        <w:rPr>
          <w:spacing w:val="-5"/>
          <w:sz w:val="24"/>
        </w:rPr>
        <w:t> </w:t>
      </w:r>
      <w:r>
        <w:rPr>
          <w:sz w:val="24"/>
        </w:rPr>
        <w:t>ce</w:t>
      </w:r>
      <w:r>
        <w:rPr>
          <w:spacing w:val="-5"/>
          <w:sz w:val="24"/>
        </w:rPr>
        <w:t> </w:t>
      </w:r>
      <w:r>
        <w:rPr>
          <w:sz w:val="24"/>
        </w:rPr>
        <w:t>travail</w:t>
      </w:r>
      <w:r>
        <w:rPr>
          <w:spacing w:val="-9"/>
          <w:sz w:val="24"/>
        </w:rPr>
        <w:t> </w:t>
      </w:r>
      <w:r>
        <w:rPr>
          <w:sz w:val="24"/>
        </w:rPr>
        <w:t>a</w:t>
      </w:r>
      <w:r>
        <w:rPr>
          <w:spacing w:val="-5"/>
          <w:sz w:val="24"/>
        </w:rPr>
        <w:t> </w:t>
      </w:r>
      <w:r>
        <w:rPr>
          <w:sz w:val="24"/>
        </w:rPr>
        <w:t>permis</w:t>
      </w:r>
      <w:r>
        <w:rPr>
          <w:spacing w:val="-6"/>
          <w:sz w:val="24"/>
        </w:rPr>
        <w:t> </w:t>
      </w:r>
      <w:r>
        <w:rPr>
          <w:sz w:val="24"/>
        </w:rPr>
        <w:t>de</w:t>
      </w:r>
      <w:r>
        <w:rPr>
          <w:spacing w:val="-6"/>
          <w:sz w:val="24"/>
        </w:rPr>
        <w:t> </w:t>
      </w:r>
      <w:r>
        <w:rPr>
          <w:sz w:val="24"/>
        </w:rPr>
        <w:t>répondre</w:t>
      </w:r>
      <w:r>
        <w:rPr>
          <w:spacing w:val="-5"/>
          <w:sz w:val="24"/>
        </w:rPr>
        <w:t> </w:t>
      </w:r>
      <w:r>
        <w:rPr>
          <w:sz w:val="24"/>
        </w:rPr>
        <w:t>de</w:t>
      </w:r>
      <w:r>
        <w:rPr>
          <w:spacing w:val="-1"/>
          <w:sz w:val="24"/>
        </w:rPr>
        <w:t> </w:t>
      </w:r>
      <w:r>
        <w:rPr>
          <w:sz w:val="24"/>
        </w:rPr>
        <w:t>manière</w:t>
      </w:r>
      <w:r>
        <w:rPr>
          <w:spacing w:val="-5"/>
          <w:sz w:val="24"/>
        </w:rPr>
        <w:t> </w:t>
      </w:r>
      <w:r>
        <w:rPr>
          <w:sz w:val="24"/>
        </w:rPr>
        <w:t>convaincante</w:t>
      </w:r>
      <w:r>
        <w:rPr>
          <w:spacing w:val="-5"/>
          <w:sz w:val="24"/>
        </w:rPr>
        <w:t> </w:t>
      </w:r>
      <w:r>
        <w:rPr>
          <w:sz w:val="24"/>
        </w:rPr>
        <w:t>à</w:t>
      </w:r>
      <w:r>
        <w:rPr>
          <w:spacing w:val="-6"/>
          <w:sz w:val="24"/>
        </w:rPr>
        <w:t> </w:t>
      </w:r>
      <w:r>
        <w:rPr>
          <w:spacing w:val="-3"/>
          <w:sz w:val="24"/>
        </w:rPr>
        <w:t>la </w:t>
      </w:r>
      <w:r>
        <w:rPr>
          <w:sz w:val="24"/>
        </w:rPr>
        <w:t>question de départ : </w:t>
      </w:r>
      <w:r>
        <w:rPr>
          <w:b/>
          <w:sz w:val="24"/>
        </w:rPr>
        <w:t>Comment améliorer les services de paiement de BaridiMob pour une meilleure</w:t>
      </w:r>
      <w:r>
        <w:rPr>
          <w:b/>
          <w:spacing w:val="-15"/>
          <w:sz w:val="24"/>
        </w:rPr>
        <w:t> </w:t>
      </w:r>
      <w:r>
        <w:rPr>
          <w:b/>
          <w:sz w:val="24"/>
        </w:rPr>
        <w:t>satisfaction</w:t>
      </w:r>
      <w:r>
        <w:rPr>
          <w:b/>
          <w:spacing w:val="-13"/>
          <w:sz w:val="24"/>
        </w:rPr>
        <w:t> </w:t>
      </w:r>
      <w:r>
        <w:rPr>
          <w:b/>
          <w:sz w:val="24"/>
        </w:rPr>
        <w:t>client,</w:t>
      </w:r>
      <w:r>
        <w:rPr>
          <w:b/>
          <w:spacing w:val="-12"/>
          <w:sz w:val="24"/>
        </w:rPr>
        <w:t> </w:t>
      </w:r>
      <w:r>
        <w:rPr>
          <w:b/>
          <w:sz w:val="24"/>
        </w:rPr>
        <w:t>en</w:t>
      </w:r>
      <w:r>
        <w:rPr>
          <w:b/>
          <w:spacing w:val="-17"/>
          <w:sz w:val="24"/>
        </w:rPr>
        <w:t> </w:t>
      </w:r>
      <w:r>
        <w:rPr>
          <w:b/>
          <w:sz w:val="24"/>
        </w:rPr>
        <w:t>garantissant</w:t>
      </w:r>
      <w:r>
        <w:rPr>
          <w:b/>
          <w:spacing w:val="-13"/>
          <w:sz w:val="24"/>
        </w:rPr>
        <w:t> </w:t>
      </w:r>
      <w:r>
        <w:rPr>
          <w:b/>
          <w:sz w:val="24"/>
        </w:rPr>
        <w:t>une</w:t>
      </w:r>
      <w:r>
        <w:rPr>
          <w:b/>
          <w:spacing w:val="-23"/>
          <w:sz w:val="24"/>
        </w:rPr>
        <w:t> </w:t>
      </w:r>
      <w:r>
        <w:rPr>
          <w:b/>
          <w:sz w:val="24"/>
        </w:rPr>
        <w:t>utilisation</w:t>
      </w:r>
      <w:r>
        <w:rPr>
          <w:b/>
          <w:spacing w:val="-12"/>
          <w:sz w:val="24"/>
        </w:rPr>
        <w:t> </w:t>
      </w:r>
      <w:r>
        <w:rPr>
          <w:b/>
          <w:sz w:val="24"/>
        </w:rPr>
        <w:t>fluide,</w:t>
      </w:r>
      <w:r>
        <w:rPr>
          <w:b/>
          <w:spacing w:val="-12"/>
          <w:sz w:val="24"/>
        </w:rPr>
        <w:t> </w:t>
      </w:r>
      <w:r>
        <w:rPr>
          <w:b/>
          <w:sz w:val="24"/>
        </w:rPr>
        <w:t>sécurisée</w:t>
      </w:r>
      <w:r>
        <w:rPr>
          <w:b/>
          <w:spacing w:val="-15"/>
          <w:sz w:val="24"/>
        </w:rPr>
        <w:t> </w:t>
      </w:r>
      <w:r>
        <w:rPr>
          <w:b/>
          <w:sz w:val="24"/>
        </w:rPr>
        <w:t>et</w:t>
      </w:r>
      <w:r>
        <w:rPr>
          <w:b/>
          <w:spacing w:val="-12"/>
          <w:sz w:val="24"/>
        </w:rPr>
        <w:t> </w:t>
      </w:r>
      <w:r>
        <w:rPr>
          <w:b/>
          <w:sz w:val="24"/>
        </w:rPr>
        <w:t>accessible,</w:t>
      </w:r>
      <w:r>
        <w:rPr>
          <w:b/>
          <w:spacing w:val="-13"/>
          <w:sz w:val="24"/>
        </w:rPr>
        <w:t> </w:t>
      </w:r>
      <w:r>
        <w:rPr>
          <w:b/>
          <w:sz w:val="24"/>
        </w:rPr>
        <w:t>tout en réduisant les dysfonctionnements et les délais de traitement</w:t>
      </w:r>
      <w:r>
        <w:rPr>
          <w:b/>
          <w:spacing w:val="7"/>
          <w:sz w:val="24"/>
        </w:rPr>
        <w:t> </w:t>
      </w:r>
      <w:r>
        <w:rPr>
          <w:sz w:val="24"/>
        </w:rPr>
        <w:t>?</w:t>
      </w:r>
    </w:p>
    <w:p>
      <w:pPr>
        <w:pStyle w:val="BodyText"/>
        <w:spacing w:line="362" w:lineRule="auto" w:before="159"/>
        <w:ind w:left="699" w:right="327" w:firstLine="360"/>
        <w:jc w:val="both"/>
      </w:pPr>
      <w:r>
        <w:rPr/>
        <w:t>La problématique a été traitée à travers une démarche structurée en deux chapitres se complétant mutuellement.</w:t>
      </w:r>
    </w:p>
    <w:p>
      <w:pPr>
        <w:pStyle w:val="BodyText"/>
        <w:spacing w:line="360" w:lineRule="auto" w:before="155"/>
        <w:ind w:left="699" w:right="312" w:firstLine="360"/>
        <w:jc w:val="both"/>
      </w:pPr>
      <w:r>
        <w:rPr/>
        <w:t>Le premier chapitre a posé </w:t>
      </w:r>
      <w:r>
        <w:rPr>
          <w:spacing w:val="-4"/>
        </w:rPr>
        <w:t>les </w:t>
      </w:r>
      <w:r>
        <w:rPr/>
        <w:t>fondations théoriques nécessaires à </w:t>
      </w:r>
      <w:r>
        <w:rPr>
          <w:spacing w:val="-5"/>
        </w:rPr>
        <w:t>la </w:t>
      </w:r>
      <w:r>
        <w:rPr/>
        <w:t>compréhension du lien entre </w:t>
      </w:r>
      <w:r>
        <w:rPr>
          <w:spacing w:val="-3"/>
        </w:rPr>
        <w:t>les </w:t>
      </w:r>
      <w:r>
        <w:rPr/>
        <w:t>solutions de paiement digital et </w:t>
      </w:r>
      <w:r>
        <w:rPr>
          <w:spacing w:val="-3"/>
        </w:rPr>
        <w:t>la </w:t>
      </w:r>
      <w:r>
        <w:rPr/>
        <w:t>satisfaction client. Après avoir défini les paiements digitaux, leur évolution, avantages et inconvénients, </w:t>
      </w:r>
      <w:r>
        <w:rPr>
          <w:spacing w:val="-3"/>
        </w:rPr>
        <w:t>il </w:t>
      </w:r>
      <w:r>
        <w:rPr/>
        <w:t>nous a </w:t>
      </w:r>
      <w:r>
        <w:rPr>
          <w:spacing w:val="-3"/>
        </w:rPr>
        <w:t>permis </w:t>
      </w:r>
      <w:r>
        <w:rPr/>
        <w:t>de présenter </w:t>
      </w:r>
      <w:r>
        <w:rPr>
          <w:spacing w:val="-5"/>
        </w:rPr>
        <w:t>la </w:t>
      </w:r>
      <w:r>
        <w:rPr/>
        <w:t>situation spécifique en Algérie et </w:t>
      </w:r>
      <w:r>
        <w:rPr>
          <w:spacing w:val="-5"/>
        </w:rPr>
        <w:t>le </w:t>
      </w:r>
      <w:r>
        <w:rPr/>
        <w:t>cadre juridique applicable, notamment dans </w:t>
      </w:r>
      <w:r>
        <w:rPr>
          <w:spacing w:val="-3"/>
        </w:rPr>
        <w:t>le </w:t>
      </w:r>
      <w:r>
        <w:rPr/>
        <w:t>contexte de BaridiMob. Par</w:t>
      </w:r>
      <w:r>
        <w:rPr>
          <w:spacing w:val="-6"/>
        </w:rPr>
        <w:t> </w:t>
      </w:r>
      <w:r>
        <w:rPr/>
        <w:t>ailleurs,</w:t>
      </w:r>
      <w:r>
        <w:rPr>
          <w:spacing w:val="2"/>
        </w:rPr>
        <w:t> </w:t>
      </w:r>
      <w:r>
        <w:rPr>
          <w:spacing w:val="-3"/>
        </w:rPr>
        <w:t>le</w:t>
      </w:r>
      <w:r>
        <w:rPr>
          <w:spacing w:val="-9"/>
        </w:rPr>
        <w:t> </w:t>
      </w:r>
      <w:r>
        <w:rPr/>
        <w:t>concept</w:t>
      </w:r>
      <w:r>
        <w:rPr>
          <w:spacing w:val="-2"/>
        </w:rPr>
        <w:t> </w:t>
      </w:r>
      <w:r>
        <w:rPr/>
        <w:t>de</w:t>
      </w:r>
      <w:r>
        <w:rPr>
          <w:spacing w:val="-8"/>
        </w:rPr>
        <w:t> </w:t>
      </w:r>
      <w:r>
        <w:rPr/>
        <w:t>satisfaction</w:t>
      </w:r>
      <w:r>
        <w:rPr>
          <w:spacing w:val="-12"/>
        </w:rPr>
        <w:t> </w:t>
      </w:r>
      <w:r>
        <w:rPr/>
        <w:t>client</w:t>
      </w:r>
      <w:r>
        <w:rPr>
          <w:spacing w:val="-2"/>
        </w:rPr>
        <w:t> </w:t>
      </w:r>
      <w:r>
        <w:rPr/>
        <w:t>est</w:t>
      </w:r>
      <w:r>
        <w:rPr>
          <w:spacing w:val="-3"/>
        </w:rPr>
        <w:t> </w:t>
      </w:r>
      <w:r>
        <w:rPr/>
        <w:t>clarifié</w:t>
      </w:r>
      <w:r>
        <w:rPr>
          <w:spacing w:val="-8"/>
        </w:rPr>
        <w:t> </w:t>
      </w:r>
      <w:r>
        <w:rPr/>
        <w:t>en</w:t>
      </w:r>
      <w:r>
        <w:rPr>
          <w:spacing w:val="-7"/>
        </w:rPr>
        <w:t> </w:t>
      </w:r>
      <w:r>
        <w:rPr/>
        <w:t>mettant</w:t>
      </w:r>
      <w:r>
        <w:rPr>
          <w:spacing w:val="-6"/>
        </w:rPr>
        <w:t> </w:t>
      </w:r>
      <w:r>
        <w:rPr/>
        <w:t>en</w:t>
      </w:r>
      <w:r>
        <w:rPr>
          <w:spacing w:val="-12"/>
        </w:rPr>
        <w:t> </w:t>
      </w:r>
      <w:r>
        <w:rPr/>
        <w:t>évidence</w:t>
      </w:r>
      <w:r>
        <w:rPr>
          <w:spacing w:val="-8"/>
        </w:rPr>
        <w:t> </w:t>
      </w:r>
      <w:r>
        <w:rPr/>
        <w:t>son</w:t>
      </w:r>
      <w:r>
        <w:rPr>
          <w:spacing w:val="-7"/>
        </w:rPr>
        <w:t> </w:t>
      </w:r>
      <w:r>
        <w:rPr/>
        <w:t>importance,</w:t>
      </w:r>
      <w:r>
        <w:rPr>
          <w:spacing w:val="-5"/>
        </w:rPr>
        <w:t> </w:t>
      </w:r>
      <w:r>
        <w:rPr>
          <w:spacing w:val="-3"/>
        </w:rPr>
        <w:t>les </w:t>
      </w:r>
      <w:r>
        <w:rPr/>
        <w:t>facteurs qui l’influencent ainsi que les méthodes utilisées pour sa</w:t>
      </w:r>
      <w:r>
        <w:rPr>
          <w:spacing w:val="3"/>
        </w:rPr>
        <w:t> </w:t>
      </w:r>
      <w:r>
        <w:rPr/>
        <w:t>mesure.</w:t>
      </w:r>
    </w:p>
    <w:p>
      <w:pPr>
        <w:pStyle w:val="BodyText"/>
        <w:spacing w:line="360" w:lineRule="auto" w:before="162"/>
        <w:ind w:left="699" w:right="307" w:firstLine="360"/>
        <w:jc w:val="both"/>
      </w:pPr>
      <w:r>
        <w:rPr/>
        <w:t>Le deuxième chapitre, pour sa part, </w:t>
      </w:r>
      <w:r>
        <w:rPr>
          <w:spacing w:val="-3"/>
        </w:rPr>
        <w:t>est </w:t>
      </w:r>
      <w:r>
        <w:rPr/>
        <w:t>dédié à l’aspect pratique. </w:t>
      </w:r>
      <w:r>
        <w:rPr>
          <w:spacing w:val="3"/>
        </w:rPr>
        <w:t>Il </w:t>
      </w:r>
      <w:r>
        <w:rPr/>
        <w:t>s’appuie sur l’étude </w:t>
      </w:r>
      <w:r>
        <w:rPr>
          <w:spacing w:val="-3"/>
        </w:rPr>
        <w:t>et </w:t>
      </w:r>
      <w:r>
        <w:rPr/>
        <w:t>l’analyse du cas de l’application BaridiMob afin d’évaluer </w:t>
      </w:r>
      <w:r>
        <w:rPr>
          <w:spacing w:val="-5"/>
        </w:rPr>
        <w:t>le </w:t>
      </w:r>
      <w:r>
        <w:rPr/>
        <w:t>niveau de satisfaction de ses utilisateurs. Ce chapitre commence par une présentation de l’établissement d’accueil ainsi que de l’application BaridiMob. Ensuite, l’analyse des avis utilisateurs, réalisée à </w:t>
      </w:r>
      <w:r>
        <w:rPr>
          <w:spacing w:val="-2"/>
        </w:rPr>
        <w:t>l’aide </w:t>
      </w:r>
      <w:r>
        <w:rPr/>
        <w:t>d’outils statistiques, vise à identifier </w:t>
      </w:r>
      <w:r>
        <w:rPr>
          <w:spacing w:val="-3"/>
        </w:rPr>
        <w:t>les </w:t>
      </w:r>
      <w:r>
        <w:rPr/>
        <w:t>principaux facteurs qui influencent </w:t>
      </w:r>
      <w:r>
        <w:rPr>
          <w:spacing w:val="-3"/>
        </w:rPr>
        <w:t>leur </w:t>
      </w:r>
      <w:r>
        <w:rPr/>
        <w:t>satisfaction et à valider ou invalider nos hypothèses en lien avec </w:t>
      </w:r>
      <w:r>
        <w:rPr>
          <w:spacing w:val="-3"/>
        </w:rPr>
        <w:t>la </w:t>
      </w:r>
      <w:r>
        <w:rPr/>
        <w:t>problématique posée.</w:t>
      </w:r>
    </w:p>
    <w:p>
      <w:pPr>
        <w:pStyle w:val="BodyText"/>
        <w:spacing w:line="360" w:lineRule="auto" w:before="157"/>
        <w:ind w:left="699" w:right="318" w:firstLine="360"/>
        <w:jc w:val="both"/>
      </w:pPr>
      <w:r>
        <w:rPr/>
        <w:t>En combinant </w:t>
      </w:r>
      <w:r>
        <w:rPr>
          <w:spacing w:val="-3"/>
        </w:rPr>
        <w:t>les </w:t>
      </w:r>
      <w:r>
        <w:rPr/>
        <w:t>résultats théoriques et pratiques, il apparaît clairement que </w:t>
      </w:r>
      <w:r>
        <w:rPr>
          <w:spacing w:val="-5"/>
        </w:rPr>
        <w:t>la </w:t>
      </w:r>
      <w:r>
        <w:rPr/>
        <w:t>sécurité perçue constitue</w:t>
      </w:r>
      <w:r>
        <w:rPr>
          <w:spacing w:val="-16"/>
        </w:rPr>
        <w:t> </w:t>
      </w:r>
      <w:r>
        <w:rPr/>
        <w:t>un</w:t>
      </w:r>
      <w:r>
        <w:rPr>
          <w:spacing w:val="-14"/>
        </w:rPr>
        <w:t> </w:t>
      </w:r>
      <w:r>
        <w:rPr/>
        <w:t>facteur</w:t>
      </w:r>
      <w:r>
        <w:rPr>
          <w:spacing w:val="-13"/>
        </w:rPr>
        <w:t> </w:t>
      </w:r>
      <w:r>
        <w:rPr>
          <w:spacing w:val="-4"/>
        </w:rPr>
        <w:t>clé</w:t>
      </w:r>
      <w:r>
        <w:rPr>
          <w:spacing w:val="-15"/>
        </w:rPr>
        <w:t> </w:t>
      </w:r>
      <w:r>
        <w:rPr/>
        <w:t>et</w:t>
      </w:r>
      <w:r>
        <w:rPr>
          <w:spacing w:val="-10"/>
        </w:rPr>
        <w:t> </w:t>
      </w:r>
      <w:r>
        <w:rPr/>
        <w:t>positif</w:t>
      </w:r>
      <w:r>
        <w:rPr>
          <w:spacing w:val="-18"/>
        </w:rPr>
        <w:t> </w:t>
      </w:r>
      <w:r>
        <w:rPr/>
        <w:t>influençant</w:t>
      </w:r>
      <w:r>
        <w:rPr>
          <w:spacing w:val="-5"/>
        </w:rPr>
        <w:t> la</w:t>
      </w:r>
      <w:r>
        <w:rPr>
          <w:spacing w:val="-16"/>
        </w:rPr>
        <w:t> </w:t>
      </w:r>
      <w:r>
        <w:rPr/>
        <w:t>satisfaction</w:t>
      </w:r>
      <w:r>
        <w:rPr>
          <w:spacing w:val="-19"/>
        </w:rPr>
        <w:t> </w:t>
      </w:r>
      <w:r>
        <w:rPr/>
        <w:t>des</w:t>
      </w:r>
      <w:r>
        <w:rPr>
          <w:spacing w:val="-17"/>
        </w:rPr>
        <w:t> </w:t>
      </w:r>
      <w:r>
        <w:rPr/>
        <w:t>utilisateurs</w:t>
      </w:r>
      <w:r>
        <w:rPr>
          <w:spacing w:val="-17"/>
        </w:rPr>
        <w:t> </w:t>
      </w:r>
      <w:r>
        <w:rPr/>
        <w:t>des</w:t>
      </w:r>
      <w:r>
        <w:rPr>
          <w:spacing w:val="-17"/>
        </w:rPr>
        <w:t> </w:t>
      </w:r>
      <w:r>
        <w:rPr/>
        <w:t>services</w:t>
      </w:r>
      <w:r>
        <w:rPr>
          <w:spacing w:val="-17"/>
        </w:rPr>
        <w:t> </w:t>
      </w:r>
      <w:r>
        <w:rPr/>
        <w:t>de</w:t>
      </w:r>
      <w:r>
        <w:rPr>
          <w:spacing w:val="-15"/>
        </w:rPr>
        <w:t> </w:t>
      </w:r>
      <w:r>
        <w:rPr/>
        <w:t>paiement BaridiMob.</w:t>
      </w:r>
      <w:r>
        <w:rPr>
          <w:spacing w:val="-7"/>
        </w:rPr>
        <w:t> </w:t>
      </w:r>
      <w:r>
        <w:rPr>
          <w:spacing w:val="2"/>
        </w:rPr>
        <w:t>Si</w:t>
      </w:r>
      <w:r>
        <w:rPr>
          <w:spacing w:val="-12"/>
        </w:rPr>
        <w:t> </w:t>
      </w:r>
      <w:r>
        <w:rPr>
          <w:spacing w:val="-4"/>
        </w:rPr>
        <w:t>les</w:t>
      </w:r>
      <w:r>
        <w:rPr>
          <w:spacing w:val="-11"/>
        </w:rPr>
        <w:t> </w:t>
      </w:r>
      <w:r>
        <w:rPr/>
        <w:t>bugs</w:t>
      </w:r>
      <w:r>
        <w:rPr>
          <w:spacing w:val="-10"/>
        </w:rPr>
        <w:t> </w:t>
      </w:r>
      <w:r>
        <w:rPr/>
        <w:t>et</w:t>
      </w:r>
      <w:r>
        <w:rPr>
          <w:spacing w:val="-8"/>
        </w:rPr>
        <w:t> </w:t>
      </w:r>
      <w:r>
        <w:rPr/>
        <w:t>autres</w:t>
      </w:r>
      <w:r>
        <w:rPr>
          <w:spacing w:val="-10"/>
        </w:rPr>
        <w:t> </w:t>
      </w:r>
      <w:r>
        <w:rPr/>
        <w:t>dysfonctionnements</w:t>
      </w:r>
      <w:r>
        <w:rPr>
          <w:spacing w:val="-15"/>
        </w:rPr>
        <w:t> </w:t>
      </w:r>
      <w:r>
        <w:rPr/>
        <w:t>peuvent</w:t>
      </w:r>
      <w:r>
        <w:rPr>
          <w:spacing w:val="-4"/>
        </w:rPr>
        <w:t> </w:t>
      </w:r>
      <w:r>
        <w:rPr/>
        <w:t>affecter</w:t>
      </w:r>
      <w:r>
        <w:rPr>
          <w:spacing w:val="-7"/>
        </w:rPr>
        <w:t> </w:t>
      </w:r>
      <w:r>
        <w:rPr/>
        <w:t>l’expérience,</w:t>
      </w:r>
      <w:r>
        <w:rPr>
          <w:spacing w:val="-2"/>
        </w:rPr>
        <w:t> </w:t>
      </w:r>
      <w:r>
        <w:rPr>
          <w:spacing w:val="-3"/>
        </w:rPr>
        <w:t>leur</w:t>
      </w:r>
      <w:r>
        <w:rPr>
          <w:spacing w:val="-7"/>
        </w:rPr>
        <w:t> </w:t>
      </w:r>
      <w:r>
        <w:rPr/>
        <w:t>impact</w:t>
      </w:r>
      <w:r>
        <w:rPr>
          <w:spacing w:val="-4"/>
        </w:rPr>
        <w:t> </w:t>
      </w:r>
      <w:r>
        <w:rPr/>
        <w:t>sur </w:t>
      </w:r>
      <w:r>
        <w:rPr>
          <w:spacing w:val="-3"/>
        </w:rPr>
        <w:t>la </w:t>
      </w:r>
      <w:r>
        <w:rPr/>
        <w:t>satisfaction globale reste statistiquement négligeable. En revanche, les interruptions fréquentes du service génèrent une insatisfaction marquée. Par ailleurs, </w:t>
      </w:r>
      <w:r>
        <w:rPr>
          <w:spacing w:val="-5"/>
        </w:rPr>
        <w:t>la </w:t>
      </w:r>
      <w:r>
        <w:rPr/>
        <w:t>qualité du service client </w:t>
      </w:r>
      <w:r>
        <w:rPr>
          <w:spacing w:val="-3"/>
        </w:rPr>
        <w:t>ne</w:t>
      </w:r>
      <w:r>
        <w:rPr>
          <w:spacing w:val="23"/>
        </w:rPr>
        <w:t> </w:t>
      </w:r>
      <w:r>
        <w:rPr/>
        <w:t>montre</w:t>
      </w:r>
    </w:p>
    <w:p>
      <w:pPr>
        <w:spacing w:after="0" w:line="360" w:lineRule="auto"/>
        <w:jc w:val="both"/>
        <w:sectPr>
          <w:headerReference w:type="default" r:id="rId103"/>
          <w:headerReference w:type="even" r:id="rId104"/>
          <w:footerReference w:type="default" r:id="rId105"/>
          <w:footerReference w:type="even" r:id="rId106"/>
          <w:pgSz w:w="12240" w:h="15840"/>
          <w:pgMar w:header="766" w:footer="850" w:top="1080" w:bottom="1040" w:left="1000" w:right="820"/>
          <w:pgNumType w:start="67"/>
        </w:sectPr>
      </w:pPr>
    </w:p>
    <w:p>
      <w:pPr>
        <w:pStyle w:val="BodyText"/>
        <w:spacing w:before="6"/>
        <w:rPr>
          <w:sz w:val="19"/>
        </w:rPr>
      </w:pPr>
    </w:p>
    <w:p>
      <w:pPr>
        <w:pStyle w:val="BodyText"/>
        <w:spacing w:line="362" w:lineRule="auto" w:before="90"/>
        <w:ind w:left="699" w:right="308"/>
        <w:jc w:val="both"/>
      </w:pPr>
      <w:r>
        <w:rPr/>
        <w:t>pas d’effet significatif sur la satisfaction dans le cadre de cette étude. Ces observations soulignent l’importance de fournir un service fiable, sécurisé, accessible et constamment disponible pour renforcer la confiance des utilisateurs, favoriser leur fidélité et optimiser leur expérience globale.</w:t>
      </w:r>
    </w:p>
    <w:p>
      <w:pPr>
        <w:pStyle w:val="BodyText"/>
        <w:spacing w:line="362" w:lineRule="auto" w:before="152"/>
        <w:ind w:left="699" w:right="321" w:firstLine="360"/>
        <w:jc w:val="both"/>
      </w:pPr>
      <w:r>
        <w:rPr/>
        <w:t>Une</w:t>
      </w:r>
      <w:r>
        <w:rPr>
          <w:spacing w:val="-15"/>
        </w:rPr>
        <w:t> </w:t>
      </w:r>
      <w:r>
        <w:rPr/>
        <w:t>des</w:t>
      </w:r>
      <w:r>
        <w:rPr>
          <w:spacing w:val="-17"/>
        </w:rPr>
        <w:t> </w:t>
      </w:r>
      <w:r>
        <w:rPr/>
        <w:t>principales</w:t>
      </w:r>
      <w:r>
        <w:rPr>
          <w:spacing w:val="-12"/>
        </w:rPr>
        <w:t> </w:t>
      </w:r>
      <w:r>
        <w:rPr/>
        <w:t>limites</w:t>
      </w:r>
      <w:r>
        <w:rPr>
          <w:spacing w:val="-16"/>
        </w:rPr>
        <w:t> </w:t>
      </w:r>
      <w:r>
        <w:rPr/>
        <w:t>rencontrées</w:t>
      </w:r>
      <w:r>
        <w:rPr>
          <w:spacing w:val="-17"/>
        </w:rPr>
        <w:t> </w:t>
      </w:r>
      <w:r>
        <w:rPr/>
        <w:t>a</w:t>
      </w:r>
      <w:r>
        <w:rPr>
          <w:spacing w:val="-15"/>
        </w:rPr>
        <w:t> </w:t>
      </w:r>
      <w:r>
        <w:rPr/>
        <w:t>été</w:t>
      </w:r>
      <w:r>
        <w:rPr>
          <w:spacing w:val="-15"/>
        </w:rPr>
        <w:t> </w:t>
      </w:r>
      <w:r>
        <w:rPr>
          <w:spacing w:val="-5"/>
        </w:rPr>
        <w:t>la</w:t>
      </w:r>
      <w:r>
        <w:rPr>
          <w:spacing w:val="-14"/>
        </w:rPr>
        <w:t> </w:t>
      </w:r>
      <w:r>
        <w:rPr/>
        <w:t>difficulté</w:t>
      </w:r>
      <w:r>
        <w:rPr>
          <w:spacing w:val="-15"/>
        </w:rPr>
        <w:t> </w:t>
      </w:r>
      <w:r>
        <w:rPr/>
        <w:t>à</w:t>
      </w:r>
      <w:r>
        <w:rPr>
          <w:spacing w:val="-15"/>
        </w:rPr>
        <w:t> </w:t>
      </w:r>
      <w:r>
        <w:rPr/>
        <w:t>obtenir</w:t>
      </w:r>
      <w:r>
        <w:rPr>
          <w:spacing w:val="-13"/>
        </w:rPr>
        <w:t> </w:t>
      </w:r>
      <w:r>
        <w:rPr/>
        <w:t>un</w:t>
      </w:r>
      <w:r>
        <w:rPr>
          <w:spacing w:val="-18"/>
        </w:rPr>
        <w:t> </w:t>
      </w:r>
      <w:r>
        <w:rPr/>
        <w:t>grand</w:t>
      </w:r>
      <w:r>
        <w:rPr>
          <w:spacing w:val="-14"/>
        </w:rPr>
        <w:t> </w:t>
      </w:r>
      <w:r>
        <w:rPr/>
        <w:t>nombre</w:t>
      </w:r>
      <w:r>
        <w:rPr>
          <w:spacing w:val="-15"/>
        </w:rPr>
        <w:t> </w:t>
      </w:r>
      <w:r>
        <w:rPr/>
        <w:t>de</w:t>
      </w:r>
      <w:r>
        <w:rPr>
          <w:spacing w:val="-15"/>
        </w:rPr>
        <w:t> </w:t>
      </w:r>
      <w:r>
        <w:rPr/>
        <w:t>réponses au questionnaire, ce qui peut </w:t>
      </w:r>
      <w:r>
        <w:rPr>
          <w:spacing w:val="-3"/>
        </w:rPr>
        <w:t>mener </w:t>
      </w:r>
      <w:r>
        <w:rPr/>
        <w:t>à limiter </w:t>
      </w:r>
      <w:r>
        <w:rPr>
          <w:spacing w:val="-5"/>
        </w:rPr>
        <w:t>la </w:t>
      </w:r>
      <w:r>
        <w:rPr/>
        <w:t>taille de l’échantillon et pourrait affecter </w:t>
      </w:r>
      <w:r>
        <w:rPr>
          <w:spacing w:val="-5"/>
        </w:rPr>
        <w:t>la </w:t>
      </w:r>
      <w:r>
        <w:rPr/>
        <w:t>représentativité</w:t>
      </w:r>
      <w:r>
        <w:rPr>
          <w:spacing w:val="-8"/>
        </w:rPr>
        <w:t> </w:t>
      </w:r>
      <w:r>
        <w:rPr/>
        <w:t>des</w:t>
      </w:r>
      <w:r>
        <w:rPr>
          <w:spacing w:val="-8"/>
        </w:rPr>
        <w:t> </w:t>
      </w:r>
      <w:r>
        <w:rPr/>
        <w:t>résultats,</w:t>
      </w:r>
      <w:r>
        <w:rPr>
          <w:spacing w:val="-4"/>
        </w:rPr>
        <w:t> </w:t>
      </w:r>
      <w:r>
        <w:rPr/>
        <w:t>La</w:t>
      </w:r>
      <w:r>
        <w:rPr>
          <w:spacing w:val="-3"/>
        </w:rPr>
        <w:t> </w:t>
      </w:r>
      <w:r>
        <w:rPr/>
        <w:t>limite</w:t>
      </w:r>
      <w:r>
        <w:rPr>
          <w:spacing w:val="-2"/>
        </w:rPr>
        <w:t> </w:t>
      </w:r>
      <w:r>
        <w:rPr/>
        <w:t>liée</w:t>
      </w:r>
      <w:r>
        <w:rPr>
          <w:spacing w:val="-8"/>
        </w:rPr>
        <w:t> </w:t>
      </w:r>
      <w:r>
        <w:rPr/>
        <w:t>au</w:t>
      </w:r>
      <w:r>
        <w:rPr>
          <w:spacing w:val="-1"/>
        </w:rPr>
        <w:t> </w:t>
      </w:r>
      <w:r>
        <w:rPr/>
        <w:t>faible</w:t>
      </w:r>
      <w:r>
        <w:rPr>
          <w:spacing w:val="-6"/>
        </w:rPr>
        <w:t> </w:t>
      </w:r>
      <w:r>
        <w:rPr/>
        <w:t>nombre</w:t>
      </w:r>
      <w:r>
        <w:rPr>
          <w:spacing w:val="-8"/>
        </w:rPr>
        <w:t> </w:t>
      </w:r>
      <w:r>
        <w:rPr/>
        <w:t>de</w:t>
      </w:r>
      <w:r>
        <w:rPr>
          <w:spacing w:val="-7"/>
        </w:rPr>
        <w:t> </w:t>
      </w:r>
      <w:r>
        <w:rPr/>
        <w:t>répondants</w:t>
      </w:r>
      <w:r>
        <w:rPr>
          <w:spacing w:val="-8"/>
        </w:rPr>
        <w:t> </w:t>
      </w:r>
      <w:r>
        <w:rPr/>
        <w:t>a</w:t>
      </w:r>
      <w:r>
        <w:rPr>
          <w:spacing w:val="-7"/>
        </w:rPr>
        <w:t> </w:t>
      </w:r>
      <w:r>
        <w:rPr/>
        <w:t>été</w:t>
      </w:r>
      <w:r>
        <w:rPr>
          <w:spacing w:val="-7"/>
        </w:rPr>
        <w:t> </w:t>
      </w:r>
      <w:r>
        <w:rPr/>
        <w:t>en</w:t>
      </w:r>
      <w:r>
        <w:rPr>
          <w:spacing w:val="-11"/>
        </w:rPr>
        <w:t> </w:t>
      </w:r>
      <w:r>
        <w:rPr/>
        <w:t>partie</w:t>
      </w:r>
      <w:r>
        <w:rPr>
          <w:spacing w:val="-8"/>
        </w:rPr>
        <w:t> </w:t>
      </w:r>
      <w:r>
        <w:rPr/>
        <w:t>atténuée grâce au relais du questionnaire par une page spécialisée sur </w:t>
      </w:r>
      <w:r>
        <w:rPr>
          <w:spacing w:val="-4"/>
        </w:rPr>
        <w:t>les </w:t>
      </w:r>
      <w:r>
        <w:rPr/>
        <w:t>problématiques de BaridiMob. Cette</w:t>
      </w:r>
      <w:r>
        <w:rPr>
          <w:spacing w:val="-15"/>
        </w:rPr>
        <w:t> </w:t>
      </w:r>
      <w:r>
        <w:rPr/>
        <w:t>page</w:t>
      </w:r>
      <w:r>
        <w:rPr>
          <w:spacing w:val="-15"/>
        </w:rPr>
        <w:t> </w:t>
      </w:r>
      <w:r>
        <w:rPr/>
        <w:t>a</w:t>
      </w:r>
      <w:r>
        <w:rPr>
          <w:spacing w:val="-14"/>
        </w:rPr>
        <w:t> </w:t>
      </w:r>
      <w:r>
        <w:rPr/>
        <w:t>partagé</w:t>
      </w:r>
      <w:r>
        <w:rPr>
          <w:spacing w:val="-15"/>
        </w:rPr>
        <w:t> </w:t>
      </w:r>
      <w:r>
        <w:rPr>
          <w:spacing w:val="-5"/>
        </w:rPr>
        <w:t>le</w:t>
      </w:r>
      <w:r>
        <w:rPr>
          <w:spacing w:val="-11"/>
        </w:rPr>
        <w:t> </w:t>
      </w:r>
      <w:r>
        <w:rPr/>
        <w:t>formulaire</w:t>
      </w:r>
      <w:r>
        <w:rPr>
          <w:spacing w:val="-14"/>
        </w:rPr>
        <w:t> </w:t>
      </w:r>
      <w:r>
        <w:rPr/>
        <w:t>auprès</w:t>
      </w:r>
      <w:r>
        <w:rPr>
          <w:spacing w:val="-17"/>
        </w:rPr>
        <w:t> </w:t>
      </w:r>
      <w:r>
        <w:rPr/>
        <w:t>de</w:t>
      </w:r>
      <w:r>
        <w:rPr>
          <w:spacing w:val="-15"/>
        </w:rPr>
        <w:t> </w:t>
      </w:r>
      <w:r>
        <w:rPr/>
        <w:t>sa</w:t>
      </w:r>
      <w:r>
        <w:rPr>
          <w:spacing w:val="-14"/>
        </w:rPr>
        <w:t> </w:t>
      </w:r>
      <w:r>
        <w:rPr/>
        <w:t>communauté,</w:t>
      </w:r>
      <w:r>
        <w:rPr>
          <w:spacing w:val="-12"/>
        </w:rPr>
        <w:t> </w:t>
      </w:r>
      <w:r>
        <w:rPr/>
        <w:t>ce</w:t>
      </w:r>
      <w:r>
        <w:rPr>
          <w:spacing w:val="-15"/>
        </w:rPr>
        <w:t> </w:t>
      </w:r>
      <w:r>
        <w:rPr/>
        <w:t>qui</w:t>
      </w:r>
      <w:r>
        <w:rPr>
          <w:spacing w:val="-23"/>
        </w:rPr>
        <w:t> </w:t>
      </w:r>
      <w:r>
        <w:rPr/>
        <w:t>a</w:t>
      </w:r>
      <w:r>
        <w:rPr>
          <w:spacing w:val="-15"/>
        </w:rPr>
        <w:t> </w:t>
      </w:r>
      <w:r>
        <w:rPr/>
        <w:t>contribué</w:t>
      </w:r>
      <w:r>
        <w:rPr>
          <w:spacing w:val="-14"/>
        </w:rPr>
        <w:t> </w:t>
      </w:r>
      <w:r>
        <w:rPr/>
        <w:t>à</w:t>
      </w:r>
      <w:r>
        <w:rPr>
          <w:spacing w:val="-15"/>
        </w:rPr>
        <w:t> </w:t>
      </w:r>
      <w:r>
        <w:rPr/>
        <w:t>élargir</w:t>
      </w:r>
      <w:r>
        <w:rPr>
          <w:spacing w:val="-8"/>
        </w:rPr>
        <w:t> </w:t>
      </w:r>
      <w:r>
        <w:rPr>
          <w:spacing w:val="-5"/>
        </w:rPr>
        <w:t>la</w:t>
      </w:r>
      <w:r>
        <w:rPr>
          <w:spacing w:val="-15"/>
        </w:rPr>
        <w:t> </w:t>
      </w:r>
      <w:r>
        <w:rPr/>
        <w:t>diffusion du questionnaire et à augmenter </w:t>
      </w:r>
      <w:r>
        <w:rPr>
          <w:spacing w:val="-5"/>
        </w:rPr>
        <w:t>le </w:t>
      </w:r>
      <w:r>
        <w:rPr/>
        <w:t>nombre de réponses</w:t>
      </w:r>
      <w:r>
        <w:rPr>
          <w:spacing w:val="20"/>
        </w:rPr>
        <w:t> </w:t>
      </w:r>
      <w:r>
        <w:rPr/>
        <w:t>collectées.</w:t>
      </w:r>
    </w:p>
    <w:p>
      <w:pPr>
        <w:pStyle w:val="Heading5"/>
        <w:spacing w:before="154"/>
        <w:ind w:left="1060" w:firstLine="0"/>
      </w:pPr>
      <w:r>
        <w:rPr/>
        <w:t>Confirmation des hypothèses :</w:t>
      </w:r>
    </w:p>
    <w:p>
      <w:pPr>
        <w:pStyle w:val="BodyText"/>
        <w:spacing w:before="3"/>
        <w:rPr>
          <w:b/>
          <w:sz w:val="25"/>
        </w:rPr>
      </w:pPr>
    </w:p>
    <w:p>
      <w:pPr>
        <w:pStyle w:val="BodyText"/>
        <w:spacing w:line="360" w:lineRule="auto" w:before="1"/>
        <w:ind w:left="699" w:right="307" w:firstLine="360"/>
        <w:jc w:val="both"/>
      </w:pPr>
      <w:r>
        <w:rPr/>
        <w:t>À partir des résultats obtenus, nous avons procédé à une confrontation rigoureuse de nos hypothèses avec les données issues de l’analyse statistique descriptive, notamment par </w:t>
      </w:r>
      <w:r>
        <w:rPr>
          <w:spacing w:val="-3"/>
        </w:rPr>
        <w:t>le </w:t>
      </w:r>
      <w:r>
        <w:rPr/>
        <w:t>recours à </w:t>
      </w:r>
      <w:r>
        <w:rPr>
          <w:spacing w:val="-5"/>
        </w:rPr>
        <w:t>la </w:t>
      </w:r>
      <w:r>
        <w:rPr/>
        <w:t>régression linéaire multiple, </w:t>
      </w:r>
      <w:r>
        <w:rPr>
          <w:spacing w:val="-5"/>
        </w:rPr>
        <w:t>la </w:t>
      </w:r>
      <w:r>
        <w:rPr/>
        <w:t>corrélation ainsi qu’à l’exploration croisée des</w:t>
      </w:r>
      <w:r>
        <w:rPr>
          <w:spacing w:val="7"/>
        </w:rPr>
        <w:t> </w:t>
      </w:r>
      <w:r>
        <w:rPr/>
        <w:t>variables.</w:t>
      </w:r>
    </w:p>
    <w:p>
      <w:pPr>
        <w:pStyle w:val="ListParagraph"/>
        <w:numPr>
          <w:ilvl w:val="2"/>
          <w:numId w:val="28"/>
        </w:numPr>
        <w:tabs>
          <w:tab w:pos="1752" w:val="left" w:leader="none"/>
        </w:tabs>
        <w:spacing w:line="357" w:lineRule="auto" w:before="162" w:after="0"/>
        <w:ind w:left="1751" w:right="318" w:hanging="360"/>
        <w:jc w:val="both"/>
        <w:rPr>
          <w:sz w:val="24"/>
        </w:rPr>
      </w:pPr>
      <w:r>
        <w:rPr>
          <w:b/>
          <w:sz w:val="24"/>
        </w:rPr>
        <w:t>La première hypothèse </w:t>
      </w:r>
      <w:r>
        <w:rPr>
          <w:spacing w:val="-3"/>
          <w:sz w:val="24"/>
        </w:rPr>
        <w:t>est </w:t>
      </w:r>
      <w:r>
        <w:rPr>
          <w:sz w:val="24"/>
        </w:rPr>
        <w:t>confirmée : </w:t>
      </w:r>
      <w:r>
        <w:rPr>
          <w:spacing w:val="-5"/>
          <w:sz w:val="24"/>
        </w:rPr>
        <w:t>la </w:t>
      </w:r>
      <w:r>
        <w:rPr>
          <w:sz w:val="24"/>
        </w:rPr>
        <w:t>sécurité perçue par </w:t>
      </w:r>
      <w:r>
        <w:rPr>
          <w:spacing w:val="-3"/>
          <w:sz w:val="24"/>
        </w:rPr>
        <w:t>les </w:t>
      </w:r>
      <w:r>
        <w:rPr>
          <w:sz w:val="24"/>
        </w:rPr>
        <w:t>utilisateurs exerce un effet positif et significatif sur leur niveau de satisfaction. Lorsqu’ils se sentent en confiance quant à </w:t>
      </w:r>
      <w:r>
        <w:rPr>
          <w:spacing w:val="-5"/>
          <w:sz w:val="24"/>
        </w:rPr>
        <w:t>la </w:t>
      </w:r>
      <w:r>
        <w:rPr>
          <w:sz w:val="24"/>
        </w:rPr>
        <w:t>protection de leurs données et transactions, </w:t>
      </w:r>
      <w:r>
        <w:rPr>
          <w:spacing w:val="-3"/>
          <w:sz w:val="24"/>
        </w:rPr>
        <w:t>leur </w:t>
      </w:r>
      <w:r>
        <w:rPr>
          <w:sz w:val="24"/>
        </w:rPr>
        <w:t>appréciation globale du service s’améliore nettement, ce qui souligne l’importance cruciale de garantir des mesures de sécurité robustes dans </w:t>
      </w:r>
      <w:r>
        <w:rPr>
          <w:spacing w:val="-3"/>
          <w:sz w:val="24"/>
        </w:rPr>
        <w:t>les </w:t>
      </w:r>
      <w:r>
        <w:rPr>
          <w:sz w:val="24"/>
        </w:rPr>
        <w:t>solutions de paiement</w:t>
      </w:r>
      <w:r>
        <w:rPr>
          <w:spacing w:val="9"/>
          <w:sz w:val="24"/>
        </w:rPr>
        <w:t> </w:t>
      </w:r>
      <w:r>
        <w:rPr>
          <w:spacing w:val="-3"/>
          <w:sz w:val="24"/>
        </w:rPr>
        <w:t>digital.</w:t>
      </w:r>
    </w:p>
    <w:p>
      <w:pPr>
        <w:pStyle w:val="ListParagraph"/>
        <w:numPr>
          <w:ilvl w:val="2"/>
          <w:numId w:val="28"/>
        </w:numPr>
        <w:tabs>
          <w:tab w:pos="1752" w:val="left" w:leader="none"/>
        </w:tabs>
        <w:spacing w:line="357" w:lineRule="auto" w:before="5" w:after="0"/>
        <w:ind w:left="1751" w:right="318" w:hanging="360"/>
        <w:jc w:val="both"/>
        <w:rPr>
          <w:sz w:val="24"/>
        </w:rPr>
      </w:pPr>
      <w:r>
        <w:rPr>
          <w:b/>
          <w:sz w:val="24"/>
        </w:rPr>
        <w:t>La deuxième hypothèse </w:t>
      </w:r>
      <w:r>
        <w:rPr>
          <w:sz w:val="24"/>
        </w:rPr>
        <w:t>est infirmée : </w:t>
      </w:r>
      <w:r>
        <w:rPr>
          <w:spacing w:val="-3"/>
          <w:sz w:val="24"/>
        </w:rPr>
        <w:t>même </w:t>
      </w:r>
      <w:r>
        <w:rPr>
          <w:sz w:val="24"/>
        </w:rPr>
        <w:t>si </w:t>
      </w:r>
      <w:r>
        <w:rPr>
          <w:spacing w:val="-3"/>
          <w:sz w:val="24"/>
        </w:rPr>
        <w:t>la </w:t>
      </w:r>
      <w:r>
        <w:rPr>
          <w:sz w:val="24"/>
        </w:rPr>
        <w:t>présence de bugs dans l’application pourrait a priori nuire à l’expérience utilisateur, l’analyse montre que </w:t>
      </w:r>
      <w:r>
        <w:rPr>
          <w:spacing w:val="-3"/>
          <w:sz w:val="24"/>
        </w:rPr>
        <w:t>leur </w:t>
      </w:r>
      <w:r>
        <w:rPr>
          <w:spacing w:val="-2"/>
          <w:sz w:val="24"/>
        </w:rPr>
        <w:t>impact </w:t>
      </w:r>
      <w:r>
        <w:rPr>
          <w:sz w:val="24"/>
        </w:rPr>
        <w:t>sur </w:t>
      </w:r>
      <w:r>
        <w:rPr>
          <w:spacing w:val="-5"/>
          <w:sz w:val="24"/>
        </w:rPr>
        <w:t>la </w:t>
      </w:r>
      <w:r>
        <w:rPr>
          <w:sz w:val="24"/>
        </w:rPr>
        <w:t>satisfaction n’est pas statistiquement significatif. </w:t>
      </w:r>
      <w:r>
        <w:rPr>
          <w:spacing w:val="-3"/>
          <w:sz w:val="24"/>
        </w:rPr>
        <w:t>Cela </w:t>
      </w:r>
      <w:r>
        <w:rPr>
          <w:sz w:val="24"/>
        </w:rPr>
        <w:t>suggère que </w:t>
      </w:r>
      <w:r>
        <w:rPr>
          <w:spacing w:val="-3"/>
          <w:sz w:val="24"/>
        </w:rPr>
        <w:t>les </w:t>
      </w:r>
      <w:r>
        <w:rPr>
          <w:sz w:val="24"/>
        </w:rPr>
        <w:t>utilisateurs tolèrent certaines imperfections techniques sans que cela n’altère profondément </w:t>
      </w:r>
      <w:r>
        <w:rPr>
          <w:spacing w:val="-3"/>
          <w:sz w:val="24"/>
        </w:rPr>
        <w:t>leur </w:t>
      </w:r>
      <w:r>
        <w:rPr>
          <w:sz w:val="24"/>
        </w:rPr>
        <w:t>perception du service dans son</w:t>
      </w:r>
      <w:r>
        <w:rPr>
          <w:spacing w:val="-4"/>
          <w:sz w:val="24"/>
        </w:rPr>
        <w:t> </w:t>
      </w:r>
      <w:r>
        <w:rPr>
          <w:sz w:val="24"/>
        </w:rPr>
        <w:t>ensemble.</w:t>
      </w:r>
    </w:p>
    <w:p>
      <w:pPr>
        <w:pStyle w:val="ListParagraph"/>
        <w:numPr>
          <w:ilvl w:val="2"/>
          <w:numId w:val="28"/>
        </w:numPr>
        <w:tabs>
          <w:tab w:pos="1752" w:val="left" w:leader="none"/>
        </w:tabs>
        <w:spacing w:line="357" w:lineRule="auto" w:before="6" w:after="0"/>
        <w:ind w:left="1751" w:right="315" w:hanging="360"/>
        <w:jc w:val="both"/>
        <w:rPr>
          <w:sz w:val="24"/>
        </w:rPr>
      </w:pPr>
      <w:r>
        <w:rPr>
          <w:b/>
          <w:sz w:val="24"/>
        </w:rPr>
        <w:t>La troisième hypothèse </w:t>
      </w:r>
      <w:r>
        <w:rPr>
          <w:spacing w:val="-3"/>
          <w:sz w:val="24"/>
        </w:rPr>
        <w:t>est </w:t>
      </w:r>
      <w:r>
        <w:rPr>
          <w:sz w:val="24"/>
        </w:rPr>
        <w:t>confirmée : l’indisponibilité du service, c’est-à-dire </w:t>
      </w:r>
      <w:r>
        <w:rPr>
          <w:spacing w:val="-3"/>
          <w:sz w:val="24"/>
        </w:rPr>
        <w:t>les </w:t>
      </w:r>
      <w:r>
        <w:rPr>
          <w:sz w:val="24"/>
        </w:rPr>
        <w:t>interruptions de l’application, a un effet négatif important </w:t>
      </w:r>
      <w:r>
        <w:rPr>
          <w:spacing w:val="-3"/>
          <w:sz w:val="24"/>
        </w:rPr>
        <w:t>et </w:t>
      </w:r>
      <w:r>
        <w:rPr>
          <w:sz w:val="24"/>
        </w:rPr>
        <w:t>significatif sur </w:t>
      </w:r>
      <w:r>
        <w:rPr>
          <w:spacing w:val="-3"/>
          <w:sz w:val="24"/>
        </w:rPr>
        <w:t>la </w:t>
      </w:r>
      <w:r>
        <w:rPr>
          <w:sz w:val="24"/>
        </w:rPr>
        <w:t>satisfaction des utilisateurs. Ces interruptions perturbent l’usage quotidien et génèrent un mécontentement notable, ce qui </w:t>
      </w:r>
      <w:r>
        <w:rPr>
          <w:spacing w:val="-4"/>
          <w:sz w:val="24"/>
        </w:rPr>
        <w:t>met </w:t>
      </w:r>
      <w:r>
        <w:rPr>
          <w:sz w:val="24"/>
        </w:rPr>
        <w:t>en lumière </w:t>
      </w:r>
      <w:r>
        <w:rPr>
          <w:spacing w:val="-3"/>
          <w:sz w:val="24"/>
        </w:rPr>
        <w:t>la </w:t>
      </w:r>
      <w:r>
        <w:rPr>
          <w:sz w:val="24"/>
        </w:rPr>
        <w:t>nécessité d’assurer une continuité de service optimale pour fidéliser les</w:t>
      </w:r>
      <w:r>
        <w:rPr>
          <w:spacing w:val="7"/>
          <w:sz w:val="24"/>
        </w:rPr>
        <w:t> </w:t>
      </w:r>
      <w:r>
        <w:rPr>
          <w:sz w:val="24"/>
        </w:rPr>
        <w:t>clients.</w:t>
      </w:r>
    </w:p>
    <w:p>
      <w:pPr>
        <w:pStyle w:val="ListParagraph"/>
        <w:numPr>
          <w:ilvl w:val="2"/>
          <w:numId w:val="28"/>
        </w:numPr>
        <w:tabs>
          <w:tab w:pos="1752" w:val="left" w:leader="none"/>
        </w:tabs>
        <w:spacing w:line="350" w:lineRule="auto" w:before="1" w:after="0"/>
        <w:ind w:left="1751" w:right="324" w:hanging="360"/>
        <w:jc w:val="both"/>
        <w:rPr>
          <w:sz w:val="24"/>
        </w:rPr>
      </w:pPr>
      <w:r>
        <w:rPr>
          <w:b/>
          <w:sz w:val="24"/>
        </w:rPr>
        <w:t>La quatrième hypothèse </w:t>
      </w:r>
      <w:r>
        <w:rPr>
          <w:sz w:val="24"/>
        </w:rPr>
        <w:t>est infirmée : contrairement à ce qui pouvait être attendu, </w:t>
      </w:r>
      <w:r>
        <w:rPr>
          <w:spacing w:val="-3"/>
          <w:sz w:val="24"/>
        </w:rPr>
        <w:t>la </w:t>
      </w:r>
      <w:r>
        <w:rPr>
          <w:sz w:val="24"/>
        </w:rPr>
        <w:t>qualité du service client </w:t>
      </w:r>
      <w:r>
        <w:rPr>
          <w:spacing w:val="-3"/>
          <w:sz w:val="24"/>
        </w:rPr>
        <w:t>ne </w:t>
      </w:r>
      <w:r>
        <w:rPr>
          <w:sz w:val="24"/>
        </w:rPr>
        <w:t>montre pas d’effet significatif sur </w:t>
      </w:r>
      <w:r>
        <w:rPr>
          <w:spacing w:val="-3"/>
          <w:sz w:val="24"/>
        </w:rPr>
        <w:t>la </w:t>
      </w:r>
      <w:r>
        <w:rPr>
          <w:sz w:val="24"/>
        </w:rPr>
        <w:t>satisfaction dans</w:t>
      </w:r>
      <w:r>
        <w:rPr>
          <w:spacing w:val="19"/>
          <w:sz w:val="24"/>
        </w:rPr>
        <w:t> </w:t>
      </w:r>
      <w:r>
        <w:rPr>
          <w:spacing w:val="-3"/>
          <w:sz w:val="24"/>
        </w:rPr>
        <w:t>le</w:t>
      </w:r>
    </w:p>
    <w:p>
      <w:pPr>
        <w:spacing w:after="0" w:line="350" w:lineRule="auto"/>
        <w:jc w:val="both"/>
        <w:rPr>
          <w:sz w:val="24"/>
        </w:rPr>
        <w:sectPr>
          <w:pgSz w:w="12240" w:h="15840"/>
          <w:pgMar w:header="766" w:footer="850" w:top="1080" w:bottom="1040" w:left="1000" w:right="820"/>
        </w:sectPr>
      </w:pPr>
    </w:p>
    <w:p>
      <w:pPr>
        <w:pStyle w:val="BodyText"/>
        <w:spacing w:before="6"/>
        <w:rPr>
          <w:sz w:val="19"/>
        </w:rPr>
      </w:pPr>
    </w:p>
    <w:p>
      <w:pPr>
        <w:pStyle w:val="BodyText"/>
        <w:spacing w:line="362" w:lineRule="auto" w:before="90"/>
        <w:ind w:left="1751" w:right="317"/>
        <w:jc w:val="both"/>
      </w:pPr>
      <w:r>
        <w:rPr/>
        <w:t>contexte étudié. Cela peut indiquer que les utilisateurs accordent davantage de poids à la fiabilité technique et à la sécurité du service qu’à l’assistance ou au support client dans leur évaluation globale.</w:t>
      </w:r>
    </w:p>
    <w:p>
      <w:pPr>
        <w:pStyle w:val="Heading5"/>
        <w:spacing w:before="204"/>
        <w:ind w:left="699" w:firstLine="0"/>
      </w:pPr>
      <w:r>
        <w:rPr/>
        <w:t>Recommandations :</w:t>
      </w:r>
    </w:p>
    <w:p>
      <w:pPr>
        <w:pStyle w:val="BodyText"/>
        <w:spacing w:before="10"/>
        <w:rPr>
          <w:b/>
        </w:rPr>
      </w:pPr>
    </w:p>
    <w:p>
      <w:pPr>
        <w:pStyle w:val="BodyText"/>
        <w:spacing w:line="367" w:lineRule="auto"/>
        <w:ind w:left="699" w:right="325"/>
        <w:jc w:val="both"/>
      </w:pPr>
      <w:r>
        <w:rPr/>
        <w:t>À la lumière des retours collectés, plusieurs recommandations peuvent être formulées afin d’améliorer l’application BaridiMob et d’optimiser l’expérience utilisateur.</w:t>
      </w:r>
    </w:p>
    <w:p>
      <w:pPr>
        <w:pStyle w:val="ListParagraph"/>
        <w:numPr>
          <w:ilvl w:val="3"/>
          <w:numId w:val="28"/>
        </w:numPr>
        <w:tabs>
          <w:tab w:pos="2203" w:val="left" w:leader="none"/>
        </w:tabs>
        <w:spacing w:line="360" w:lineRule="auto" w:before="145" w:after="0"/>
        <w:ind w:left="2140" w:right="312" w:hanging="360"/>
        <w:jc w:val="both"/>
        <w:rPr>
          <w:sz w:val="24"/>
        </w:rPr>
      </w:pPr>
      <w:r>
        <w:rPr/>
        <w:tab/>
      </w:r>
      <w:r>
        <w:rPr>
          <w:sz w:val="24"/>
        </w:rPr>
        <w:t>Il</w:t>
      </w:r>
      <w:r>
        <w:rPr>
          <w:spacing w:val="-17"/>
          <w:sz w:val="24"/>
        </w:rPr>
        <w:t> </w:t>
      </w:r>
      <w:r>
        <w:rPr>
          <w:sz w:val="24"/>
        </w:rPr>
        <w:t>est</w:t>
      </w:r>
      <w:r>
        <w:rPr>
          <w:spacing w:val="-3"/>
          <w:sz w:val="24"/>
        </w:rPr>
        <w:t> </w:t>
      </w:r>
      <w:r>
        <w:rPr>
          <w:sz w:val="24"/>
        </w:rPr>
        <w:t>d’abord</w:t>
      </w:r>
      <w:r>
        <w:rPr>
          <w:spacing w:val="-8"/>
          <w:sz w:val="24"/>
        </w:rPr>
        <w:t> </w:t>
      </w:r>
      <w:r>
        <w:rPr>
          <w:sz w:val="24"/>
        </w:rPr>
        <w:t>essentiel</w:t>
      </w:r>
      <w:r>
        <w:rPr>
          <w:spacing w:val="-11"/>
          <w:sz w:val="24"/>
        </w:rPr>
        <w:t> </w:t>
      </w:r>
      <w:r>
        <w:rPr>
          <w:sz w:val="24"/>
        </w:rPr>
        <w:t>de</w:t>
      </w:r>
      <w:r>
        <w:rPr>
          <w:spacing w:val="-9"/>
          <w:sz w:val="24"/>
        </w:rPr>
        <w:t> </w:t>
      </w:r>
      <w:r>
        <w:rPr>
          <w:sz w:val="24"/>
        </w:rPr>
        <w:t>garantir</w:t>
      </w:r>
      <w:r>
        <w:rPr>
          <w:spacing w:val="-6"/>
          <w:sz w:val="24"/>
        </w:rPr>
        <w:t> </w:t>
      </w:r>
      <w:r>
        <w:rPr>
          <w:sz w:val="24"/>
        </w:rPr>
        <w:t>une</w:t>
      </w:r>
      <w:r>
        <w:rPr>
          <w:spacing w:val="-8"/>
          <w:sz w:val="24"/>
        </w:rPr>
        <w:t> </w:t>
      </w:r>
      <w:r>
        <w:rPr>
          <w:sz w:val="24"/>
        </w:rPr>
        <w:t>disponibilité</w:t>
      </w:r>
      <w:r>
        <w:rPr>
          <w:spacing w:val="-9"/>
          <w:sz w:val="24"/>
        </w:rPr>
        <w:t> </w:t>
      </w:r>
      <w:r>
        <w:rPr>
          <w:sz w:val="24"/>
        </w:rPr>
        <w:t>continue</w:t>
      </w:r>
      <w:r>
        <w:rPr>
          <w:spacing w:val="-9"/>
          <w:sz w:val="24"/>
        </w:rPr>
        <w:t> </w:t>
      </w:r>
      <w:r>
        <w:rPr>
          <w:sz w:val="24"/>
        </w:rPr>
        <w:t>du</w:t>
      </w:r>
      <w:r>
        <w:rPr>
          <w:spacing w:val="-8"/>
          <w:sz w:val="24"/>
        </w:rPr>
        <w:t> </w:t>
      </w:r>
      <w:r>
        <w:rPr>
          <w:sz w:val="24"/>
        </w:rPr>
        <w:t>service</w:t>
      </w:r>
      <w:r>
        <w:rPr>
          <w:spacing w:val="-2"/>
          <w:sz w:val="24"/>
        </w:rPr>
        <w:t> </w:t>
      </w:r>
      <w:r>
        <w:rPr>
          <w:sz w:val="24"/>
        </w:rPr>
        <w:t>BaridiMob (24h/24</w:t>
      </w:r>
      <w:r>
        <w:rPr>
          <w:spacing w:val="-6"/>
          <w:sz w:val="24"/>
        </w:rPr>
        <w:t> </w:t>
      </w:r>
      <w:r>
        <w:rPr>
          <w:sz w:val="24"/>
        </w:rPr>
        <w:t>et</w:t>
      </w:r>
      <w:r>
        <w:rPr>
          <w:spacing w:val="-1"/>
          <w:sz w:val="24"/>
        </w:rPr>
        <w:t> </w:t>
      </w:r>
      <w:r>
        <w:rPr>
          <w:sz w:val="24"/>
        </w:rPr>
        <w:t>7j/7),</w:t>
      </w:r>
      <w:r>
        <w:rPr>
          <w:spacing w:val="-5"/>
          <w:sz w:val="24"/>
        </w:rPr>
        <w:t> </w:t>
      </w:r>
      <w:r>
        <w:rPr>
          <w:sz w:val="24"/>
        </w:rPr>
        <w:t>notamment</w:t>
      </w:r>
      <w:r>
        <w:rPr>
          <w:spacing w:val="-2"/>
          <w:sz w:val="24"/>
        </w:rPr>
        <w:t> </w:t>
      </w:r>
      <w:r>
        <w:rPr>
          <w:sz w:val="24"/>
        </w:rPr>
        <w:t>en</w:t>
      </w:r>
      <w:r>
        <w:rPr>
          <w:spacing w:val="-11"/>
          <w:sz w:val="24"/>
        </w:rPr>
        <w:t> </w:t>
      </w:r>
      <w:r>
        <w:rPr>
          <w:sz w:val="24"/>
        </w:rPr>
        <w:t>dehors</w:t>
      </w:r>
      <w:r>
        <w:rPr>
          <w:spacing w:val="-8"/>
          <w:sz w:val="24"/>
        </w:rPr>
        <w:t> </w:t>
      </w:r>
      <w:r>
        <w:rPr>
          <w:sz w:val="24"/>
        </w:rPr>
        <w:t>des</w:t>
      </w:r>
      <w:r>
        <w:rPr>
          <w:spacing w:val="-8"/>
          <w:sz w:val="24"/>
        </w:rPr>
        <w:t> </w:t>
      </w:r>
      <w:r>
        <w:rPr>
          <w:sz w:val="24"/>
        </w:rPr>
        <w:t>heures</w:t>
      </w:r>
      <w:r>
        <w:rPr>
          <w:spacing w:val="-8"/>
          <w:sz w:val="24"/>
        </w:rPr>
        <w:t> </w:t>
      </w:r>
      <w:r>
        <w:rPr>
          <w:sz w:val="24"/>
        </w:rPr>
        <w:t>ouvrables,</w:t>
      </w:r>
      <w:r>
        <w:rPr>
          <w:spacing w:val="-5"/>
          <w:sz w:val="24"/>
        </w:rPr>
        <w:t> </w:t>
      </w:r>
      <w:r>
        <w:rPr>
          <w:sz w:val="24"/>
        </w:rPr>
        <w:t>en</w:t>
      </w:r>
      <w:r>
        <w:rPr>
          <w:spacing w:val="-6"/>
          <w:sz w:val="24"/>
        </w:rPr>
        <w:t> </w:t>
      </w:r>
      <w:r>
        <w:rPr>
          <w:sz w:val="24"/>
        </w:rPr>
        <w:t>mettant</w:t>
      </w:r>
      <w:r>
        <w:rPr>
          <w:spacing w:val="-2"/>
          <w:sz w:val="24"/>
        </w:rPr>
        <w:t> </w:t>
      </w:r>
      <w:r>
        <w:rPr>
          <w:sz w:val="24"/>
        </w:rPr>
        <w:t>en</w:t>
      </w:r>
      <w:r>
        <w:rPr>
          <w:spacing w:val="-11"/>
          <w:sz w:val="24"/>
        </w:rPr>
        <w:t> </w:t>
      </w:r>
      <w:r>
        <w:rPr>
          <w:sz w:val="24"/>
        </w:rPr>
        <w:t>place</w:t>
      </w:r>
      <w:r>
        <w:rPr>
          <w:spacing w:val="-7"/>
          <w:sz w:val="24"/>
        </w:rPr>
        <w:t> </w:t>
      </w:r>
      <w:r>
        <w:rPr>
          <w:sz w:val="24"/>
        </w:rPr>
        <w:t>un système</w:t>
      </w:r>
      <w:r>
        <w:rPr>
          <w:spacing w:val="-14"/>
          <w:sz w:val="24"/>
        </w:rPr>
        <w:t> </w:t>
      </w:r>
      <w:r>
        <w:rPr>
          <w:sz w:val="24"/>
        </w:rPr>
        <w:t>de</w:t>
      </w:r>
      <w:r>
        <w:rPr>
          <w:spacing w:val="-14"/>
          <w:sz w:val="24"/>
        </w:rPr>
        <w:t> </w:t>
      </w:r>
      <w:r>
        <w:rPr>
          <w:sz w:val="24"/>
        </w:rPr>
        <w:t>redémarrage</w:t>
      </w:r>
      <w:r>
        <w:rPr>
          <w:spacing w:val="-14"/>
          <w:sz w:val="24"/>
        </w:rPr>
        <w:t> </w:t>
      </w:r>
      <w:r>
        <w:rPr>
          <w:sz w:val="24"/>
        </w:rPr>
        <w:t>automatique</w:t>
      </w:r>
      <w:r>
        <w:rPr>
          <w:spacing w:val="-13"/>
          <w:sz w:val="24"/>
        </w:rPr>
        <w:t> </w:t>
      </w:r>
      <w:r>
        <w:rPr>
          <w:sz w:val="24"/>
        </w:rPr>
        <w:t>du</w:t>
      </w:r>
      <w:r>
        <w:rPr>
          <w:spacing w:val="-13"/>
          <w:sz w:val="24"/>
        </w:rPr>
        <w:t> </w:t>
      </w:r>
      <w:r>
        <w:rPr>
          <w:sz w:val="24"/>
        </w:rPr>
        <w:t>serveur</w:t>
      </w:r>
      <w:r>
        <w:rPr>
          <w:spacing w:val="-11"/>
          <w:sz w:val="24"/>
        </w:rPr>
        <w:t> </w:t>
      </w:r>
      <w:r>
        <w:rPr>
          <w:sz w:val="24"/>
        </w:rPr>
        <w:t>et</w:t>
      </w:r>
      <w:r>
        <w:rPr>
          <w:spacing w:val="-16"/>
          <w:sz w:val="24"/>
        </w:rPr>
        <w:t> </w:t>
      </w:r>
      <w:r>
        <w:rPr>
          <w:sz w:val="24"/>
        </w:rPr>
        <w:t>un</w:t>
      </w:r>
      <w:r>
        <w:rPr>
          <w:spacing w:val="-17"/>
          <w:sz w:val="24"/>
        </w:rPr>
        <w:t> </w:t>
      </w:r>
      <w:r>
        <w:rPr>
          <w:sz w:val="24"/>
        </w:rPr>
        <w:t>serveur</w:t>
      </w:r>
      <w:r>
        <w:rPr>
          <w:spacing w:val="-11"/>
          <w:sz w:val="24"/>
        </w:rPr>
        <w:t> </w:t>
      </w:r>
      <w:r>
        <w:rPr>
          <w:sz w:val="24"/>
        </w:rPr>
        <w:t>de</w:t>
      </w:r>
      <w:r>
        <w:rPr>
          <w:spacing w:val="-13"/>
          <w:sz w:val="24"/>
        </w:rPr>
        <w:t> </w:t>
      </w:r>
      <w:r>
        <w:rPr>
          <w:sz w:val="24"/>
        </w:rPr>
        <w:t>secours</w:t>
      </w:r>
      <w:r>
        <w:rPr>
          <w:spacing w:val="-15"/>
          <w:sz w:val="24"/>
        </w:rPr>
        <w:t> </w:t>
      </w:r>
      <w:r>
        <w:rPr>
          <w:sz w:val="24"/>
        </w:rPr>
        <w:t>pour</w:t>
      </w:r>
      <w:r>
        <w:rPr>
          <w:spacing w:val="-16"/>
          <w:sz w:val="24"/>
        </w:rPr>
        <w:t> </w:t>
      </w:r>
      <w:r>
        <w:rPr>
          <w:sz w:val="24"/>
        </w:rPr>
        <w:t>éviter les interruptions</w:t>
      </w:r>
      <w:r>
        <w:rPr>
          <w:spacing w:val="6"/>
          <w:sz w:val="24"/>
        </w:rPr>
        <w:t> </w:t>
      </w:r>
      <w:r>
        <w:rPr>
          <w:sz w:val="24"/>
        </w:rPr>
        <w:t>;</w:t>
      </w:r>
    </w:p>
    <w:p>
      <w:pPr>
        <w:pStyle w:val="ListParagraph"/>
        <w:numPr>
          <w:ilvl w:val="3"/>
          <w:numId w:val="28"/>
        </w:numPr>
        <w:tabs>
          <w:tab w:pos="2141" w:val="left" w:leader="none"/>
        </w:tabs>
        <w:spacing w:line="360" w:lineRule="auto" w:before="0" w:after="0"/>
        <w:ind w:left="2140" w:right="320" w:hanging="360"/>
        <w:jc w:val="both"/>
        <w:rPr>
          <w:sz w:val="24"/>
        </w:rPr>
      </w:pPr>
      <w:r>
        <w:rPr>
          <w:sz w:val="24"/>
        </w:rPr>
        <w:t>La sécurité constitue également une priorité majeure ; l’intégration de l’authentification à deux facteurs (2FA), ainsi que de </w:t>
      </w:r>
      <w:r>
        <w:rPr>
          <w:spacing w:val="-5"/>
          <w:sz w:val="24"/>
        </w:rPr>
        <w:t>la </w:t>
      </w:r>
      <w:r>
        <w:rPr>
          <w:sz w:val="24"/>
        </w:rPr>
        <w:t>biométrie (empreinte digitale, reconnaissance faciale), renforcerait </w:t>
      </w:r>
      <w:r>
        <w:rPr>
          <w:spacing w:val="-5"/>
          <w:sz w:val="24"/>
        </w:rPr>
        <w:t>la </w:t>
      </w:r>
      <w:r>
        <w:rPr>
          <w:sz w:val="24"/>
        </w:rPr>
        <w:t>protection des données et des transactions</w:t>
      </w:r>
      <w:r>
        <w:rPr>
          <w:spacing w:val="-1"/>
          <w:sz w:val="24"/>
        </w:rPr>
        <w:t> </w:t>
      </w:r>
      <w:r>
        <w:rPr>
          <w:sz w:val="24"/>
        </w:rPr>
        <w:t>;</w:t>
      </w:r>
    </w:p>
    <w:p>
      <w:pPr>
        <w:pStyle w:val="ListParagraph"/>
        <w:numPr>
          <w:ilvl w:val="3"/>
          <w:numId w:val="28"/>
        </w:numPr>
        <w:tabs>
          <w:tab w:pos="2203" w:val="left" w:leader="none"/>
        </w:tabs>
        <w:spacing w:line="360" w:lineRule="auto" w:before="1" w:after="0"/>
        <w:ind w:left="2140" w:right="318" w:hanging="360"/>
        <w:jc w:val="both"/>
        <w:rPr>
          <w:sz w:val="24"/>
        </w:rPr>
      </w:pPr>
      <w:r>
        <w:rPr/>
        <w:tab/>
      </w:r>
      <w:r>
        <w:rPr>
          <w:sz w:val="24"/>
        </w:rPr>
        <w:t>L’amélioration</w:t>
      </w:r>
      <w:r>
        <w:rPr>
          <w:spacing w:val="-17"/>
          <w:sz w:val="24"/>
        </w:rPr>
        <w:t> </w:t>
      </w:r>
      <w:r>
        <w:rPr>
          <w:sz w:val="24"/>
        </w:rPr>
        <w:t>de</w:t>
      </w:r>
      <w:r>
        <w:rPr>
          <w:spacing w:val="-9"/>
          <w:sz w:val="24"/>
        </w:rPr>
        <w:t> </w:t>
      </w:r>
      <w:r>
        <w:rPr>
          <w:sz w:val="24"/>
        </w:rPr>
        <w:t>l’interface</w:t>
      </w:r>
      <w:r>
        <w:rPr>
          <w:spacing w:val="-13"/>
          <w:sz w:val="24"/>
        </w:rPr>
        <w:t> </w:t>
      </w:r>
      <w:r>
        <w:rPr>
          <w:sz w:val="24"/>
        </w:rPr>
        <w:t>utilisateur,</w:t>
      </w:r>
      <w:r>
        <w:rPr>
          <w:spacing w:val="-11"/>
          <w:sz w:val="24"/>
        </w:rPr>
        <w:t> </w:t>
      </w:r>
      <w:r>
        <w:rPr>
          <w:sz w:val="24"/>
        </w:rPr>
        <w:t>à</w:t>
      </w:r>
      <w:r>
        <w:rPr>
          <w:spacing w:val="-22"/>
          <w:sz w:val="24"/>
        </w:rPr>
        <w:t> </w:t>
      </w:r>
      <w:r>
        <w:rPr>
          <w:sz w:val="24"/>
        </w:rPr>
        <w:t>travers</w:t>
      </w:r>
      <w:r>
        <w:rPr>
          <w:spacing w:val="-15"/>
          <w:sz w:val="24"/>
        </w:rPr>
        <w:t> </w:t>
      </w:r>
      <w:r>
        <w:rPr>
          <w:spacing w:val="-3"/>
          <w:sz w:val="24"/>
        </w:rPr>
        <w:t>un</w:t>
      </w:r>
      <w:r>
        <w:rPr>
          <w:spacing w:val="-16"/>
          <w:sz w:val="24"/>
        </w:rPr>
        <w:t> </w:t>
      </w:r>
      <w:r>
        <w:rPr>
          <w:sz w:val="24"/>
        </w:rPr>
        <w:t>design</w:t>
      </w:r>
      <w:r>
        <w:rPr>
          <w:spacing w:val="-16"/>
          <w:sz w:val="24"/>
        </w:rPr>
        <w:t> </w:t>
      </w:r>
      <w:r>
        <w:rPr>
          <w:sz w:val="24"/>
        </w:rPr>
        <w:t>plus</w:t>
      </w:r>
      <w:r>
        <w:rPr>
          <w:spacing w:val="-10"/>
          <w:sz w:val="24"/>
        </w:rPr>
        <w:t> </w:t>
      </w:r>
      <w:r>
        <w:rPr>
          <w:sz w:val="24"/>
        </w:rPr>
        <w:t>moderne,</w:t>
      </w:r>
      <w:r>
        <w:rPr>
          <w:spacing w:val="-11"/>
          <w:sz w:val="24"/>
        </w:rPr>
        <w:t> </w:t>
      </w:r>
      <w:r>
        <w:rPr>
          <w:sz w:val="24"/>
        </w:rPr>
        <w:t>un</w:t>
      </w:r>
      <w:r>
        <w:rPr>
          <w:spacing w:val="-13"/>
          <w:sz w:val="24"/>
        </w:rPr>
        <w:t> </w:t>
      </w:r>
      <w:r>
        <w:rPr>
          <w:sz w:val="24"/>
        </w:rPr>
        <w:t>mode sombre, et une gestion efficace des erreurs, permettrait de rendre l’application plus intuitive et agréable à utiliser</w:t>
      </w:r>
      <w:r>
        <w:rPr>
          <w:spacing w:val="16"/>
          <w:sz w:val="24"/>
        </w:rPr>
        <w:t> </w:t>
      </w:r>
      <w:r>
        <w:rPr>
          <w:sz w:val="24"/>
        </w:rPr>
        <w:t>;</w:t>
      </w:r>
    </w:p>
    <w:p>
      <w:pPr>
        <w:pStyle w:val="ListParagraph"/>
        <w:numPr>
          <w:ilvl w:val="3"/>
          <w:numId w:val="28"/>
        </w:numPr>
        <w:tabs>
          <w:tab w:pos="2203" w:val="left" w:leader="none"/>
        </w:tabs>
        <w:spacing w:line="360" w:lineRule="auto" w:before="2" w:after="0"/>
        <w:ind w:left="2140" w:right="312" w:hanging="360"/>
        <w:jc w:val="both"/>
        <w:rPr>
          <w:sz w:val="24"/>
        </w:rPr>
      </w:pPr>
      <w:r>
        <w:rPr/>
        <w:tab/>
      </w:r>
      <w:r>
        <w:rPr>
          <w:sz w:val="24"/>
        </w:rPr>
        <w:t>L’affichage du solde en temps réel, sans nécessité d’actualisation, est une attente forte des usagers, de </w:t>
      </w:r>
      <w:r>
        <w:rPr>
          <w:spacing w:val="-3"/>
          <w:sz w:val="24"/>
        </w:rPr>
        <w:t>même </w:t>
      </w:r>
      <w:r>
        <w:rPr>
          <w:sz w:val="24"/>
        </w:rPr>
        <w:t>que </w:t>
      </w:r>
      <w:r>
        <w:rPr>
          <w:spacing w:val="-5"/>
          <w:sz w:val="24"/>
        </w:rPr>
        <w:t>la </w:t>
      </w:r>
      <w:r>
        <w:rPr>
          <w:sz w:val="24"/>
        </w:rPr>
        <w:t>fiabilité des virements </w:t>
      </w:r>
      <w:r>
        <w:rPr>
          <w:spacing w:val="-3"/>
          <w:sz w:val="24"/>
        </w:rPr>
        <w:t>et </w:t>
      </w:r>
      <w:r>
        <w:rPr>
          <w:spacing w:val="-5"/>
          <w:sz w:val="24"/>
        </w:rPr>
        <w:t>la </w:t>
      </w:r>
      <w:r>
        <w:rPr>
          <w:sz w:val="24"/>
        </w:rPr>
        <w:t>transparence des informations affichées. En outre, l’optimisation des fonctionnalités telles que </w:t>
      </w:r>
      <w:r>
        <w:rPr>
          <w:spacing w:val="-5"/>
          <w:sz w:val="24"/>
        </w:rPr>
        <w:t>le </w:t>
      </w:r>
      <w:r>
        <w:rPr>
          <w:sz w:val="24"/>
        </w:rPr>
        <w:t>paiement de factures (Sonelgaz, Seaal, ADE)</w:t>
      </w:r>
      <w:r>
        <w:rPr>
          <w:spacing w:val="21"/>
          <w:sz w:val="24"/>
        </w:rPr>
        <w:t> </w:t>
      </w:r>
      <w:r>
        <w:rPr>
          <w:sz w:val="24"/>
        </w:rPr>
        <w:t>;</w:t>
      </w:r>
    </w:p>
    <w:p>
      <w:pPr>
        <w:pStyle w:val="ListParagraph"/>
        <w:numPr>
          <w:ilvl w:val="3"/>
          <w:numId w:val="28"/>
        </w:numPr>
        <w:tabs>
          <w:tab w:pos="2141" w:val="left" w:leader="none"/>
        </w:tabs>
        <w:spacing w:line="360" w:lineRule="auto" w:before="0" w:after="0"/>
        <w:ind w:left="2140" w:right="320" w:hanging="360"/>
        <w:jc w:val="both"/>
        <w:rPr>
          <w:sz w:val="24"/>
        </w:rPr>
      </w:pPr>
      <w:r>
        <w:rPr>
          <w:sz w:val="24"/>
        </w:rPr>
        <w:t>Le scan de QR codes pour </w:t>
      </w:r>
      <w:r>
        <w:rPr>
          <w:spacing w:val="-3"/>
          <w:sz w:val="24"/>
        </w:rPr>
        <w:t>les </w:t>
      </w:r>
      <w:r>
        <w:rPr>
          <w:sz w:val="24"/>
        </w:rPr>
        <w:t>paiements rapides, un historique détaillé des opérations, ainsi que l’affichage du nom du bénéficiaire lors des transferts contribuerait à enrichir l’usage de l’application</w:t>
      </w:r>
      <w:r>
        <w:rPr>
          <w:spacing w:val="21"/>
          <w:sz w:val="24"/>
        </w:rPr>
        <w:t> </w:t>
      </w:r>
      <w:r>
        <w:rPr>
          <w:sz w:val="24"/>
        </w:rPr>
        <w:t>;</w:t>
      </w:r>
    </w:p>
    <w:p>
      <w:pPr>
        <w:pStyle w:val="ListParagraph"/>
        <w:numPr>
          <w:ilvl w:val="3"/>
          <w:numId w:val="28"/>
        </w:numPr>
        <w:tabs>
          <w:tab w:pos="2203" w:val="left" w:leader="none"/>
        </w:tabs>
        <w:spacing w:line="360" w:lineRule="auto" w:before="2" w:after="0"/>
        <w:ind w:left="2140" w:right="318" w:hanging="360"/>
        <w:jc w:val="both"/>
        <w:rPr>
          <w:sz w:val="24"/>
        </w:rPr>
      </w:pPr>
      <w:r>
        <w:rPr/>
        <w:tab/>
      </w:r>
      <w:r>
        <w:rPr>
          <w:sz w:val="24"/>
        </w:rPr>
        <w:t>L’optimisation de l’algorithme de traitement </w:t>
      </w:r>
      <w:r>
        <w:rPr>
          <w:spacing w:val="-3"/>
          <w:sz w:val="24"/>
        </w:rPr>
        <w:t>et </w:t>
      </w:r>
      <w:r>
        <w:rPr>
          <w:spacing w:val="-5"/>
          <w:sz w:val="24"/>
        </w:rPr>
        <w:t>le </w:t>
      </w:r>
      <w:r>
        <w:rPr>
          <w:sz w:val="24"/>
        </w:rPr>
        <w:t>recours à des technologies plus robustes</w:t>
      </w:r>
      <w:r>
        <w:rPr>
          <w:spacing w:val="-16"/>
          <w:sz w:val="24"/>
        </w:rPr>
        <w:t> </w:t>
      </w:r>
      <w:r>
        <w:rPr>
          <w:sz w:val="24"/>
        </w:rPr>
        <w:t>permettraient</w:t>
      </w:r>
      <w:r>
        <w:rPr>
          <w:spacing w:val="-9"/>
          <w:sz w:val="24"/>
        </w:rPr>
        <w:t> </w:t>
      </w:r>
      <w:r>
        <w:rPr>
          <w:sz w:val="24"/>
        </w:rPr>
        <w:t>de</w:t>
      </w:r>
      <w:r>
        <w:rPr>
          <w:spacing w:val="-18"/>
          <w:sz w:val="24"/>
        </w:rPr>
        <w:t> </w:t>
      </w:r>
      <w:r>
        <w:rPr>
          <w:sz w:val="24"/>
        </w:rPr>
        <w:t>réduire</w:t>
      </w:r>
      <w:r>
        <w:rPr>
          <w:spacing w:val="-10"/>
          <w:sz w:val="24"/>
        </w:rPr>
        <w:t> </w:t>
      </w:r>
      <w:r>
        <w:rPr>
          <w:sz w:val="24"/>
        </w:rPr>
        <w:t>les</w:t>
      </w:r>
      <w:r>
        <w:rPr>
          <w:spacing w:val="-11"/>
          <w:sz w:val="24"/>
        </w:rPr>
        <w:t> </w:t>
      </w:r>
      <w:r>
        <w:rPr>
          <w:sz w:val="24"/>
        </w:rPr>
        <w:t>bugs</w:t>
      </w:r>
      <w:r>
        <w:rPr>
          <w:spacing w:val="-11"/>
          <w:sz w:val="24"/>
        </w:rPr>
        <w:t> </w:t>
      </w:r>
      <w:r>
        <w:rPr>
          <w:sz w:val="24"/>
        </w:rPr>
        <w:t>fréquents</w:t>
      </w:r>
      <w:r>
        <w:rPr>
          <w:spacing w:val="-11"/>
          <w:sz w:val="24"/>
        </w:rPr>
        <w:t> </w:t>
      </w:r>
      <w:r>
        <w:rPr>
          <w:sz w:val="24"/>
        </w:rPr>
        <w:t>et</w:t>
      </w:r>
      <w:r>
        <w:rPr>
          <w:spacing w:val="-12"/>
          <w:sz w:val="24"/>
        </w:rPr>
        <w:t> </w:t>
      </w:r>
      <w:r>
        <w:rPr>
          <w:sz w:val="24"/>
        </w:rPr>
        <w:t>d’améliorer</w:t>
      </w:r>
      <w:r>
        <w:rPr>
          <w:spacing w:val="-12"/>
          <w:sz w:val="24"/>
        </w:rPr>
        <w:t> </w:t>
      </w:r>
      <w:r>
        <w:rPr>
          <w:sz w:val="24"/>
        </w:rPr>
        <w:t>les</w:t>
      </w:r>
      <w:r>
        <w:rPr>
          <w:spacing w:val="-16"/>
          <w:sz w:val="24"/>
        </w:rPr>
        <w:t> </w:t>
      </w:r>
      <w:r>
        <w:rPr>
          <w:sz w:val="24"/>
        </w:rPr>
        <w:t>performances globales ;</w:t>
      </w:r>
    </w:p>
    <w:p>
      <w:pPr>
        <w:pStyle w:val="ListParagraph"/>
        <w:numPr>
          <w:ilvl w:val="3"/>
          <w:numId w:val="28"/>
        </w:numPr>
        <w:tabs>
          <w:tab w:pos="2141" w:val="left" w:leader="none"/>
        </w:tabs>
        <w:spacing w:line="362" w:lineRule="auto" w:before="0" w:after="0"/>
        <w:ind w:left="2140" w:right="318" w:hanging="360"/>
        <w:jc w:val="both"/>
        <w:rPr>
          <w:sz w:val="24"/>
        </w:rPr>
      </w:pPr>
      <w:r>
        <w:rPr>
          <w:sz w:val="24"/>
        </w:rPr>
        <w:t>Enfin, </w:t>
      </w:r>
      <w:r>
        <w:rPr>
          <w:spacing w:val="-5"/>
          <w:sz w:val="24"/>
        </w:rPr>
        <w:t>le </w:t>
      </w:r>
      <w:r>
        <w:rPr>
          <w:sz w:val="24"/>
        </w:rPr>
        <w:t>renforcement du service client, </w:t>
      </w:r>
      <w:r>
        <w:rPr>
          <w:spacing w:val="-4"/>
          <w:sz w:val="24"/>
        </w:rPr>
        <w:t>via </w:t>
      </w:r>
      <w:r>
        <w:rPr>
          <w:sz w:val="24"/>
        </w:rPr>
        <w:t>l’intégration d’un chatbot ou d’un support</w:t>
      </w:r>
      <w:r>
        <w:rPr>
          <w:spacing w:val="1"/>
          <w:sz w:val="24"/>
        </w:rPr>
        <w:t> </w:t>
      </w:r>
      <w:r>
        <w:rPr>
          <w:sz w:val="24"/>
        </w:rPr>
        <w:t>instantané.</w:t>
      </w:r>
    </w:p>
    <w:p>
      <w:pPr>
        <w:spacing w:after="0" w:line="362" w:lineRule="auto"/>
        <w:jc w:val="both"/>
        <w:rPr>
          <w:sz w:val="24"/>
        </w:rPr>
        <w:sectPr>
          <w:pgSz w:w="12240" w:h="15840"/>
          <w:pgMar w:header="766" w:footer="850" w:top="1080" w:bottom="1040" w:left="1000" w:right="820"/>
        </w:sectPr>
      </w:pPr>
    </w:p>
    <w:p>
      <w:pPr>
        <w:pStyle w:val="BodyText"/>
        <w:spacing w:before="4"/>
        <w:rPr>
          <w:sz w:val="27"/>
        </w:rPr>
      </w:pPr>
    </w:p>
    <w:p>
      <w:pPr>
        <w:spacing w:before="87"/>
        <w:ind w:left="1098" w:right="0" w:firstLine="0"/>
        <w:jc w:val="left"/>
        <w:rPr>
          <w:b/>
          <w:sz w:val="28"/>
        </w:rPr>
      </w:pPr>
      <w:bookmarkStart w:name="Bibliographie" w:id="270"/>
      <w:bookmarkEnd w:id="270"/>
      <w:r>
        <w:rPr/>
      </w:r>
      <w:bookmarkStart w:name="_bookmark75" w:id="271"/>
      <w:bookmarkEnd w:id="271"/>
      <w:r>
        <w:rPr/>
      </w:r>
      <w:r>
        <w:rPr>
          <w:b/>
          <w:sz w:val="28"/>
        </w:rPr>
        <w:t>Bibliographie</w:t>
      </w:r>
    </w:p>
    <w:p>
      <w:pPr>
        <w:pStyle w:val="ListParagraph"/>
        <w:numPr>
          <w:ilvl w:val="0"/>
          <w:numId w:val="30"/>
        </w:numPr>
        <w:tabs>
          <w:tab w:pos="1421" w:val="left" w:leader="none"/>
        </w:tabs>
        <w:spacing w:line="240" w:lineRule="auto" w:before="267" w:after="0"/>
        <w:ind w:left="1420" w:right="0" w:hanging="361"/>
        <w:jc w:val="left"/>
        <w:rPr>
          <w:b/>
          <w:sz w:val="22"/>
        </w:rPr>
      </w:pPr>
      <w:r>
        <w:rPr>
          <w:b/>
          <w:sz w:val="22"/>
        </w:rPr>
        <w:t>Ouvrages</w:t>
      </w:r>
    </w:p>
    <w:p>
      <w:pPr>
        <w:pStyle w:val="ListParagraph"/>
        <w:numPr>
          <w:ilvl w:val="0"/>
          <w:numId w:val="31"/>
        </w:numPr>
        <w:tabs>
          <w:tab w:pos="555" w:val="left" w:leader="none"/>
          <w:tab w:pos="556" w:val="left" w:leader="none"/>
        </w:tabs>
        <w:spacing w:line="240" w:lineRule="auto" w:before="125" w:after="0"/>
        <w:ind w:left="555" w:right="0" w:hanging="361"/>
        <w:jc w:val="left"/>
        <w:rPr>
          <w:i/>
          <w:sz w:val="22"/>
        </w:rPr>
      </w:pPr>
      <w:r>
        <w:rPr>
          <w:i/>
          <w:sz w:val="22"/>
        </w:rPr>
        <w:t>Kotler Philip, Dubois Bernard, Marketing Management, Publi-Union, Paris,</w:t>
      </w:r>
      <w:r>
        <w:rPr>
          <w:i/>
          <w:spacing w:val="6"/>
          <w:sz w:val="22"/>
        </w:rPr>
        <w:t> </w:t>
      </w:r>
      <w:r>
        <w:rPr>
          <w:i/>
          <w:sz w:val="22"/>
        </w:rPr>
        <w:t>2000.</w:t>
      </w:r>
    </w:p>
    <w:p>
      <w:pPr>
        <w:pStyle w:val="ListParagraph"/>
        <w:numPr>
          <w:ilvl w:val="0"/>
          <w:numId w:val="31"/>
        </w:numPr>
        <w:tabs>
          <w:tab w:pos="555" w:val="left" w:leader="none"/>
          <w:tab w:pos="556" w:val="left" w:leader="none"/>
        </w:tabs>
        <w:spacing w:line="240" w:lineRule="auto" w:before="33" w:after="0"/>
        <w:ind w:left="555" w:right="0" w:hanging="361"/>
        <w:jc w:val="left"/>
        <w:rPr>
          <w:i/>
          <w:sz w:val="22"/>
        </w:rPr>
      </w:pPr>
      <w:r>
        <w:rPr>
          <w:i/>
          <w:sz w:val="22"/>
        </w:rPr>
        <w:t>Lendrevie Jacques, Lévy Julien, Mercator, Dunod, Paris,</w:t>
      </w:r>
      <w:r>
        <w:rPr>
          <w:i/>
          <w:spacing w:val="10"/>
          <w:sz w:val="22"/>
        </w:rPr>
        <w:t> </w:t>
      </w:r>
      <w:r>
        <w:rPr>
          <w:i/>
          <w:sz w:val="22"/>
        </w:rPr>
        <w:t>2003.</w:t>
      </w:r>
    </w:p>
    <w:p>
      <w:pPr>
        <w:pStyle w:val="ListParagraph"/>
        <w:numPr>
          <w:ilvl w:val="0"/>
          <w:numId w:val="31"/>
        </w:numPr>
        <w:tabs>
          <w:tab w:pos="555" w:val="left" w:leader="none"/>
          <w:tab w:pos="556" w:val="left" w:leader="none"/>
        </w:tabs>
        <w:spacing w:line="273" w:lineRule="auto" w:before="38" w:after="0"/>
        <w:ind w:left="555" w:right="309" w:hanging="360"/>
        <w:jc w:val="left"/>
        <w:rPr>
          <w:i/>
          <w:sz w:val="22"/>
          <w:szCs w:val="22"/>
        </w:rPr>
      </w:pPr>
      <w:r>
        <w:rPr>
          <w:i/>
          <w:sz w:val="22"/>
          <w:szCs w:val="22"/>
        </w:rPr>
        <w:t>LeGoff Yvon, « Stratégie, segmentation, marketing-mix et politique de l’offre », in Marketing, 7ᵉ édition, </w:t>
      </w:r>
      <w:r>
        <w:rPr>
          <w:i/>
          <w:sz w:val="22"/>
          <w:szCs w:val="22"/>
        </w:rPr>
        <w:t>Éditions d’Organisation, Paris,</w:t>
      </w:r>
      <w:r>
        <w:rPr>
          <w:i/>
          <w:spacing w:val="1"/>
          <w:sz w:val="22"/>
          <w:szCs w:val="22"/>
        </w:rPr>
        <w:t> </w:t>
      </w:r>
      <w:r>
        <w:rPr>
          <w:i/>
          <w:sz w:val="22"/>
          <w:szCs w:val="22"/>
        </w:rPr>
        <w:t>1995.</w:t>
      </w:r>
    </w:p>
    <w:p>
      <w:pPr>
        <w:pStyle w:val="ListParagraph"/>
        <w:numPr>
          <w:ilvl w:val="0"/>
          <w:numId w:val="31"/>
        </w:numPr>
        <w:tabs>
          <w:tab w:pos="555" w:val="left" w:leader="none"/>
          <w:tab w:pos="556" w:val="left" w:leader="none"/>
        </w:tabs>
        <w:spacing w:line="240" w:lineRule="auto" w:before="4" w:after="0"/>
        <w:ind w:left="555" w:right="0" w:hanging="361"/>
        <w:jc w:val="left"/>
        <w:rPr>
          <w:i/>
          <w:sz w:val="22"/>
          <w:szCs w:val="22"/>
        </w:rPr>
      </w:pPr>
      <w:r>
        <w:rPr>
          <w:i/>
          <w:sz w:val="22"/>
          <w:szCs w:val="22"/>
        </w:rPr>
        <w:t>Kotler Philip, Keller Kevin Lane, Marketing Management, 15ᵉ édition, Pearson Education, Paris,</w:t>
      </w:r>
      <w:r>
        <w:rPr>
          <w:i/>
          <w:spacing w:val="-11"/>
          <w:sz w:val="22"/>
          <w:szCs w:val="22"/>
        </w:rPr>
        <w:t> </w:t>
      </w:r>
      <w:r>
        <w:rPr>
          <w:i/>
          <w:sz w:val="22"/>
          <w:szCs w:val="22"/>
        </w:rPr>
        <w:t>2016.</w:t>
      </w:r>
    </w:p>
    <w:p>
      <w:pPr>
        <w:pStyle w:val="ListParagraph"/>
        <w:numPr>
          <w:ilvl w:val="0"/>
          <w:numId w:val="31"/>
        </w:numPr>
        <w:tabs>
          <w:tab w:pos="555" w:val="left" w:leader="none"/>
          <w:tab w:pos="556" w:val="left" w:leader="none"/>
        </w:tabs>
        <w:spacing w:line="273" w:lineRule="auto" w:before="38" w:after="0"/>
        <w:ind w:left="555" w:right="317" w:hanging="360"/>
        <w:jc w:val="left"/>
        <w:rPr>
          <w:i/>
          <w:sz w:val="22"/>
        </w:rPr>
      </w:pPr>
      <w:r>
        <w:rPr>
          <w:i/>
          <w:sz w:val="22"/>
        </w:rPr>
        <w:t>Goetsch David L., Davis Stanley B., Quality Management: Introduction to Total Quality Management for </w:t>
      </w:r>
      <w:r>
        <w:rPr>
          <w:i/>
          <w:sz w:val="22"/>
        </w:rPr>
        <w:t>Production, Processing, and Services, Prentice Hall, New Jersey,</w:t>
      </w:r>
      <w:r>
        <w:rPr>
          <w:i/>
          <w:spacing w:val="3"/>
          <w:sz w:val="22"/>
        </w:rPr>
        <w:t> </w:t>
      </w:r>
      <w:r>
        <w:rPr>
          <w:i/>
          <w:sz w:val="22"/>
        </w:rPr>
        <w:t>1994.</w:t>
      </w:r>
    </w:p>
    <w:p>
      <w:pPr>
        <w:pStyle w:val="ListParagraph"/>
        <w:numPr>
          <w:ilvl w:val="0"/>
          <w:numId w:val="31"/>
        </w:numPr>
        <w:tabs>
          <w:tab w:pos="555" w:val="left" w:leader="none"/>
          <w:tab w:pos="556" w:val="left" w:leader="none"/>
        </w:tabs>
        <w:spacing w:line="269" w:lineRule="exact" w:before="0" w:after="0"/>
        <w:ind w:left="555" w:right="0" w:hanging="361"/>
        <w:jc w:val="left"/>
        <w:rPr>
          <w:i/>
          <w:sz w:val="22"/>
        </w:rPr>
      </w:pPr>
      <w:r>
        <w:rPr>
          <w:i/>
          <w:sz w:val="22"/>
        </w:rPr>
        <w:t>Serge Guinchard, Introduction générale </w:t>
      </w:r>
      <w:r>
        <w:rPr>
          <w:i/>
          <w:spacing w:val="-3"/>
          <w:sz w:val="22"/>
        </w:rPr>
        <w:t>au </w:t>
      </w:r>
      <w:r>
        <w:rPr>
          <w:i/>
          <w:sz w:val="22"/>
        </w:rPr>
        <w:t>droit, 16e édition, Dalloz, Paris, 29 août</w:t>
      </w:r>
      <w:r>
        <w:rPr>
          <w:i/>
          <w:spacing w:val="4"/>
          <w:sz w:val="22"/>
        </w:rPr>
        <w:t> </w:t>
      </w:r>
      <w:r>
        <w:rPr>
          <w:i/>
          <w:sz w:val="22"/>
        </w:rPr>
        <w:t>2024,</w:t>
      </w:r>
    </w:p>
    <w:p>
      <w:pPr>
        <w:pStyle w:val="ListParagraph"/>
        <w:numPr>
          <w:ilvl w:val="0"/>
          <w:numId w:val="31"/>
        </w:numPr>
        <w:tabs>
          <w:tab w:pos="555" w:val="left" w:leader="none"/>
          <w:tab w:pos="556" w:val="left" w:leader="none"/>
        </w:tabs>
        <w:spacing w:line="273" w:lineRule="auto" w:before="38" w:after="0"/>
        <w:ind w:left="555" w:right="318" w:hanging="360"/>
        <w:jc w:val="left"/>
        <w:rPr>
          <w:i/>
          <w:sz w:val="22"/>
        </w:rPr>
      </w:pPr>
      <w:r>
        <w:rPr>
          <w:i/>
          <w:sz w:val="22"/>
        </w:rPr>
        <w:t>Turban, E., King, D., Lee, J., « Electronic Payment Systems », in Electronic Commerce 2018: A Managerial </w:t>
      </w:r>
      <w:r>
        <w:rPr>
          <w:i/>
          <w:sz w:val="22"/>
        </w:rPr>
        <w:t>and Social Networks Perspective, 9e éd., Springer, </w:t>
      </w:r>
      <w:r>
        <w:rPr>
          <w:i/>
          <w:spacing w:val="-3"/>
          <w:sz w:val="22"/>
        </w:rPr>
        <w:t>Cham, </w:t>
      </w:r>
      <w:r>
        <w:rPr>
          <w:i/>
          <w:sz w:val="22"/>
        </w:rPr>
        <w:t>12 octobre</w:t>
      </w:r>
      <w:r>
        <w:rPr>
          <w:i/>
          <w:spacing w:val="11"/>
          <w:sz w:val="22"/>
        </w:rPr>
        <w:t> </w:t>
      </w:r>
      <w:r>
        <w:rPr>
          <w:i/>
          <w:sz w:val="22"/>
        </w:rPr>
        <w:t>2017.</w:t>
      </w:r>
    </w:p>
    <w:p>
      <w:pPr>
        <w:pStyle w:val="ListParagraph"/>
        <w:numPr>
          <w:ilvl w:val="1"/>
          <w:numId w:val="31"/>
        </w:numPr>
        <w:tabs>
          <w:tab w:pos="1421" w:val="left" w:leader="none"/>
        </w:tabs>
        <w:spacing w:line="240" w:lineRule="auto" w:before="169" w:after="0"/>
        <w:ind w:left="1420" w:right="0" w:hanging="361"/>
        <w:jc w:val="both"/>
        <w:rPr>
          <w:b/>
          <w:sz w:val="22"/>
        </w:rPr>
      </w:pPr>
      <w:r>
        <w:rPr>
          <w:b/>
          <w:sz w:val="22"/>
        </w:rPr>
        <w:t>Articles</w:t>
      </w:r>
      <w:r>
        <w:rPr>
          <w:b/>
          <w:spacing w:val="1"/>
          <w:sz w:val="22"/>
        </w:rPr>
        <w:t> </w:t>
      </w:r>
      <w:r>
        <w:rPr>
          <w:b/>
          <w:sz w:val="22"/>
        </w:rPr>
        <w:t>scientifiques</w:t>
      </w:r>
    </w:p>
    <w:p>
      <w:pPr>
        <w:pStyle w:val="ListParagraph"/>
        <w:numPr>
          <w:ilvl w:val="0"/>
          <w:numId w:val="31"/>
        </w:numPr>
        <w:tabs>
          <w:tab w:pos="556" w:val="left" w:leader="none"/>
        </w:tabs>
        <w:spacing w:line="273" w:lineRule="auto" w:before="121" w:after="0"/>
        <w:ind w:left="555" w:right="312" w:hanging="360"/>
        <w:jc w:val="both"/>
        <w:rPr>
          <w:i/>
          <w:sz w:val="22"/>
        </w:rPr>
      </w:pPr>
      <w:r>
        <w:rPr>
          <w:i/>
          <w:sz w:val="22"/>
        </w:rPr>
        <w:t>Hapsari Retno, Suhud Ujang, Mukhtar M., « The influence of service quality and price on customer </w:t>
      </w:r>
      <w:r>
        <w:rPr>
          <w:i/>
          <w:sz w:val="22"/>
        </w:rPr>
        <w:t>satisfaction</w:t>
      </w:r>
      <w:r>
        <w:rPr>
          <w:i/>
          <w:spacing w:val="-5"/>
          <w:sz w:val="22"/>
        </w:rPr>
        <w:t> </w:t>
      </w:r>
      <w:r>
        <w:rPr>
          <w:i/>
          <w:sz w:val="22"/>
        </w:rPr>
        <w:t>and</w:t>
      </w:r>
      <w:r>
        <w:rPr>
          <w:i/>
          <w:spacing w:val="-9"/>
          <w:sz w:val="22"/>
        </w:rPr>
        <w:t> </w:t>
      </w:r>
      <w:r>
        <w:rPr>
          <w:i/>
          <w:sz w:val="22"/>
        </w:rPr>
        <w:t>loyalty</w:t>
      </w:r>
      <w:r>
        <w:rPr>
          <w:i/>
          <w:spacing w:val="-11"/>
          <w:sz w:val="22"/>
        </w:rPr>
        <w:t> </w:t>
      </w:r>
      <w:r>
        <w:rPr>
          <w:i/>
          <w:sz w:val="22"/>
        </w:rPr>
        <w:t>in</w:t>
      </w:r>
      <w:r>
        <w:rPr>
          <w:i/>
          <w:spacing w:val="-4"/>
          <w:sz w:val="22"/>
        </w:rPr>
        <w:t> </w:t>
      </w:r>
      <w:r>
        <w:rPr>
          <w:i/>
          <w:sz w:val="22"/>
        </w:rPr>
        <w:t>airline</w:t>
      </w:r>
      <w:r>
        <w:rPr>
          <w:i/>
          <w:spacing w:val="-6"/>
          <w:sz w:val="22"/>
        </w:rPr>
        <w:t> </w:t>
      </w:r>
      <w:r>
        <w:rPr>
          <w:i/>
          <w:sz w:val="22"/>
        </w:rPr>
        <w:t>industry</w:t>
      </w:r>
      <w:r>
        <w:rPr>
          <w:i/>
          <w:spacing w:val="-5"/>
          <w:sz w:val="22"/>
        </w:rPr>
        <w:t> </w:t>
      </w:r>
      <w:r>
        <w:rPr>
          <w:i/>
          <w:spacing w:val="-3"/>
          <w:sz w:val="22"/>
        </w:rPr>
        <w:t>», </w:t>
      </w:r>
      <w:r>
        <w:rPr>
          <w:i/>
          <w:sz w:val="22"/>
        </w:rPr>
        <w:t>Journal</w:t>
      </w:r>
      <w:r>
        <w:rPr>
          <w:i/>
          <w:spacing w:val="-3"/>
          <w:sz w:val="22"/>
        </w:rPr>
        <w:t> </w:t>
      </w:r>
      <w:r>
        <w:rPr>
          <w:i/>
          <w:sz w:val="22"/>
        </w:rPr>
        <w:t>of</w:t>
      </w:r>
      <w:r>
        <w:rPr>
          <w:i/>
          <w:spacing w:val="-12"/>
          <w:sz w:val="22"/>
        </w:rPr>
        <w:t> </w:t>
      </w:r>
      <w:r>
        <w:rPr>
          <w:i/>
          <w:sz w:val="22"/>
        </w:rPr>
        <w:t>Business</w:t>
      </w:r>
      <w:r>
        <w:rPr>
          <w:i/>
          <w:spacing w:val="-3"/>
          <w:sz w:val="22"/>
        </w:rPr>
        <w:t> </w:t>
      </w:r>
      <w:r>
        <w:rPr>
          <w:i/>
          <w:sz w:val="22"/>
        </w:rPr>
        <w:t>and</w:t>
      </w:r>
      <w:r>
        <w:rPr>
          <w:i/>
          <w:spacing w:val="-9"/>
          <w:sz w:val="22"/>
        </w:rPr>
        <w:t> </w:t>
      </w:r>
      <w:r>
        <w:rPr>
          <w:i/>
          <w:sz w:val="22"/>
        </w:rPr>
        <w:t>Management</w:t>
      </w:r>
      <w:r>
        <w:rPr>
          <w:i/>
          <w:spacing w:val="-3"/>
          <w:sz w:val="22"/>
        </w:rPr>
        <w:t> </w:t>
      </w:r>
      <w:r>
        <w:rPr>
          <w:i/>
          <w:sz w:val="22"/>
        </w:rPr>
        <w:t>Review,</w:t>
      </w:r>
      <w:r>
        <w:rPr>
          <w:i/>
          <w:spacing w:val="-2"/>
          <w:sz w:val="22"/>
        </w:rPr>
        <w:t> </w:t>
      </w:r>
      <w:r>
        <w:rPr>
          <w:i/>
          <w:sz w:val="22"/>
        </w:rPr>
        <w:t>vol.</w:t>
      </w:r>
      <w:r>
        <w:rPr>
          <w:i/>
          <w:spacing w:val="-3"/>
          <w:sz w:val="22"/>
        </w:rPr>
        <w:t> 2,</w:t>
      </w:r>
      <w:r>
        <w:rPr>
          <w:i/>
          <w:spacing w:val="-2"/>
          <w:sz w:val="22"/>
        </w:rPr>
        <w:t> </w:t>
      </w:r>
      <w:r>
        <w:rPr>
          <w:i/>
          <w:sz w:val="22"/>
        </w:rPr>
        <w:t>n°7,</w:t>
      </w:r>
      <w:r>
        <w:rPr>
          <w:i/>
          <w:spacing w:val="-6"/>
          <w:sz w:val="22"/>
        </w:rPr>
        <w:t> </w:t>
      </w:r>
      <w:r>
        <w:rPr>
          <w:i/>
          <w:sz w:val="22"/>
        </w:rPr>
        <w:t>2021, pp.</w:t>
      </w:r>
      <w:r>
        <w:rPr>
          <w:i/>
          <w:spacing w:val="4"/>
          <w:sz w:val="22"/>
        </w:rPr>
        <w:t> </w:t>
      </w:r>
      <w:r>
        <w:rPr>
          <w:i/>
          <w:sz w:val="22"/>
        </w:rPr>
        <w:t>435–445.</w:t>
      </w:r>
    </w:p>
    <w:p>
      <w:pPr>
        <w:pStyle w:val="ListParagraph"/>
        <w:numPr>
          <w:ilvl w:val="1"/>
          <w:numId w:val="31"/>
        </w:numPr>
        <w:tabs>
          <w:tab w:pos="1421" w:val="left" w:leader="none"/>
        </w:tabs>
        <w:spacing w:line="240" w:lineRule="auto" w:before="168" w:after="0"/>
        <w:ind w:left="1420" w:right="0" w:hanging="361"/>
        <w:jc w:val="both"/>
        <w:rPr>
          <w:b/>
          <w:sz w:val="22"/>
        </w:rPr>
      </w:pPr>
      <w:r>
        <w:rPr>
          <w:b/>
          <w:sz w:val="22"/>
        </w:rPr>
        <w:t>Rapports</w:t>
      </w:r>
    </w:p>
    <w:p>
      <w:pPr>
        <w:pStyle w:val="ListParagraph"/>
        <w:numPr>
          <w:ilvl w:val="0"/>
          <w:numId w:val="31"/>
        </w:numPr>
        <w:tabs>
          <w:tab w:pos="556" w:val="left" w:leader="none"/>
        </w:tabs>
        <w:spacing w:line="273" w:lineRule="auto" w:before="121" w:after="0"/>
        <w:ind w:left="555" w:right="321" w:hanging="360"/>
        <w:jc w:val="both"/>
        <w:rPr>
          <w:i/>
          <w:sz w:val="22"/>
          <w:szCs w:val="22"/>
        </w:rPr>
      </w:pPr>
      <w:r>
        <w:rPr>
          <w:i/>
          <w:sz w:val="22"/>
          <w:szCs w:val="22"/>
        </w:rPr>
        <w:t>OCDE,</w:t>
      </w:r>
      <w:r>
        <w:rPr>
          <w:i/>
          <w:spacing w:val="-10"/>
          <w:sz w:val="22"/>
          <w:szCs w:val="22"/>
        </w:rPr>
        <w:t> </w:t>
      </w:r>
      <w:r>
        <w:rPr>
          <w:i/>
          <w:sz w:val="22"/>
          <w:szCs w:val="22"/>
        </w:rPr>
        <w:t>Manuel</w:t>
      </w:r>
      <w:r>
        <w:rPr>
          <w:i/>
          <w:spacing w:val="-6"/>
          <w:sz w:val="22"/>
          <w:szCs w:val="22"/>
        </w:rPr>
        <w:t> </w:t>
      </w:r>
      <w:r>
        <w:rPr>
          <w:i/>
          <w:sz w:val="22"/>
          <w:szCs w:val="22"/>
        </w:rPr>
        <w:t>d’Oslo</w:t>
      </w:r>
      <w:r>
        <w:rPr>
          <w:i/>
          <w:spacing w:val="-7"/>
          <w:sz w:val="22"/>
          <w:szCs w:val="22"/>
        </w:rPr>
        <w:t> </w:t>
      </w:r>
      <w:r>
        <w:rPr>
          <w:i/>
          <w:sz w:val="22"/>
          <w:szCs w:val="22"/>
        </w:rPr>
        <w:t>:</w:t>
      </w:r>
      <w:r>
        <w:rPr>
          <w:i/>
          <w:spacing w:val="-13"/>
          <w:sz w:val="22"/>
          <w:szCs w:val="22"/>
        </w:rPr>
        <w:t> </w:t>
      </w:r>
      <w:r>
        <w:rPr>
          <w:i/>
          <w:sz w:val="22"/>
          <w:szCs w:val="22"/>
        </w:rPr>
        <w:t>Principes</w:t>
      </w:r>
      <w:r>
        <w:rPr>
          <w:i/>
          <w:spacing w:val="-6"/>
          <w:sz w:val="22"/>
          <w:szCs w:val="22"/>
        </w:rPr>
        <w:t> </w:t>
      </w:r>
      <w:r>
        <w:rPr>
          <w:i/>
          <w:sz w:val="22"/>
          <w:szCs w:val="22"/>
        </w:rPr>
        <w:t>directeurs</w:t>
      </w:r>
      <w:r>
        <w:rPr>
          <w:i/>
          <w:spacing w:val="-6"/>
          <w:sz w:val="22"/>
          <w:szCs w:val="22"/>
        </w:rPr>
        <w:t> </w:t>
      </w:r>
      <w:r>
        <w:rPr>
          <w:i/>
          <w:sz w:val="22"/>
          <w:szCs w:val="22"/>
        </w:rPr>
        <w:t>pour</w:t>
      </w:r>
      <w:r>
        <w:rPr>
          <w:i/>
          <w:spacing w:val="-11"/>
          <w:sz w:val="22"/>
          <w:szCs w:val="22"/>
        </w:rPr>
        <w:t> </w:t>
      </w:r>
      <w:r>
        <w:rPr>
          <w:i/>
          <w:sz w:val="22"/>
          <w:szCs w:val="22"/>
        </w:rPr>
        <w:t>le</w:t>
      </w:r>
      <w:r>
        <w:rPr>
          <w:i/>
          <w:spacing w:val="-14"/>
          <w:sz w:val="22"/>
          <w:szCs w:val="22"/>
        </w:rPr>
        <w:t> </w:t>
      </w:r>
      <w:r>
        <w:rPr>
          <w:i/>
          <w:sz w:val="22"/>
          <w:szCs w:val="22"/>
        </w:rPr>
        <w:t>recueil</w:t>
      </w:r>
      <w:r>
        <w:rPr>
          <w:i/>
          <w:spacing w:val="-6"/>
          <w:sz w:val="22"/>
          <w:szCs w:val="22"/>
        </w:rPr>
        <w:t> </w:t>
      </w:r>
      <w:r>
        <w:rPr>
          <w:i/>
          <w:sz w:val="22"/>
          <w:szCs w:val="22"/>
        </w:rPr>
        <w:t>et</w:t>
      </w:r>
      <w:r>
        <w:rPr>
          <w:i/>
          <w:spacing w:val="-10"/>
          <w:sz w:val="22"/>
          <w:szCs w:val="22"/>
        </w:rPr>
        <w:t> </w:t>
      </w:r>
      <w:r>
        <w:rPr>
          <w:i/>
          <w:sz w:val="22"/>
          <w:szCs w:val="22"/>
        </w:rPr>
        <w:t>l’interprétation</w:t>
      </w:r>
      <w:r>
        <w:rPr>
          <w:i/>
          <w:spacing w:val="-12"/>
          <w:sz w:val="22"/>
          <w:szCs w:val="22"/>
        </w:rPr>
        <w:t> </w:t>
      </w:r>
      <w:r>
        <w:rPr>
          <w:i/>
          <w:sz w:val="22"/>
          <w:szCs w:val="22"/>
        </w:rPr>
        <w:t>des</w:t>
      </w:r>
      <w:r>
        <w:rPr>
          <w:i/>
          <w:spacing w:val="-6"/>
          <w:sz w:val="22"/>
          <w:szCs w:val="22"/>
        </w:rPr>
        <w:t> </w:t>
      </w:r>
      <w:r>
        <w:rPr>
          <w:i/>
          <w:sz w:val="22"/>
          <w:szCs w:val="22"/>
        </w:rPr>
        <w:t>données</w:t>
      </w:r>
      <w:r>
        <w:rPr>
          <w:i/>
          <w:spacing w:val="-6"/>
          <w:sz w:val="22"/>
          <w:szCs w:val="22"/>
        </w:rPr>
        <w:t> </w:t>
      </w:r>
      <w:r>
        <w:rPr>
          <w:i/>
          <w:sz w:val="22"/>
          <w:szCs w:val="22"/>
        </w:rPr>
        <w:t>sur</w:t>
      </w:r>
      <w:r>
        <w:rPr>
          <w:i/>
          <w:spacing w:val="-11"/>
          <w:sz w:val="22"/>
          <w:szCs w:val="22"/>
        </w:rPr>
        <w:t> </w:t>
      </w:r>
      <w:r>
        <w:rPr>
          <w:i/>
          <w:sz w:val="22"/>
          <w:szCs w:val="22"/>
        </w:rPr>
        <w:t>l’innovation, </w:t>
      </w:r>
      <w:r>
        <w:rPr>
          <w:i/>
          <w:sz w:val="22"/>
          <w:szCs w:val="22"/>
        </w:rPr>
        <w:t>3ᵉ édition, Collection OCDE Science, Technologie et Industrie, Éditions OCDE, Paris,</w:t>
      </w:r>
      <w:r>
        <w:rPr>
          <w:i/>
          <w:spacing w:val="-7"/>
          <w:sz w:val="22"/>
          <w:szCs w:val="22"/>
        </w:rPr>
        <w:t> </w:t>
      </w:r>
      <w:r>
        <w:rPr>
          <w:i/>
          <w:sz w:val="22"/>
          <w:szCs w:val="22"/>
        </w:rPr>
        <w:t>2005.</w:t>
      </w:r>
    </w:p>
    <w:p>
      <w:pPr>
        <w:pStyle w:val="ListParagraph"/>
        <w:numPr>
          <w:ilvl w:val="1"/>
          <w:numId w:val="31"/>
        </w:numPr>
        <w:tabs>
          <w:tab w:pos="1421" w:val="left" w:leader="none"/>
        </w:tabs>
        <w:spacing w:line="240" w:lineRule="auto" w:before="192" w:after="0"/>
        <w:ind w:left="1420" w:right="0" w:hanging="361"/>
        <w:jc w:val="both"/>
        <w:rPr>
          <w:b/>
          <w:sz w:val="22"/>
        </w:rPr>
      </w:pPr>
      <w:r>
        <w:rPr>
          <w:b/>
          <w:sz w:val="22"/>
        </w:rPr>
        <w:t>Textes</w:t>
      </w:r>
      <w:r>
        <w:rPr>
          <w:b/>
          <w:spacing w:val="1"/>
          <w:sz w:val="22"/>
        </w:rPr>
        <w:t> </w:t>
      </w:r>
      <w:r>
        <w:rPr>
          <w:b/>
          <w:sz w:val="22"/>
        </w:rPr>
        <w:t>règlementaires</w:t>
      </w:r>
    </w:p>
    <w:p>
      <w:pPr>
        <w:pStyle w:val="ListParagraph"/>
        <w:numPr>
          <w:ilvl w:val="0"/>
          <w:numId w:val="31"/>
        </w:numPr>
        <w:tabs>
          <w:tab w:pos="555" w:val="left" w:leader="none"/>
          <w:tab w:pos="556" w:val="left" w:leader="none"/>
        </w:tabs>
        <w:spacing w:line="240" w:lineRule="auto" w:before="120" w:after="0"/>
        <w:ind w:left="555" w:right="0" w:hanging="361"/>
        <w:jc w:val="left"/>
        <w:rPr>
          <w:sz w:val="22"/>
        </w:rPr>
      </w:pPr>
      <w:r>
        <w:rPr>
          <w:sz w:val="22"/>
        </w:rPr>
        <w:t>Journal </w:t>
      </w:r>
      <w:r>
        <w:rPr>
          <w:i/>
          <w:sz w:val="22"/>
        </w:rPr>
        <w:t>Officiel </w:t>
      </w:r>
      <w:r>
        <w:rPr>
          <w:sz w:val="22"/>
        </w:rPr>
        <w:t>de la République Algérienne, N° 28, 16 </w:t>
      </w:r>
      <w:r>
        <w:rPr>
          <w:spacing w:val="-3"/>
          <w:sz w:val="22"/>
        </w:rPr>
        <w:t>mai </w:t>
      </w:r>
      <w:r>
        <w:rPr>
          <w:sz w:val="22"/>
        </w:rPr>
        <w:t>2018, p.</w:t>
      </w:r>
      <w:r>
        <w:rPr>
          <w:spacing w:val="4"/>
          <w:sz w:val="22"/>
        </w:rPr>
        <w:t> </w:t>
      </w:r>
      <w:r>
        <w:rPr>
          <w:sz w:val="22"/>
        </w:rPr>
        <w:t>07-08.</w:t>
      </w:r>
    </w:p>
    <w:p>
      <w:pPr>
        <w:pStyle w:val="BodyText"/>
        <w:spacing w:before="9"/>
        <w:rPr>
          <w:sz w:val="21"/>
        </w:rPr>
      </w:pPr>
    </w:p>
    <w:p>
      <w:pPr>
        <w:pStyle w:val="ListParagraph"/>
        <w:numPr>
          <w:ilvl w:val="1"/>
          <w:numId w:val="31"/>
        </w:numPr>
        <w:tabs>
          <w:tab w:pos="1421" w:val="left" w:leader="none"/>
        </w:tabs>
        <w:spacing w:line="240" w:lineRule="auto" w:before="1" w:after="0"/>
        <w:ind w:left="1420" w:right="0" w:hanging="361"/>
        <w:jc w:val="left"/>
        <w:rPr>
          <w:b/>
          <w:sz w:val="22"/>
        </w:rPr>
      </w:pPr>
      <w:r>
        <w:rPr>
          <w:b/>
          <w:sz w:val="22"/>
        </w:rPr>
        <w:t>Sites</w:t>
      </w:r>
      <w:r>
        <w:rPr>
          <w:b/>
          <w:spacing w:val="1"/>
          <w:sz w:val="22"/>
        </w:rPr>
        <w:t> </w:t>
      </w:r>
      <w:r>
        <w:rPr>
          <w:b/>
          <w:sz w:val="22"/>
        </w:rPr>
        <w:t>web</w:t>
      </w:r>
    </w:p>
    <w:p>
      <w:pPr>
        <w:pStyle w:val="ListParagraph"/>
        <w:numPr>
          <w:ilvl w:val="0"/>
          <w:numId w:val="31"/>
        </w:numPr>
        <w:tabs>
          <w:tab w:pos="555" w:val="left" w:leader="none"/>
          <w:tab w:pos="556" w:val="left" w:leader="none"/>
        </w:tabs>
        <w:spacing w:line="273" w:lineRule="auto" w:before="120" w:after="0"/>
        <w:ind w:left="555" w:right="312" w:hanging="360"/>
        <w:jc w:val="left"/>
        <w:rPr>
          <w:i/>
          <w:sz w:val="22"/>
        </w:rPr>
      </w:pPr>
      <w:r>
        <w:rPr>
          <w:i/>
          <w:sz w:val="22"/>
        </w:rPr>
        <w:t>Mahaal, </w:t>
      </w:r>
      <w:r>
        <w:rPr>
          <w:spacing w:val="-3"/>
          <w:sz w:val="22"/>
        </w:rPr>
        <w:t>Les </w:t>
      </w:r>
      <w:r>
        <w:rPr>
          <w:sz w:val="22"/>
        </w:rPr>
        <w:t>avantages </w:t>
      </w:r>
      <w:r>
        <w:rPr>
          <w:spacing w:val="-4"/>
          <w:sz w:val="22"/>
        </w:rPr>
        <w:t>et </w:t>
      </w:r>
      <w:r>
        <w:rPr>
          <w:spacing w:val="-3"/>
          <w:sz w:val="22"/>
        </w:rPr>
        <w:t>les </w:t>
      </w:r>
      <w:r>
        <w:rPr>
          <w:sz w:val="22"/>
        </w:rPr>
        <w:t>inconvénients </w:t>
      </w:r>
      <w:r>
        <w:rPr>
          <w:spacing w:val="-3"/>
          <w:sz w:val="22"/>
        </w:rPr>
        <w:t>des </w:t>
      </w:r>
      <w:r>
        <w:rPr>
          <w:sz w:val="22"/>
        </w:rPr>
        <w:t>différentes méthodes de traitement </w:t>
      </w:r>
      <w:r>
        <w:rPr>
          <w:spacing w:val="-3"/>
          <w:sz w:val="22"/>
        </w:rPr>
        <w:t>des </w:t>
      </w:r>
      <w:r>
        <w:rPr>
          <w:sz w:val="22"/>
        </w:rPr>
        <w:t>paiements</w:t>
      </w:r>
      <w:r>
        <w:rPr>
          <w:i/>
          <w:sz w:val="22"/>
        </w:rPr>
        <w:t>, Blog </w:t>
      </w:r>
      <w:r>
        <w:rPr>
          <w:i/>
          <w:sz w:val="22"/>
        </w:rPr>
        <w:t>Mahaal, Mahaal,</w:t>
      </w:r>
      <w:r>
        <w:rPr>
          <w:i/>
          <w:color w:val="0462C1"/>
          <w:spacing w:val="2"/>
          <w:sz w:val="22"/>
        </w:rPr>
        <w:t> </w:t>
      </w:r>
      <w:hyperlink r:id="rId34">
        <w:r>
          <w:rPr>
            <w:i/>
            <w:color w:val="0462C1"/>
            <w:sz w:val="22"/>
            <w:u w:val="single" w:color="0462C1"/>
          </w:rPr>
          <w:t>https://www.mahaal.app/fr/blog/</w:t>
        </w:r>
      </w:hyperlink>
    </w:p>
    <w:p>
      <w:pPr>
        <w:pStyle w:val="ListParagraph"/>
        <w:numPr>
          <w:ilvl w:val="0"/>
          <w:numId w:val="31"/>
        </w:numPr>
        <w:tabs>
          <w:tab w:pos="555" w:val="left" w:leader="none"/>
          <w:tab w:pos="556" w:val="left" w:leader="none"/>
        </w:tabs>
        <w:spacing w:line="273" w:lineRule="auto" w:before="4" w:after="0"/>
        <w:ind w:left="555" w:right="326" w:hanging="360"/>
        <w:jc w:val="left"/>
        <w:rPr>
          <w:i/>
          <w:sz w:val="22"/>
        </w:rPr>
      </w:pPr>
      <w:r>
        <w:rPr>
          <w:i/>
          <w:sz w:val="22"/>
        </w:rPr>
        <w:t>Smart Tribune, Satisfaction client : définition, enjeux et outils, Blog Smart Tribune, Smart Tribune,</w:t>
      </w:r>
      <w:r>
        <w:rPr>
          <w:i/>
          <w:color w:val="0462C1"/>
          <w:sz w:val="22"/>
          <w:u w:val="single" w:color="0462C1"/>
        </w:rPr>
        <w:t> </w:t>
      </w:r>
      <w:hyperlink r:id="rId35">
        <w:r>
          <w:rPr>
            <w:i/>
            <w:color w:val="0462C1"/>
            <w:sz w:val="22"/>
            <w:u w:val="single" w:color="0462C1"/>
          </w:rPr>
          <w:t>https://blog.smart-tribune.com/fr/satisfaction-client</w:t>
        </w:r>
      </w:hyperlink>
    </w:p>
    <w:p>
      <w:pPr>
        <w:pStyle w:val="ListParagraph"/>
        <w:numPr>
          <w:ilvl w:val="0"/>
          <w:numId w:val="31"/>
        </w:numPr>
        <w:tabs>
          <w:tab w:pos="555" w:val="left" w:leader="none"/>
          <w:tab w:pos="556" w:val="left" w:leader="none"/>
        </w:tabs>
        <w:spacing w:line="280" w:lineRule="auto" w:before="0" w:after="0"/>
        <w:ind w:left="555" w:right="315" w:hanging="360"/>
        <w:jc w:val="left"/>
        <w:rPr>
          <w:rFonts w:ascii="Calibri" w:hAnsi="Calibri"/>
          <w:sz w:val="22"/>
        </w:rPr>
      </w:pPr>
      <w:r>
        <w:rPr>
          <w:i/>
          <w:sz w:val="22"/>
        </w:rPr>
        <w:t>Guest Suite, Satisfaction client : comment la mesurer efficacement ? Blog Guest Suite, Guest </w:t>
      </w:r>
      <w:r>
        <w:rPr>
          <w:i/>
          <w:sz w:val="22"/>
        </w:rPr>
        <w:t>Suite,.</w:t>
      </w:r>
      <w:r>
        <w:rPr>
          <w:rFonts w:ascii="Calibri" w:hAnsi="Calibri"/>
          <w:color w:val="0462C1"/>
          <w:sz w:val="22"/>
          <w:u w:val="single" w:color="0462C1"/>
        </w:rPr>
        <w:t>https://</w:t>
      </w:r>
      <w:hyperlink r:id="rId110">
        <w:r>
          <w:rPr>
            <w:rFonts w:ascii="Calibri" w:hAnsi="Calibri"/>
            <w:color w:val="0462C1"/>
            <w:sz w:val="22"/>
            <w:u w:val="single" w:color="0462C1"/>
          </w:rPr>
          <w:t>www.guest-suite.com/blog/satisfaction-client</w:t>
        </w:r>
      </w:hyperlink>
    </w:p>
    <w:p>
      <w:pPr>
        <w:pStyle w:val="ListParagraph"/>
        <w:numPr>
          <w:ilvl w:val="0"/>
          <w:numId w:val="31"/>
        </w:numPr>
        <w:tabs>
          <w:tab w:pos="555" w:val="left" w:leader="none"/>
          <w:tab w:pos="556" w:val="left" w:leader="none"/>
          <w:tab w:pos="1754" w:val="left" w:leader="none"/>
          <w:tab w:pos="3097" w:val="left" w:leader="none"/>
          <w:tab w:pos="3893" w:val="left" w:leader="none"/>
          <w:tab w:pos="4272" w:val="left" w:leader="none"/>
          <w:tab w:pos="5376" w:val="left" w:leader="none"/>
          <w:tab w:pos="5856" w:val="left" w:leader="none"/>
          <w:tab w:pos="6882" w:val="left" w:leader="none"/>
          <w:tab w:pos="7300" w:val="left" w:leader="none"/>
          <w:tab w:pos="8024" w:val="left" w:leader="none"/>
          <w:tab w:pos="9219" w:val="left" w:leader="none"/>
        </w:tabs>
        <w:spacing w:line="254" w:lineRule="exact" w:before="0" w:after="0"/>
        <w:ind w:left="555" w:right="0" w:hanging="361"/>
        <w:jc w:val="left"/>
        <w:rPr>
          <w:i/>
          <w:sz w:val="22"/>
        </w:rPr>
      </w:pPr>
      <w:r>
        <w:rPr>
          <w:i/>
          <w:sz w:val="22"/>
        </w:rPr>
        <w:t>Qualtrics,</w:t>
        <w:tab/>
        <w:t>Satisfaction</w:t>
        <w:tab/>
        <w:t>client</w:t>
        <w:tab/>
        <w:t>:</w:t>
        <w:tab/>
        <w:t>comment</w:t>
        <w:tab/>
        <w:t>la</w:t>
        <w:tab/>
        <w:t>mesurer</w:t>
        <w:tab/>
        <w:t>?</w:t>
        <w:tab/>
        <w:t>Blog</w:t>
        <w:tab/>
        <w:t>Qualtrics,</w:t>
        <w:tab/>
        <w:t>Qualtrics,</w:t>
      </w:r>
    </w:p>
    <w:p>
      <w:pPr>
        <w:spacing w:before="39"/>
        <w:ind w:left="555" w:right="0" w:firstLine="0"/>
        <w:jc w:val="left"/>
        <w:rPr>
          <w:i/>
          <w:sz w:val="22"/>
        </w:rPr>
      </w:pPr>
      <w:hyperlink r:id="rId37">
        <w:r>
          <w:rPr>
            <w:i/>
            <w:color w:val="0462C1"/>
            <w:sz w:val="22"/>
            <w:u w:val="single" w:color="0462C1"/>
          </w:rPr>
          <w:t>https://www.qualtrics.com/fr/gestion-de-l-experience/client/satisfaction-client</w:t>
        </w:r>
      </w:hyperlink>
    </w:p>
    <w:p>
      <w:pPr>
        <w:pStyle w:val="ListParagraph"/>
        <w:numPr>
          <w:ilvl w:val="0"/>
          <w:numId w:val="31"/>
        </w:numPr>
        <w:tabs>
          <w:tab w:pos="556" w:val="left" w:leader="none"/>
        </w:tabs>
        <w:spacing w:line="273" w:lineRule="auto" w:before="39" w:after="0"/>
        <w:ind w:left="555" w:right="314" w:hanging="360"/>
        <w:jc w:val="both"/>
        <w:rPr>
          <w:i/>
          <w:sz w:val="22"/>
        </w:rPr>
      </w:pPr>
      <w:r>
        <w:rPr>
          <w:i/>
          <w:sz w:val="22"/>
        </w:rPr>
        <w:t>CCI Lyon Métropole, Satisfaction client : comment la mesurer et avec quels outils </w:t>
      </w:r>
      <w:r>
        <w:rPr>
          <w:i/>
          <w:spacing w:val="-3"/>
          <w:sz w:val="22"/>
        </w:rPr>
        <w:t>?, </w:t>
      </w:r>
      <w:r>
        <w:rPr>
          <w:i/>
          <w:sz w:val="22"/>
        </w:rPr>
        <w:t>Blog CCI Lyon </w:t>
      </w:r>
      <w:r>
        <w:rPr>
          <w:i/>
          <w:sz w:val="22"/>
        </w:rPr>
        <w:t>Métropole, CCI,.</w:t>
      </w:r>
      <w:r>
        <w:rPr>
          <w:i/>
          <w:color w:val="0462C1"/>
          <w:sz w:val="22"/>
        </w:rPr>
        <w:t> </w:t>
      </w:r>
      <w:hyperlink r:id="rId38">
        <w:r>
          <w:rPr>
            <w:i/>
            <w:color w:val="0462C1"/>
            <w:sz w:val="22"/>
            <w:u w:val="single" w:color="0462C1"/>
          </w:rPr>
          <w:t>https://www.lyon-metropole.cci.fr/notre-blog/satisfaction-client-comment-la-mesurer-et-</w:t>
        </w:r>
      </w:hyperlink>
      <w:hyperlink r:id="rId38">
        <w:r>
          <w:rPr>
            <w:i/>
            <w:color w:val="0462C1"/>
            <w:sz w:val="22"/>
            <w:u w:val="single" w:color="0462C1"/>
          </w:rPr>
          <w:t> avec-quels-outils</w:t>
        </w:r>
      </w:hyperlink>
    </w:p>
    <w:p>
      <w:pPr>
        <w:pStyle w:val="ListParagraph"/>
        <w:numPr>
          <w:ilvl w:val="0"/>
          <w:numId w:val="31"/>
        </w:numPr>
        <w:tabs>
          <w:tab w:pos="556" w:val="left" w:leader="none"/>
        </w:tabs>
        <w:spacing w:line="273" w:lineRule="auto" w:before="4" w:after="0"/>
        <w:ind w:left="555" w:right="323" w:hanging="360"/>
        <w:jc w:val="both"/>
        <w:rPr>
          <w:i/>
          <w:sz w:val="22"/>
        </w:rPr>
      </w:pPr>
      <w:r>
        <w:rPr>
          <w:i/>
          <w:sz w:val="22"/>
        </w:rPr>
        <w:t>Cartelis, Comment mesurer la satisfaction client </w:t>
      </w:r>
      <w:r>
        <w:rPr>
          <w:i/>
          <w:spacing w:val="-3"/>
          <w:sz w:val="22"/>
        </w:rPr>
        <w:t>?,  </w:t>
      </w:r>
      <w:r>
        <w:rPr>
          <w:i/>
          <w:sz w:val="22"/>
        </w:rPr>
        <w:t>Blog Cartelis, Cartelis,</w:t>
      </w:r>
      <w:r>
        <w:rPr>
          <w:i/>
          <w:color w:val="0462C1"/>
          <w:sz w:val="22"/>
          <w:u w:val="single" w:color="0462C1"/>
        </w:rPr>
        <w:t> </w:t>
      </w:r>
      <w:hyperlink r:id="rId39">
        <w:r>
          <w:rPr>
            <w:i/>
            <w:color w:val="0462C1"/>
            <w:sz w:val="22"/>
            <w:u w:val="single" w:color="0462C1"/>
          </w:rPr>
          <w:t>https://www.cartelis.com/blog/mesurer-satisfaction-client/#alternatives-questionnaires-satisfaction</w:t>
        </w:r>
      </w:hyperlink>
    </w:p>
    <w:p>
      <w:pPr>
        <w:pStyle w:val="ListParagraph"/>
        <w:numPr>
          <w:ilvl w:val="0"/>
          <w:numId w:val="31"/>
        </w:numPr>
        <w:tabs>
          <w:tab w:pos="555" w:val="left" w:leader="none"/>
          <w:tab w:pos="556" w:val="left" w:leader="none"/>
        </w:tabs>
        <w:spacing w:line="278" w:lineRule="auto" w:before="4" w:after="0"/>
        <w:ind w:left="555" w:right="313" w:hanging="360"/>
        <w:jc w:val="left"/>
        <w:rPr>
          <w:rFonts w:ascii="Calibri" w:hAnsi="Calibri"/>
          <w:sz w:val="22"/>
        </w:rPr>
      </w:pPr>
      <w:r>
        <w:rPr>
          <w:i/>
          <w:sz w:val="22"/>
        </w:rPr>
        <w:t>Banque de France, Les moyens de paiements, Publications Banque de France, Banque de </w:t>
      </w:r>
      <w:r>
        <w:rPr>
          <w:i/>
          <w:sz w:val="22"/>
        </w:rPr>
        <w:t>France,Paris,.</w:t>
      </w:r>
      <w:r>
        <w:rPr>
          <w:rFonts w:ascii="Calibri" w:hAnsi="Calibri"/>
          <w:color w:val="0462C1"/>
          <w:sz w:val="22"/>
          <w:u w:val="single" w:color="0462C1"/>
        </w:rPr>
        <w:t>https://</w:t>
      </w:r>
      <w:hyperlink r:id="rId111">
        <w:r>
          <w:rPr>
            <w:rFonts w:ascii="Calibri" w:hAnsi="Calibri"/>
            <w:color w:val="0462C1"/>
            <w:sz w:val="22"/>
            <w:u w:val="single" w:color="0462C1"/>
          </w:rPr>
          <w:t>www.banque-france.fr/fr/publications-et-statistiques/publications/les-moyens-de-</w:t>
        </w:r>
      </w:hyperlink>
      <w:r>
        <w:rPr>
          <w:rFonts w:ascii="Calibri" w:hAnsi="Calibri"/>
          <w:color w:val="0462C1"/>
          <w:sz w:val="22"/>
          <w:u w:val="single" w:color="0462C1"/>
        </w:rPr>
        <w:t> paiements</w:t>
      </w:r>
    </w:p>
    <w:p>
      <w:pPr>
        <w:spacing w:after="0" w:line="278" w:lineRule="auto"/>
        <w:jc w:val="left"/>
        <w:rPr>
          <w:rFonts w:ascii="Calibri" w:hAnsi="Calibri"/>
          <w:sz w:val="22"/>
        </w:rPr>
        <w:sectPr>
          <w:headerReference w:type="default" r:id="rId107"/>
          <w:headerReference w:type="even" r:id="rId108"/>
          <w:footerReference w:type="default" r:id="rId109"/>
          <w:pgSz w:w="12240" w:h="15840"/>
          <w:pgMar w:header="766" w:footer="0" w:top="1080" w:bottom="280" w:left="1000" w:right="820"/>
        </w:sectPr>
      </w:pPr>
    </w:p>
    <w:p>
      <w:pPr>
        <w:pStyle w:val="BodyText"/>
        <w:spacing w:before="3"/>
        <w:rPr>
          <w:rFonts w:ascii="Calibri"/>
          <w:sz w:val="6"/>
        </w:rPr>
      </w:pPr>
    </w:p>
    <w:p>
      <w:pPr>
        <w:pStyle w:val="BodyText"/>
        <w:spacing w:line="30" w:lineRule="exact"/>
        <w:ind w:left="686"/>
        <w:rPr>
          <w:rFonts w:ascii="Calibri"/>
          <w:sz w:val="3"/>
        </w:rPr>
      </w:pPr>
      <w:r>
        <w:rPr>
          <w:rFonts w:ascii="Calibri"/>
          <w:position w:val="0"/>
          <w:sz w:val="3"/>
        </w:rPr>
        <w:pict>
          <v:group style="width:468pt;height:1.5pt;mso-position-horizontal-relative:char;mso-position-vertical-relative:line" coordorigin="0,0" coordsize="9360,30">
            <v:line style="position:absolute" from="0,15" to="9360,15" stroked="true" strokeweight="1.5pt" strokecolor="#ec7c30">
              <v:stroke dashstyle="solid"/>
            </v:line>
          </v:group>
        </w:pict>
      </w:r>
      <w:r>
        <w:rPr>
          <w:rFonts w:ascii="Calibri"/>
          <w:position w:val="0"/>
          <w:sz w:val="3"/>
        </w:rPr>
      </w:r>
    </w:p>
    <w:p>
      <w:pPr>
        <w:pStyle w:val="BodyText"/>
        <w:spacing w:before="9"/>
        <w:rPr>
          <w:rFonts w:ascii="Calibri"/>
          <w:sz w:val="17"/>
        </w:rPr>
      </w:pPr>
    </w:p>
    <w:p>
      <w:pPr>
        <w:pStyle w:val="ListParagraph"/>
        <w:numPr>
          <w:ilvl w:val="0"/>
          <w:numId w:val="31"/>
        </w:numPr>
        <w:tabs>
          <w:tab w:pos="556" w:val="left" w:leader="none"/>
        </w:tabs>
        <w:spacing w:line="273" w:lineRule="auto" w:before="101" w:after="0"/>
        <w:ind w:left="555" w:right="325" w:hanging="360"/>
        <w:jc w:val="both"/>
        <w:rPr>
          <w:i/>
          <w:sz w:val="22"/>
        </w:rPr>
      </w:pPr>
      <w:r>
        <w:rPr>
          <w:i/>
          <w:sz w:val="22"/>
        </w:rPr>
        <w:t>BNP Paribas, L’histoire des paiements en 18 </w:t>
      </w:r>
      <w:r>
        <w:rPr>
          <w:i/>
          <w:spacing w:val="-2"/>
          <w:sz w:val="22"/>
        </w:rPr>
        <w:t>dates, </w:t>
      </w:r>
      <w:r>
        <w:rPr>
          <w:i/>
          <w:sz w:val="22"/>
        </w:rPr>
        <w:t>Histoire BNP Paribas, BNP Paribas, Paris,</w:t>
      </w:r>
      <w:r>
        <w:rPr>
          <w:i/>
          <w:color w:val="0462C1"/>
          <w:sz w:val="22"/>
          <w:u w:val="single" w:color="0462C1"/>
        </w:rPr>
        <w:t> </w:t>
      </w:r>
      <w:hyperlink r:id="rId26">
        <w:r>
          <w:rPr>
            <w:i/>
            <w:color w:val="0462C1"/>
            <w:sz w:val="22"/>
            <w:u w:val="single" w:color="0462C1"/>
          </w:rPr>
          <w:t>https://histoire.bnpparibas/lhistoire-des-paiements-en-18-dates</w:t>
        </w:r>
      </w:hyperlink>
    </w:p>
    <w:p>
      <w:pPr>
        <w:pStyle w:val="ListParagraph"/>
        <w:numPr>
          <w:ilvl w:val="0"/>
          <w:numId w:val="31"/>
        </w:numPr>
        <w:tabs>
          <w:tab w:pos="556" w:val="left" w:leader="none"/>
        </w:tabs>
        <w:spacing w:line="240" w:lineRule="auto" w:before="5" w:after="0"/>
        <w:ind w:left="555" w:right="0" w:hanging="361"/>
        <w:jc w:val="both"/>
        <w:rPr>
          <w:i/>
          <w:sz w:val="22"/>
        </w:rPr>
      </w:pPr>
      <w:r>
        <w:rPr>
          <w:i/>
          <w:sz w:val="22"/>
        </w:rPr>
        <w:t>Orisha</w:t>
      </w:r>
      <w:r>
        <w:rPr>
          <w:i/>
          <w:spacing w:val="12"/>
          <w:sz w:val="22"/>
        </w:rPr>
        <w:t> </w:t>
      </w:r>
      <w:r>
        <w:rPr>
          <w:i/>
          <w:sz w:val="22"/>
        </w:rPr>
        <w:t>Commerce,</w:t>
      </w:r>
      <w:r>
        <w:rPr>
          <w:i/>
          <w:spacing w:val="15"/>
          <w:sz w:val="22"/>
        </w:rPr>
        <w:t> </w:t>
      </w:r>
      <w:r>
        <w:rPr>
          <w:i/>
          <w:sz w:val="22"/>
        </w:rPr>
        <w:t>Évolution</w:t>
      </w:r>
      <w:r>
        <w:rPr>
          <w:i/>
          <w:spacing w:val="11"/>
          <w:sz w:val="22"/>
        </w:rPr>
        <w:t> </w:t>
      </w:r>
      <w:r>
        <w:rPr>
          <w:i/>
          <w:sz w:val="22"/>
        </w:rPr>
        <w:t>des</w:t>
      </w:r>
      <w:r>
        <w:rPr>
          <w:i/>
          <w:spacing w:val="13"/>
          <w:sz w:val="22"/>
        </w:rPr>
        <w:t> </w:t>
      </w:r>
      <w:r>
        <w:rPr>
          <w:i/>
          <w:sz w:val="22"/>
        </w:rPr>
        <w:t>moyens</w:t>
      </w:r>
      <w:r>
        <w:rPr>
          <w:i/>
          <w:spacing w:val="13"/>
          <w:sz w:val="22"/>
        </w:rPr>
        <w:t> </w:t>
      </w:r>
      <w:r>
        <w:rPr>
          <w:i/>
          <w:sz w:val="22"/>
        </w:rPr>
        <w:t>de</w:t>
      </w:r>
      <w:r>
        <w:rPr>
          <w:i/>
          <w:spacing w:val="9"/>
          <w:sz w:val="22"/>
        </w:rPr>
        <w:t> </w:t>
      </w:r>
      <w:r>
        <w:rPr>
          <w:i/>
          <w:sz w:val="22"/>
        </w:rPr>
        <w:t>paiement,</w:t>
      </w:r>
      <w:r>
        <w:rPr>
          <w:i/>
          <w:spacing w:val="15"/>
          <w:sz w:val="22"/>
        </w:rPr>
        <w:t> </w:t>
      </w:r>
      <w:r>
        <w:rPr>
          <w:i/>
          <w:sz w:val="22"/>
        </w:rPr>
        <w:t>Blog</w:t>
      </w:r>
      <w:r>
        <w:rPr>
          <w:i/>
          <w:spacing w:val="12"/>
          <w:sz w:val="22"/>
        </w:rPr>
        <w:t> </w:t>
      </w:r>
      <w:r>
        <w:rPr>
          <w:i/>
          <w:sz w:val="22"/>
        </w:rPr>
        <w:t>Orisha</w:t>
      </w:r>
      <w:r>
        <w:rPr>
          <w:i/>
          <w:spacing w:val="13"/>
          <w:sz w:val="22"/>
        </w:rPr>
        <w:t> </w:t>
      </w:r>
      <w:r>
        <w:rPr>
          <w:i/>
          <w:sz w:val="22"/>
        </w:rPr>
        <w:t>Commerce,</w:t>
      </w:r>
      <w:r>
        <w:rPr>
          <w:i/>
          <w:spacing w:val="15"/>
          <w:sz w:val="22"/>
        </w:rPr>
        <w:t> </w:t>
      </w:r>
      <w:r>
        <w:rPr>
          <w:i/>
          <w:sz w:val="22"/>
        </w:rPr>
        <w:t>Orisha,</w:t>
      </w:r>
    </w:p>
    <w:p>
      <w:pPr>
        <w:spacing w:before="45"/>
        <w:ind w:left="555" w:right="0" w:firstLine="0"/>
        <w:jc w:val="left"/>
        <w:rPr>
          <w:rFonts w:ascii="Calibri"/>
          <w:sz w:val="22"/>
        </w:rPr>
      </w:pPr>
      <w:hyperlink r:id="rId27">
        <w:r>
          <w:rPr>
            <w:rFonts w:ascii="Calibri"/>
            <w:sz w:val="22"/>
          </w:rPr>
          <w:t>https://commerce.orisha.com/fr/blog/evolution-moyen-paiement</w:t>
        </w:r>
      </w:hyperlink>
    </w:p>
    <w:p>
      <w:pPr>
        <w:pStyle w:val="ListParagraph"/>
        <w:numPr>
          <w:ilvl w:val="0"/>
          <w:numId w:val="31"/>
        </w:numPr>
        <w:tabs>
          <w:tab w:pos="556" w:val="left" w:leader="none"/>
        </w:tabs>
        <w:spacing w:line="240" w:lineRule="auto" w:before="32" w:after="0"/>
        <w:ind w:left="555" w:right="0" w:hanging="361"/>
        <w:jc w:val="both"/>
        <w:rPr>
          <w:i/>
          <w:sz w:val="22"/>
        </w:rPr>
      </w:pPr>
      <w:r>
        <w:rPr>
          <w:i/>
          <w:sz w:val="22"/>
        </w:rPr>
        <w:t>ASJP, Présentation de la revue, Portail ASJP,</w:t>
      </w:r>
      <w:r>
        <w:rPr>
          <w:i/>
          <w:spacing w:val="31"/>
          <w:sz w:val="22"/>
        </w:rPr>
        <w:t> </w:t>
      </w:r>
      <w:r>
        <w:rPr>
          <w:i/>
          <w:sz w:val="22"/>
        </w:rPr>
        <w:t>CERIST, Alger,</w:t>
      </w:r>
    </w:p>
    <w:p>
      <w:pPr>
        <w:spacing w:before="44"/>
        <w:ind w:left="555" w:right="0" w:firstLine="0"/>
        <w:jc w:val="left"/>
        <w:rPr>
          <w:rFonts w:ascii="Calibri"/>
          <w:sz w:val="22"/>
        </w:rPr>
      </w:pPr>
      <w:hyperlink r:id="rId33">
        <w:r>
          <w:rPr>
            <w:rFonts w:ascii="Calibri"/>
            <w:color w:val="0462C1"/>
            <w:sz w:val="22"/>
            <w:u w:val="single" w:color="0462C1"/>
          </w:rPr>
          <w:t>https://www.asjp.cerist.dz/en/PresentationRevue/417</w:t>
        </w:r>
      </w:hyperlink>
    </w:p>
    <w:p>
      <w:pPr>
        <w:pStyle w:val="ListParagraph"/>
        <w:numPr>
          <w:ilvl w:val="0"/>
          <w:numId w:val="31"/>
        </w:numPr>
        <w:tabs>
          <w:tab w:pos="556" w:val="left" w:leader="none"/>
        </w:tabs>
        <w:spacing w:line="240" w:lineRule="auto" w:before="32" w:after="0"/>
        <w:ind w:left="555" w:right="0" w:hanging="361"/>
        <w:jc w:val="both"/>
        <w:rPr>
          <w:i/>
          <w:sz w:val="22"/>
        </w:rPr>
      </w:pPr>
      <w:r>
        <w:rPr>
          <w:i/>
          <w:sz w:val="22"/>
        </w:rPr>
        <w:t>SPF</w:t>
      </w:r>
      <w:r>
        <w:rPr>
          <w:i/>
          <w:spacing w:val="8"/>
          <w:sz w:val="22"/>
        </w:rPr>
        <w:t> </w:t>
      </w:r>
      <w:r>
        <w:rPr>
          <w:i/>
          <w:sz w:val="22"/>
        </w:rPr>
        <w:t>Économie,</w:t>
      </w:r>
      <w:r>
        <w:rPr>
          <w:i/>
          <w:spacing w:val="16"/>
          <w:sz w:val="22"/>
        </w:rPr>
        <w:t> </w:t>
      </w:r>
      <w:r>
        <w:rPr>
          <w:i/>
          <w:sz w:val="22"/>
        </w:rPr>
        <w:t>Quels</w:t>
      </w:r>
      <w:r>
        <w:rPr>
          <w:i/>
          <w:spacing w:val="10"/>
          <w:sz w:val="22"/>
        </w:rPr>
        <w:t> </w:t>
      </w:r>
      <w:r>
        <w:rPr>
          <w:i/>
          <w:sz w:val="22"/>
        </w:rPr>
        <w:t>sont</w:t>
      </w:r>
      <w:r>
        <w:rPr>
          <w:i/>
          <w:spacing w:val="6"/>
          <w:sz w:val="22"/>
        </w:rPr>
        <w:t> </w:t>
      </w:r>
      <w:r>
        <w:rPr>
          <w:i/>
          <w:sz w:val="22"/>
        </w:rPr>
        <w:t>les</w:t>
      </w:r>
      <w:r>
        <w:rPr>
          <w:i/>
          <w:spacing w:val="15"/>
          <w:sz w:val="22"/>
        </w:rPr>
        <w:t> </w:t>
      </w:r>
      <w:r>
        <w:rPr>
          <w:i/>
          <w:sz w:val="22"/>
        </w:rPr>
        <w:t>avantages</w:t>
      </w:r>
      <w:r>
        <w:rPr>
          <w:i/>
          <w:spacing w:val="10"/>
          <w:sz w:val="22"/>
        </w:rPr>
        <w:t> </w:t>
      </w:r>
      <w:r>
        <w:rPr>
          <w:i/>
          <w:sz w:val="22"/>
        </w:rPr>
        <w:t>des</w:t>
      </w:r>
      <w:r>
        <w:rPr>
          <w:i/>
          <w:spacing w:val="9"/>
          <w:sz w:val="22"/>
        </w:rPr>
        <w:t> </w:t>
      </w:r>
      <w:r>
        <w:rPr>
          <w:i/>
          <w:sz w:val="22"/>
        </w:rPr>
        <w:t>moyens</w:t>
      </w:r>
      <w:r>
        <w:rPr>
          <w:i/>
          <w:spacing w:val="10"/>
          <w:sz w:val="22"/>
        </w:rPr>
        <w:t> </w:t>
      </w:r>
      <w:r>
        <w:rPr>
          <w:i/>
          <w:sz w:val="22"/>
        </w:rPr>
        <w:t>de</w:t>
      </w:r>
      <w:r>
        <w:rPr>
          <w:i/>
          <w:spacing w:val="17"/>
          <w:sz w:val="22"/>
        </w:rPr>
        <w:t> </w:t>
      </w:r>
      <w:r>
        <w:rPr>
          <w:i/>
          <w:sz w:val="22"/>
        </w:rPr>
        <w:t>paiement</w:t>
      </w:r>
      <w:r>
        <w:rPr>
          <w:i/>
          <w:spacing w:val="11"/>
          <w:sz w:val="22"/>
        </w:rPr>
        <w:t> </w:t>
      </w:r>
      <w:r>
        <w:rPr>
          <w:i/>
          <w:sz w:val="22"/>
        </w:rPr>
        <w:t>?</w:t>
      </w:r>
      <w:r>
        <w:rPr>
          <w:i/>
          <w:spacing w:val="11"/>
          <w:sz w:val="22"/>
        </w:rPr>
        <w:t> </w:t>
      </w:r>
      <w:r>
        <w:rPr>
          <w:i/>
          <w:sz w:val="22"/>
        </w:rPr>
        <w:t>Portail</w:t>
      </w:r>
      <w:r>
        <w:rPr>
          <w:i/>
          <w:spacing w:val="11"/>
          <w:sz w:val="22"/>
        </w:rPr>
        <w:t> </w:t>
      </w:r>
      <w:r>
        <w:rPr>
          <w:i/>
          <w:sz w:val="22"/>
        </w:rPr>
        <w:t>SPF</w:t>
      </w:r>
      <w:r>
        <w:rPr>
          <w:i/>
          <w:spacing w:val="8"/>
          <w:sz w:val="22"/>
        </w:rPr>
        <w:t> </w:t>
      </w:r>
      <w:r>
        <w:rPr>
          <w:i/>
          <w:sz w:val="22"/>
        </w:rPr>
        <w:t>Économie,</w:t>
      </w:r>
      <w:r>
        <w:rPr>
          <w:i/>
          <w:spacing w:val="14"/>
          <w:sz w:val="22"/>
        </w:rPr>
        <w:t> </w:t>
      </w:r>
      <w:r>
        <w:rPr>
          <w:i/>
          <w:sz w:val="22"/>
        </w:rPr>
        <w:t>SPFBruxelles,</w:t>
      </w:r>
    </w:p>
    <w:p>
      <w:pPr>
        <w:spacing w:before="45"/>
        <w:ind w:left="555" w:right="0" w:firstLine="0"/>
        <w:jc w:val="left"/>
        <w:rPr>
          <w:rFonts w:ascii="Calibri"/>
          <w:sz w:val="22"/>
        </w:rPr>
      </w:pPr>
      <w:hyperlink r:id="rId115">
        <w:r>
          <w:rPr>
            <w:rFonts w:ascii="Calibri"/>
            <w:color w:val="0462C1"/>
            <w:sz w:val="22"/>
            <w:u w:val="single" w:color="0462C1"/>
          </w:rPr>
          <w:t>https://economie.fgov.be/fr/themes/ventes/politique-desprix/paiements/quels-sont-les-avantages-de</w:t>
        </w:r>
      </w:hyperlink>
    </w:p>
    <w:p>
      <w:pPr>
        <w:pStyle w:val="ListParagraph"/>
        <w:numPr>
          <w:ilvl w:val="0"/>
          <w:numId w:val="31"/>
        </w:numPr>
        <w:tabs>
          <w:tab w:pos="556" w:val="left" w:leader="none"/>
        </w:tabs>
        <w:spacing w:line="276" w:lineRule="auto" w:before="36" w:after="0"/>
        <w:ind w:left="555" w:right="317" w:hanging="360"/>
        <w:jc w:val="both"/>
        <w:rPr>
          <w:i/>
          <w:sz w:val="22"/>
        </w:rPr>
      </w:pPr>
      <w:r>
        <w:rPr>
          <w:i/>
          <w:sz w:val="22"/>
        </w:rPr>
        <w:t>Imagina, Paiement en ligne : tout ce qu’il faut savoir, Blog Imagina, Imagina,</w:t>
      </w:r>
      <w:r>
        <w:rPr>
          <w:i/>
          <w:color w:val="0462C1"/>
          <w:sz w:val="22"/>
          <w:u w:val="single" w:color="0462C1"/>
        </w:rPr>
        <w:t> </w:t>
      </w:r>
      <w:hyperlink r:id="rId30">
        <w:r>
          <w:rPr>
            <w:i/>
            <w:color w:val="0462C1"/>
            <w:sz w:val="22"/>
            <w:u w:val="single" w:color="0462C1"/>
          </w:rPr>
          <w:t>https://imagina.com/fr/blog/article/paiement-en-ligne/</w:t>
        </w:r>
      </w:hyperlink>
    </w:p>
    <w:p>
      <w:pPr>
        <w:pStyle w:val="ListParagraph"/>
        <w:numPr>
          <w:ilvl w:val="0"/>
          <w:numId w:val="31"/>
        </w:numPr>
        <w:tabs>
          <w:tab w:pos="556" w:val="left" w:leader="none"/>
        </w:tabs>
        <w:spacing w:line="264" w:lineRule="exact" w:before="0" w:after="0"/>
        <w:ind w:left="555" w:right="0" w:hanging="361"/>
        <w:jc w:val="both"/>
        <w:rPr>
          <w:i/>
          <w:sz w:val="22"/>
        </w:rPr>
      </w:pPr>
      <w:r>
        <w:rPr>
          <w:i/>
          <w:sz w:val="22"/>
        </w:rPr>
        <w:t>PayPlug,</w:t>
      </w:r>
      <w:r>
        <w:rPr>
          <w:i/>
          <w:spacing w:val="13"/>
          <w:sz w:val="22"/>
        </w:rPr>
        <w:t> </w:t>
      </w:r>
      <w:r>
        <w:rPr>
          <w:i/>
          <w:sz w:val="22"/>
        </w:rPr>
        <w:t>Les</w:t>
      </w:r>
      <w:r>
        <w:rPr>
          <w:i/>
          <w:spacing w:val="13"/>
          <w:sz w:val="22"/>
        </w:rPr>
        <w:t> </w:t>
      </w:r>
      <w:r>
        <w:rPr>
          <w:i/>
          <w:sz w:val="22"/>
        </w:rPr>
        <w:t>différents</w:t>
      </w:r>
      <w:r>
        <w:rPr>
          <w:i/>
          <w:spacing w:val="13"/>
          <w:sz w:val="22"/>
        </w:rPr>
        <w:t> </w:t>
      </w:r>
      <w:r>
        <w:rPr>
          <w:i/>
          <w:sz w:val="22"/>
        </w:rPr>
        <w:t>moyens</w:t>
      </w:r>
      <w:r>
        <w:rPr>
          <w:i/>
          <w:spacing w:val="13"/>
          <w:sz w:val="22"/>
        </w:rPr>
        <w:t> </w:t>
      </w:r>
      <w:r>
        <w:rPr>
          <w:i/>
          <w:sz w:val="22"/>
        </w:rPr>
        <w:t>de</w:t>
      </w:r>
      <w:r>
        <w:rPr>
          <w:i/>
          <w:spacing w:val="10"/>
          <w:sz w:val="22"/>
        </w:rPr>
        <w:t> </w:t>
      </w:r>
      <w:r>
        <w:rPr>
          <w:i/>
          <w:sz w:val="22"/>
        </w:rPr>
        <w:t>paiement</w:t>
      </w:r>
      <w:r>
        <w:rPr>
          <w:i/>
          <w:spacing w:val="13"/>
          <w:sz w:val="22"/>
        </w:rPr>
        <w:t> </w:t>
      </w:r>
      <w:r>
        <w:rPr>
          <w:i/>
          <w:sz w:val="22"/>
        </w:rPr>
        <w:t>:</w:t>
      </w:r>
      <w:r>
        <w:rPr>
          <w:i/>
          <w:spacing w:val="9"/>
          <w:sz w:val="22"/>
        </w:rPr>
        <w:t> </w:t>
      </w:r>
      <w:r>
        <w:rPr>
          <w:i/>
          <w:sz w:val="22"/>
        </w:rPr>
        <w:t>avantages</w:t>
      </w:r>
      <w:r>
        <w:rPr>
          <w:i/>
          <w:spacing w:val="13"/>
          <w:sz w:val="22"/>
        </w:rPr>
        <w:t> </w:t>
      </w:r>
      <w:r>
        <w:rPr>
          <w:i/>
          <w:sz w:val="22"/>
        </w:rPr>
        <w:t>et</w:t>
      </w:r>
      <w:r>
        <w:rPr>
          <w:i/>
          <w:spacing w:val="13"/>
          <w:sz w:val="22"/>
        </w:rPr>
        <w:t> </w:t>
      </w:r>
      <w:r>
        <w:rPr>
          <w:i/>
          <w:sz w:val="22"/>
        </w:rPr>
        <w:t>inconvénients,</w:t>
      </w:r>
      <w:r>
        <w:rPr>
          <w:i/>
          <w:spacing w:val="15"/>
          <w:sz w:val="22"/>
        </w:rPr>
        <w:t> </w:t>
      </w:r>
      <w:r>
        <w:rPr>
          <w:i/>
          <w:sz w:val="22"/>
        </w:rPr>
        <w:t>Blog</w:t>
      </w:r>
      <w:r>
        <w:rPr>
          <w:i/>
          <w:spacing w:val="8"/>
          <w:sz w:val="22"/>
        </w:rPr>
        <w:t> </w:t>
      </w:r>
      <w:r>
        <w:rPr>
          <w:i/>
          <w:sz w:val="22"/>
        </w:rPr>
        <w:t>PayPlug,</w:t>
      </w:r>
      <w:r>
        <w:rPr>
          <w:i/>
          <w:spacing w:val="14"/>
          <w:sz w:val="22"/>
        </w:rPr>
        <w:t> </w:t>
      </w:r>
      <w:r>
        <w:rPr>
          <w:i/>
          <w:sz w:val="22"/>
        </w:rPr>
        <w:t>PayPlug,</w:t>
      </w:r>
    </w:p>
    <w:p>
      <w:pPr>
        <w:spacing w:before="45"/>
        <w:ind w:left="555" w:right="0" w:firstLine="0"/>
        <w:jc w:val="left"/>
        <w:rPr>
          <w:rFonts w:ascii="Calibri"/>
          <w:sz w:val="22"/>
        </w:rPr>
      </w:pPr>
      <w:hyperlink r:id="rId116">
        <w:r>
          <w:rPr>
            <w:rFonts w:ascii="Calibri"/>
            <w:color w:val="0462C1"/>
            <w:sz w:val="22"/>
            <w:u w:val="single" w:color="0462C1"/>
          </w:rPr>
          <w:t>https://www.payplug.com/fr/blog/differents-moyens-paiement-avantages inconvenients/</w:t>
        </w:r>
      </w:hyperlink>
    </w:p>
    <w:p>
      <w:pPr>
        <w:pStyle w:val="ListParagraph"/>
        <w:numPr>
          <w:ilvl w:val="0"/>
          <w:numId w:val="31"/>
        </w:numPr>
        <w:tabs>
          <w:tab w:pos="556" w:val="left" w:leader="none"/>
        </w:tabs>
        <w:spacing w:line="278" w:lineRule="auto" w:before="31" w:after="0"/>
        <w:ind w:left="555" w:right="310" w:hanging="360"/>
        <w:jc w:val="both"/>
        <w:rPr>
          <w:rFonts w:ascii="Calibri" w:hAnsi="Calibri"/>
          <w:sz w:val="22"/>
        </w:rPr>
      </w:pPr>
      <w:r>
        <w:rPr>
          <w:i/>
          <w:sz w:val="22"/>
        </w:rPr>
        <w:t>Digital Virgo, 7 benefits of consolidated alternative payment methods in the digital era, Blog Digital Virgo, </w:t>
      </w:r>
      <w:r>
        <w:rPr>
          <w:i/>
          <w:sz w:val="22"/>
        </w:rPr>
        <w:t>Digital Virgo,</w:t>
      </w:r>
      <w:r>
        <w:rPr>
          <w:i/>
          <w:color w:val="0462C1"/>
          <w:sz w:val="22"/>
        </w:rPr>
        <w:t> </w:t>
      </w:r>
      <w:hyperlink r:id="rId117">
        <w:r>
          <w:rPr>
            <w:rFonts w:ascii="Calibri" w:hAnsi="Calibri"/>
            <w:color w:val="0462C1"/>
            <w:sz w:val="22"/>
            <w:u w:val="single" w:color="0462C1"/>
          </w:rPr>
          <w:t>https://www.digitalvirgo.com/fr/blog/7-benefits-consolidated-alternative-payment-</w:t>
        </w:r>
      </w:hyperlink>
      <w:hyperlink r:id="rId117">
        <w:r>
          <w:rPr>
            <w:rFonts w:ascii="Calibri" w:hAnsi="Calibri"/>
            <w:color w:val="0462C1"/>
            <w:sz w:val="22"/>
            <w:u w:val="single" w:color="0462C1"/>
          </w:rPr>
          <w:t> method-digital-era/</w:t>
        </w:r>
      </w:hyperlink>
    </w:p>
    <w:p>
      <w:pPr>
        <w:pStyle w:val="ListParagraph"/>
        <w:numPr>
          <w:ilvl w:val="0"/>
          <w:numId w:val="31"/>
        </w:numPr>
        <w:tabs>
          <w:tab w:pos="556" w:val="left" w:leader="none"/>
        </w:tabs>
        <w:spacing w:line="273" w:lineRule="auto" w:before="0" w:after="0"/>
        <w:ind w:left="555" w:right="309" w:hanging="360"/>
        <w:jc w:val="both"/>
        <w:rPr>
          <w:i/>
          <w:sz w:val="22"/>
        </w:rPr>
      </w:pPr>
      <w:r>
        <w:rPr>
          <w:i/>
          <w:sz w:val="22"/>
        </w:rPr>
        <w:t>Market Pay, Paiement à distance : quelles solutions proposées ? Quels avantages et inconvénients ?, Blog </w:t>
      </w:r>
      <w:r>
        <w:rPr>
          <w:i/>
          <w:sz w:val="22"/>
        </w:rPr>
        <w:t>Market Pay, Market Pay,</w:t>
      </w:r>
      <w:r>
        <w:rPr>
          <w:i/>
          <w:color w:val="0462C1"/>
          <w:sz w:val="22"/>
        </w:rPr>
        <w:t> </w:t>
      </w:r>
      <w:hyperlink r:id="rId31">
        <w:r>
          <w:rPr>
            <w:i/>
            <w:color w:val="0462C1"/>
            <w:sz w:val="22"/>
            <w:u w:val="single" w:color="0462C1"/>
          </w:rPr>
          <w:t>https://market-pay.com/blog/paiement-a-distance-quelles-solutions-proposees-</w:t>
        </w:r>
      </w:hyperlink>
      <w:hyperlink r:id="rId31">
        <w:r>
          <w:rPr>
            <w:i/>
            <w:color w:val="0462C1"/>
            <w:sz w:val="22"/>
            <w:u w:val="single" w:color="0462C1"/>
          </w:rPr>
          <w:t> quels-avantages-et-inconvenients</w:t>
        </w:r>
      </w:hyperlink>
    </w:p>
    <w:p>
      <w:pPr>
        <w:pStyle w:val="ListParagraph"/>
        <w:numPr>
          <w:ilvl w:val="0"/>
          <w:numId w:val="31"/>
        </w:numPr>
        <w:tabs>
          <w:tab w:pos="556" w:val="left" w:leader="none"/>
        </w:tabs>
        <w:spacing w:line="273" w:lineRule="auto" w:before="0" w:after="0"/>
        <w:ind w:left="555" w:right="322" w:hanging="360"/>
        <w:jc w:val="both"/>
        <w:rPr>
          <w:i/>
          <w:sz w:val="22"/>
        </w:rPr>
      </w:pPr>
      <w:r>
        <w:rPr>
          <w:i/>
          <w:spacing w:val="-3"/>
          <w:sz w:val="22"/>
        </w:rPr>
        <w:t>FMI,  </w:t>
      </w:r>
      <w:r>
        <w:rPr>
          <w:i/>
          <w:sz w:val="22"/>
        </w:rPr>
        <w:t>Digital Payments and Finance, Portail </w:t>
      </w:r>
      <w:r>
        <w:rPr>
          <w:i/>
          <w:spacing w:val="-3"/>
          <w:sz w:val="22"/>
        </w:rPr>
        <w:t>FMI,  FMI,  </w:t>
      </w:r>
      <w:r>
        <w:rPr>
          <w:i/>
          <w:sz w:val="22"/>
        </w:rPr>
        <w:t>Washington D.C.,</w:t>
      </w:r>
      <w:r>
        <w:rPr>
          <w:i/>
          <w:color w:val="0462C1"/>
          <w:sz w:val="22"/>
          <w:u w:val="single" w:color="0462C1"/>
        </w:rPr>
        <w:t> </w:t>
      </w:r>
      <w:hyperlink r:id="rId29">
        <w:r>
          <w:rPr>
            <w:i/>
            <w:color w:val="0462C1"/>
            <w:sz w:val="22"/>
            <w:u w:val="single" w:color="0462C1"/>
          </w:rPr>
          <w:t>https://www.imf.org/en/Topics/digital-payments-and-finance</w:t>
        </w:r>
      </w:hyperlink>
    </w:p>
    <w:p>
      <w:pPr>
        <w:pStyle w:val="ListParagraph"/>
        <w:numPr>
          <w:ilvl w:val="0"/>
          <w:numId w:val="31"/>
        </w:numPr>
        <w:tabs>
          <w:tab w:pos="556" w:val="left" w:leader="none"/>
        </w:tabs>
        <w:spacing w:line="273" w:lineRule="auto" w:before="0" w:after="0"/>
        <w:ind w:left="555" w:right="315" w:hanging="360"/>
        <w:jc w:val="both"/>
        <w:rPr>
          <w:i/>
          <w:sz w:val="22"/>
        </w:rPr>
      </w:pPr>
      <w:r>
        <w:rPr>
          <w:i/>
          <w:sz w:val="22"/>
        </w:rPr>
        <w:t>Algérie</w:t>
      </w:r>
      <w:r>
        <w:rPr>
          <w:i/>
          <w:spacing w:val="-6"/>
          <w:sz w:val="22"/>
        </w:rPr>
        <w:t> </w:t>
      </w:r>
      <w:r>
        <w:rPr>
          <w:i/>
          <w:sz w:val="22"/>
        </w:rPr>
        <w:t>Poste,</w:t>
      </w:r>
      <w:r>
        <w:rPr>
          <w:i/>
          <w:spacing w:val="-2"/>
          <w:sz w:val="22"/>
        </w:rPr>
        <w:t> </w:t>
      </w:r>
      <w:r>
        <w:rPr>
          <w:i/>
          <w:sz w:val="22"/>
        </w:rPr>
        <w:t>Historique,</w:t>
      </w:r>
      <w:r>
        <w:rPr>
          <w:i/>
          <w:spacing w:val="-6"/>
          <w:sz w:val="22"/>
        </w:rPr>
        <w:t> </w:t>
      </w:r>
      <w:r>
        <w:rPr>
          <w:i/>
          <w:sz w:val="22"/>
        </w:rPr>
        <w:t>Site</w:t>
      </w:r>
      <w:r>
        <w:rPr>
          <w:i/>
          <w:spacing w:val="-6"/>
          <w:sz w:val="22"/>
        </w:rPr>
        <w:t> </w:t>
      </w:r>
      <w:r>
        <w:rPr>
          <w:i/>
          <w:sz w:val="22"/>
        </w:rPr>
        <w:t>officiel</w:t>
      </w:r>
      <w:r>
        <w:rPr>
          <w:i/>
          <w:spacing w:val="-2"/>
          <w:sz w:val="22"/>
        </w:rPr>
        <w:t> </w:t>
      </w:r>
      <w:r>
        <w:rPr>
          <w:i/>
          <w:sz w:val="22"/>
        </w:rPr>
        <w:t>Algérie</w:t>
      </w:r>
      <w:r>
        <w:rPr>
          <w:i/>
          <w:spacing w:val="-6"/>
          <w:sz w:val="22"/>
        </w:rPr>
        <w:t> </w:t>
      </w:r>
      <w:r>
        <w:rPr>
          <w:i/>
          <w:sz w:val="22"/>
        </w:rPr>
        <w:t>Poste,</w:t>
      </w:r>
      <w:r>
        <w:rPr>
          <w:i/>
          <w:spacing w:val="-2"/>
          <w:sz w:val="22"/>
        </w:rPr>
        <w:t> </w:t>
      </w:r>
      <w:r>
        <w:rPr>
          <w:i/>
          <w:sz w:val="22"/>
        </w:rPr>
        <w:t>Algérie</w:t>
      </w:r>
      <w:r>
        <w:rPr>
          <w:i/>
          <w:spacing w:val="-6"/>
          <w:sz w:val="22"/>
        </w:rPr>
        <w:t> </w:t>
      </w:r>
      <w:r>
        <w:rPr>
          <w:i/>
          <w:sz w:val="22"/>
        </w:rPr>
        <w:t>Poste,</w:t>
      </w:r>
      <w:r>
        <w:rPr>
          <w:i/>
          <w:spacing w:val="-1"/>
          <w:sz w:val="22"/>
        </w:rPr>
        <w:t> </w:t>
      </w:r>
      <w:r>
        <w:rPr>
          <w:i/>
          <w:sz w:val="22"/>
        </w:rPr>
        <w:t>Alger,</w:t>
      </w:r>
      <w:r>
        <w:rPr>
          <w:i/>
          <w:spacing w:val="-1"/>
          <w:sz w:val="22"/>
        </w:rPr>
        <w:t> </w:t>
      </w:r>
      <w:r>
        <w:rPr>
          <w:i/>
          <w:sz w:val="22"/>
        </w:rPr>
        <w:t>consulté</w:t>
      </w:r>
      <w:r>
        <w:rPr>
          <w:i/>
          <w:spacing w:val="-6"/>
          <w:sz w:val="22"/>
        </w:rPr>
        <w:t> </w:t>
      </w:r>
      <w:r>
        <w:rPr>
          <w:i/>
          <w:sz w:val="22"/>
        </w:rPr>
        <w:t>le</w:t>
      </w:r>
      <w:r>
        <w:rPr>
          <w:i/>
          <w:spacing w:val="-6"/>
          <w:sz w:val="22"/>
        </w:rPr>
        <w:t> </w:t>
      </w:r>
      <w:r>
        <w:rPr>
          <w:i/>
          <w:sz w:val="22"/>
        </w:rPr>
        <w:t>20</w:t>
      </w:r>
      <w:r>
        <w:rPr>
          <w:i/>
          <w:spacing w:val="-4"/>
          <w:sz w:val="22"/>
        </w:rPr>
        <w:t> </w:t>
      </w:r>
      <w:r>
        <w:rPr>
          <w:i/>
          <w:sz w:val="22"/>
        </w:rPr>
        <w:t>mars</w:t>
      </w:r>
      <w:r>
        <w:rPr>
          <w:i/>
          <w:spacing w:val="-7"/>
          <w:sz w:val="22"/>
        </w:rPr>
        <w:t> </w:t>
      </w:r>
      <w:r>
        <w:rPr>
          <w:i/>
          <w:sz w:val="22"/>
        </w:rPr>
        <w:t>2025</w:t>
      </w:r>
      <w:r>
        <w:rPr>
          <w:i/>
          <w:spacing w:val="-4"/>
          <w:sz w:val="22"/>
        </w:rPr>
        <w:t> </w:t>
      </w:r>
      <w:r>
        <w:rPr>
          <w:i/>
          <w:sz w:val="22"/>
        </w:rPr>
        <w:t>à</w:t>
      </w:r>
      <w:r>
        <w:rPr>
          <w:i/>
          <w:spacing w:val="-4"/>
          <w:sz w:val="22"/>
        </w:rPr>
        <w:t> </w:t>
      </w:r>
      <w:r>
        <w:rPr>
          <w:i/>
          <w:sz w:val="22"/>
        </w:rPr>
        <w:t>16h53</w:t>
      </w:r>
      <w:r>
        <w:rPr>
          <w:i/>
          <w:color w:val="0462C1"/>
          <w:sz w:val="22"/>
          <w:u w:val="single" w:color="0462C1"/>
        </w:rPr>
        <w:t> </w:t>
      </w:r>
      <w:hyperlink r:id="rId44">
        <w:r>
          <w:rPr>
            <w:i/>
            <w:color w:val="0462C1"/>
            <w:sz w:val="22"/>
            <w:u w:val="single" w:color="0462C1"/>
          </w:rPr>
          <w:t>https://www.poste.dz/page/historique</w:t>
        </w:r>
      </w:hyperlink>
    </w:p>
    <w:p>
      <w:pPr>
        <w:pStyle w:val="ListParagraph"/>
        <w:numPr>
          <w:ilvl w:val="0"/>
          <w:numId w:val="31"/>
        </w:numPr>
        <w:tabs>
          <w:tab w:pos="556" w:val="left" w:leader="none"/>
        </w:tabs>
        <w:spacing w:line="273" w:lineRule="auto" w:before="0" w:after="0"/>
        <w:ind w:left="555" w:right="314" w:hanging="360"/>
        <w:jc w:val="both"/>
        <w:rPr>
          <w:i/>
          <w:sz w:val="22"/>
        </w:rPr>
      </w:pPr>
      <w:r>
        <w:rPr>
          <w:i/>
          <w:sz w:val="22"/>
        </w:rPr>
        <w:t>Algérie Poste, Présentation, Site officiel Algérie Poste, Algérie Poste, Alger, consulté le 22 mars 2025 à </w:t>
      </w:r>
      <w:r>
        <w:rPr>
          <w:i/>
          <w:sz w:val="22"/>
        </w:rPr>
        <w:t>14h45</w:t>
      </w:r>
      <w:r>
        <w:rPr>
          <w:i/>
          <w:color w:val="0462C1"/>
          <w:spacing w:val="2"/>
          <w:sz w:val="22"/>
        </w:rPr>
        <w:t> </w:t>
      </w:r>
      <w:hyperlink r:id="rId45">
        <w:r>
          <w:rPr>
            <w:i/>
            <w:color w:val="0462C1"/>
            <w:sz w:val="22"/>
            <w:u w:val="single" w:color="0462C1"/>
          </w:rPr>
          <w:t>https://www.poste.dz/page/presentation</w:t>
        </w:r>
      </w:hyperlink>
    </w:p>
    <w:p>
      <w:pPr>
        <w:pStyle w:val="ListParagraph"/>
        <w:numPr>
          <w:ilvl w:val="0"/>
          <w:numId w:val="31"/>
        </w:numPr>
        <w:tabs>
          <w:tab w:pos="556" w:val="left" w:leader="none"/>
        </w:tabs>
        <w:spacing w:line="276" w:lineRule="auto" w:before="4" w:after="0"/>
        <w:ind w:left="555" w:right="309" w:hanging="360"/>
        <w:jc w:val="both"/>
        <w:rPr>
          <w:i/>
          <w:sz w:val="22"/>
        </w:rPr>
      </w:pPr>
      <w:r>
        <w:rPr>
          <w:i/>
          <w:sz w:val="22"/>
        </w:rPr>
        <w:t>Algérie Poste, Services corporate, Site officiel Algérie Poste, Algérie Poste, Alger, consulté le 22 mars 2025 </w:t>
      </w:r>
      <w:r>
        <w:rPr>
          <w:i/>
          <w:sz w:val="22"/>
        </w:rPr>
        <w:t>à 14h24</w:t>
      </w:r>
      <w:r>
        <w:rPr>
          <w:i/>
          <w:color w:val="0462C1"/>
          <w:spacing w:val="-1"/>
          <w:sz w:val="22"/>
        </w:rPr>
        <w:t> </w:t>
      </w:r>
      <w:hyperlink r:id="rId47">
        <w:r>
          <w:rPr>
            <w:i/>
            <w:color w:val="0462C1"/>
            <w:sz w:val="22"/>
            <w:u w:val="single" w:color="0462C1"/>
          </w:rPr>
          <w:t>https://www.poste.dz/services/corporate/cor-services</w:t>
        </w:r>
      </w:hyperlink>
    </w:p>
    <w:p>
      <w:pPr>
        <w:pStyle w:val="ListParagraph"/>
        <w:numPr>
          <w:ilvl w:val="0"/>
          <w:numId w:val="31"/>
        </w:numPr>
        <w:tabs>
          <w:tab w:pos="556" w:val="left" w:leader="none"/>
        </w:tabs>
        <w:spacing w:line="264" w:lineRule="exact" w:before="0" w:after="0"/>
        <w:ind w:left="555" w:right="0" w:hanging="361"/>
        <w:jc w:val="both"/>
        <w:rPr>
          <w:i/>
          <w:sz w:val="22"/>
        </w:rPr>
      </w:pPr>
      <w:r>
        <w:rPr>
          <w:i/>
          <w:sz w:val="22"/>
        </w:rPr>
        <w:t>Algérie Poste, Info carte, Site officiel Algérie Poste, Algérie Poste, Alger, consulté le 26 avril 2025 à</w:t>
      </w:r>
      <w:r>
        <w:rPr>
          <w:i/>
          <w:spacing w:val="-1"/>
          <w:sz w:val="22"/>
        </w:rPr>
        <w:t> </w:t>
      </w:r>
      <w:r>
        <w:rPr>
          <w:i/>
          <w:sz w:val="22"/>
        </w:rPr>
        <w:t>09h39,</w:t>
      </w:r>
    </w:p>
    <w:p>
      <w:pPr>
        <w:spacing w:before="45"/>
        <w:ind w:left="555" w:right="0" w:firstLine="0"/>
        <w:jc w:val="left"/>
        <w:rPr>
          <w:rFonts w:ascii="Calibri"/>
          <w:sz w:val="22"/>
        </w:rPr>
      </w:pPr>
      <w:r>
        <w:rPr>
          <w:rFonts w:ascii="Calibri"/>
          <w:color w:val="0462C1"/>
          <w:sz w:val="22"/>
          <w:u w:val="single" w:color="0462C1"/>
        </w:rPr>
        <w:t>https://</w:t>
      </w:r>
      <w:hyperlink r:id="rId118">
        <w:r>
          <w:rPr>
            <w:rFonts w:ascii="Calibri"/>
            <w:color w:val="0462C1"/>
            <w:sz w:val="22"/>
            <w:u w:val="single" w:color="0462C1"/>
          </w:rPr>
          <w:t>www.poste.dz/services/particular/info-carte</w:t>
        </w:r>
      </w:hyperlink>
    </w:p>
    <w:p>
      <w:pPr>
        <w:pStyle w:val="ListParagraph"/>
        <w:numPr>
          <w:ilvl w:val="0"/>
          <w:numId w:val="31"/>
        </w:numPr>
        <w:tabs>
          <w:tab w:pos="555" w:val="left" w:leader="none"/>
          <w:tab w:pos="556" w:val="left" w:leader="none"/>
        </w:tabs>
        <w:spacing w:line="273" w:lineRule="auto" w:before="32" w:after="0"/>
        <w:ind w:left="555" w:right="320" w:hanging="360"/>
        <w:jc w:val="left"/>
        <w:rPr>
          <w:i/>
          <w:sz w:val="22"/>
        </w:rPr>
      </w:pPr>
      <w:r>
        <w:rPr>
          <w:i/>
          <w:sz w:val="22"/>
        </w:rPr>
        <w:t>Algérie Poste, Conseil carte, Site officiel Algérie Poste, Algérie Poste, Alger, consulté le 26 avril 2025 à </w:t>
      </w:r>
      <w:r>
        <w:rPr>
          <w:i/>
          <w:sz w:val="22"/>
        </w:rPr>
        <w:t>09h39</w:t>
      </w:r>
      <w:r>
        <w:rPr>
          <w:i/>
          <w:color w:val="0462C1"/>
          <w:spacing w:val="2"/>
          <w:sz w:val="22"/>
        </w:rPr>
        <w:t> </w:t>
      </w:r>
      <w:hyperlink r:id="rId50">
        <w:r>
          <w:rPr>
            <w:i/>
            <w:color w:val="0462C1"/>
            <w:sz w:val="22"/>
            <w:u w:val="single" w:color="0462C1"/>
          </w:rPr>
          <w:t>https://www.poste.dz/services/particular/conseil-carte</w:t>
        </w:r>
      </w:hyperlink>
    </w:p>
    <w:p>
      <w:pPr>
        <w:pStyle w:val="ListParagraph"/>
        <w:numPr>
          <w:ilvl w:val="0"/>
          <w:numId w:val="31"/>
        </w:numPr>
        <w:tabs>
          <w:tab w:pos="555" w:val="left" w:leader="none"/>
          <w:tab w:pos="556" w:val="left" w:leader="none"/>
        </w:tabs>
        <w:spacing w:line="276" w:lineRule="auto" w:before="4" w:after="0"/>
        <w:ind w:left="555" w:right="318" w:hanging="360"/>
        <w:jc w:val="left"/>
        <w:rPr>
          <w:i/>
          <w:sz w:val="22"/>
        </w:rPr>
      </w:pPr>
      <w:r>
        <w:rPr>
          <w:i/>
          <w:sz w:val="22"/>
        </w:rPr>
        <w:t>Algérie Poste, Cardless, Site officiel Algérie Poste, Algérie Poste, Alger, consulté le 26 avril 2025 à 09h40</w:t>
      </w:r>
      <w:r>
        <w:rPr>
          <w:i/>
          <w:color w:val="0462C1"/>
          <w:sz w:val="22"/>
          <w:u w:val="single" w:color="0462C1"/>
        </w:rPr>
        <w:t> </w:t>
      </w:r>
      <w:hyperlink r:id="rId51">
        <w:r>
          <w:rPr>
            <w:i/>
            <w:color w:val="0462C1"/>
            <w:sz w:val="22"/>
            <w:u w:val="single" w:color="0462C1"/>
          </w:rPr>
          <w:t>https://www.poste.dz/services/particular/cardless</w:t>
        </w:r>
      </w:hyperlink>
    </w:p>
    <w:p>
      <w:pPr>
        <w:pStyle w:val="ListParagraph"/>
        <w:numPr>
          <w:ilvl w:val="0"/>
          <w:numId w:val="31"/>
        </w:numPr>
        <w:tabs>
          <w:tab w:pos="555" w:val="left" w:leader="none"/>
          <w:tab w:pos="556" w:val="left" w:leader="none"/>
        </w:tabs>
        <w:spacing w:line="273" w:lineRule="auto" w:before="0" w:after="0"/>
        <w:ind w:left="555" w:right="313" w:hanging="360"/>
        <w:jc w:val="left"/>
        <w:rPr>
          <w:sz w:val="22"/>
        </w:rPr>
      </w:pPr>
      <w:r>
        <w:rPr>
          <w:i/>
          <w:sz w:val="22"/>
        </w:rPr>
        <w:t>Algérie Poste, Premium, Site officiel Algérie Poste, Algérie Poste, Alger, consulté le 26 avril 2025 à 09h41</w:t>
      </w:r>
      <w:r>
        <w:rPr>
          <w:sz w:val="22"/>
        </w:rPr>
        <w:t>,</w:t>
      </w:r>
      <w:r>
        <w:rPr>
          <w:color w:val="0462C1"/>
          <w:sz w:val="22"/>
          <w:u w:val="single" w:color="0462C1"/>
        </w:rPr>
        <w:t> https://</w:t>
      </w:r>
      <w:hyperlink r:id="rId119">
        <w:r>
          <w:rPr>
            <w:color w:val="0462C1"/>
            <w:sz w:val="22"/>
            <w:u w:val="single" w:color="0462C1"/>
          </w:rPr>
          <w:t>www.poste.dz/services/particular/premium</w:t>
        </w:r>
      </w:hyperlink>
    </w:p>
    <w:p>
      <w:pPr>
        <w:pStyle w:val="ListParagraph"/>
        <w:numPr>
          <w:ilvl w:val="0"/>
          <w:numId w:val="31"/>
        </w:numPr>
        <w:tabs>
          <w:tab w:pos="555" w:val="left" w:leader="none"/>
          <w:tab w:pos="556" w:val="left" w:leader="none"/>
        </w:tabs>
        <w:spacing w:line="273" w:lineRule="auto" w:before="0" w:after="0"/>
        <w:ind w:left="555" w:right="322" w:hanging="360"/>
        <w:jc w:val="left"/>
        <w:rPr>
          <w:i/>
          <w:sz w:val="22"/>
        </w:rPr>
      </w:pPr>
      <w:r>
        <w:rPr>
          <w:i/>
          <w:sz w:val="22"/>
        </w:rPr>
        <w:t>Algérie Poste, Services postaux corporate, Site officiel Algérie Poste, Algérie Poste, Alger, consulté le 22 </w:t>
      </w:r>
      <w:r>
        <w:rPr>
          <w:i/>
          <w:sz w:val="22"/>
        </w:rPr>
        <w:t>mars 2025 à 14h28</w:t>
      </w:r>
      <w:r>
        <w:rPr>
          <w:i/>
          <w:color w:val="0462C1"/>
          <w:spacing w:val="5"/>
          <w:sz w:val="22"/>
        </w:rPr>
        <w:t> </w:t>
      </w:r>
      <w:hyperlink r:id="rId53">
        <w:r>
          <w:rPr>
            <w:i/>
            <w:color w:val="0462C1"/>
            <w:sz w:val="22"/>
            <w:u w:val="single" w:color="0462C1"/>
          </w:rPr>
          <w:t>https://www.poste.dz/services/corporate/cor-postaux</w:t>
        </w:r>
      </w:hyperlink>
    </w:p>
    <w:p>
      <w:pPr>
        <w:pStyle w:val="ListParagraph"/>
        <w:numPr>
          <w:ilvl w:val="0"/>
          <w:numId w:val="31"/>
        </w:numPr>
        <w:tabs>
          <w:tab w:pos="555" w:val="left" w:leader="none"/>
          <w:tab w:pos="556" w:val="left" w:leader="none"/>
        </w:tabs>
        <w:spacing w:line="276" w:lineRule="auto" w:before="0" w:after="0"/>
        <w:ind w:left="555" w:right="319" w:hanging="360"/>
        <w:jc w:val="left"/>
        <w:rPr>
          <w:i/>
          <w:sz w:val="22"/>
        </w:rPr>
      </w:pPr>
      <w:r>
        <w:rPr>
          <w:i/>
          <w:sz w:val="22"/>
        </w:rPr>
        <w:t>Algérie</w:t>
      </w:r>
      <w:r>
        <w:rPr>
          <w:i/>
          <w:spacing w:val="-7"/>
          <w:sz w:val="22"/>
        </w:rPr>
        <w:t> </w:t>
      </w:r>
      <w:r>
        <w:rPr>
          <w:i/>
          <w:sz w:val="22"/>
        </w:rPr>
        <w:t>Poste,</w:t>
      </w:r>
      <w:r>
        <w:rPr>
          <w:i/>
          <w:spacing w:val="-7"/>
          <w:sz w:val="22"/>
        </w:rPr>
        <w:t> </w:t>
      </w:r>
      <w:r>
        <w:rPr>
          <w:i/>
          <w:sz w:val="22"/>
        </w:rPr>
        <w:t>Service</w:t>
      </w:r>
      <w:r>
        <w:rPr>
          <w:i/>
          <w:spacing w:val="-7"/>
          <w:sz w:val="22"/>
        </w:rPr>
        <w:t> </w:t>
      </w:r>
      <w:r>
        <w:rPr>
          <w:i/>
          <w:sz w:val="22"/>
        </w:rPr>
        <w:t>de</w:t>
      </w:r>
      <w:r>
        <w:rPr>
          <w:i/>
          <w:spacing w:val="-12"/>
          <w:sz w:val="22"/>
        </w:rPr>
        <w:t> </w:t>
      </w:r>
      <w:r>
        <w:rPr>
          <w:i/>
          <w:sz w:val="22"/>
        </w:rPr>
        <w:t>proximité,</w:t>
      </w:r>
      <w:r>
        <w:rPr>
          <w:i/>
          <w:spacing w:val="-7"/>
          <w:sz w:val="22"/>
        </w:rPr>
        <w:t> </w:t>
      </w:r>
      <w:r>
        <w:rPr>
          <w:i/>
          <w:sz w:val="22"/>
        </w:rPr>
        <w:t>Site</w:t>
      </w:r>
      <w:r>
        <w:rPr>
          <w:i/>
          <w:spacing w:val="-12"/>
          <w:sz w:val="22"/>
        </w:rPr>
        <w:t> </w:t>
      </w:r>
      <w:r>
        <w:rPr>
          <w:i/>
          <w:sz w:val="22"/>
        </w:rPr>
        <w:t>officiel</w:t>
      </w:r>
      <w:r>
        <w:rPr>
          <w:i/>
          <w:spacing w:val="-8"/>
          <w:sz w:val="22"/>
        </w:rPr>
        <w:t> </w:t>
      </w:r>
      <w:r>
        <w:rPr>
          <w:i/>
          <w:sz w:val="22"/>
        </w:rPr>
        <w:t>Algérie</w:t>
      </w:r>
      <w:r>
        <w:rPr>
          <w:i/>
          <w:spacing w:val="-12"/>
          <w:sz w:val="22"/>
        </w:rPr>
        <w:t> </w:t>
      </w:r>
      <w:r>
        <w:rPr>
          <w:i/>
          <w:sz w:val="22"/>
        </w:rPr>
        <w:t>Poste,</w:t>
      </w:r>
      <w:r>
        <w:rPr>
          <w:i/>
          <w:spacing w:val="-7"/>
          <w:sz w:val="22"/>
        </w:rPr>
        <w:t> </w:t>
      </w:r>
      <w:r>
        <w:rPr>
          <w:i/>
          <w:sz w:val="22"/>
        </w:rPr>
        <w:t>Algérie</w:t>
      </w:r>
      <w:r>
        <w:rPr>
          <w:i/>
          <w:spacing w:val="-11"/>
          <w:sz w:val="22"/>
        </w:rPr>
        <w:t> </w:t>
      </w:r>
      <w:r>
        <w:rPr>
          <w:i/>
          <w:sz w:val="22"/>
        </w:rPr>
        <w:t>Poste,</w:t>
      </w:r>
      <w:r>
        <w:rPr>
          <w:i/>
          <w:spacing w:val="-7"/>
          <w:sz w:val="22"/>
        </w:rPr>
        <w:t> </w:t>
      </w:r>
      <w:r>
        <w:rPr>
          <w:i/>
          <w:sz w:val="22"/>
        </w:rPr>
        <w:t>Alger,</w:t>
      </w:r>
      <w:r>
        <w:rPr>
          <w:i/>
          <w:spacing w:val="-7"/>
          <w:sz w:val="22"/>
        </w:rPr>
        <w:t> </w:t>
      </w:r>
      <w:r>
        <w:rPr>
          <w:i/>
          <w:sz w:val="22"/>
        </w:rPr>
        <w:t>consulté</w:t>
      </w:r>
      <w:r>
        <w:rPr>
          <w:i/>
          <w:spacing w:val="-12"/>
          <w:sz w:val="22"/>
        </w:rPr>
        <w:t> </w:t>
      </w:r>
      <w:r>
        <w:rPr>
          <w:i/>
          <w:sz w:val="22"/>
        </w:rPr>
        <w:t>le</w:t>
      </w:r>
      <w:r>
        <w:rPr>
          <w:i/>
          <w:spacing w:val="-12"/>
          <w:sz w:val="22"/>
        </w:rPr>
        <w:t> </w:t>
      </w:r>
      <w:r>
        <w:rPr>
          <w:i/>
          <w:sz w:val="22"/>
        </w:rPr>
        <w:t>18</w:t>
      </w:r>
      <w:r>
        <w:rPr>
          <w:i/>
          <w:spacing w:val="-10"/>
          <w:sz w:val="22"/>
        </w:rPr>
        <w:t> </w:t>
      </w:r>
      <w:r>
        <w:rPr>
          <w:i/>
          <w:sz w:val="22"/>
        </w:rPr>
        <w:t>avril</w:t>
      </w:r>
      <w:r>
        <w:rPr>
          <w:i/>
          <w:spacing w:val="-8"/>
          <w:sz w:val="22"/>
        </w:rPr>
        <w:t> </w:t>
      </w:r>
      <w:r>
        <w:rPr>
          <w:i/>
          <w:sz w:val="22"/>
        </w:rPr>
        <w:t>2025 </w:t>
      </w:r>
      <w:r>
        <w:rPr>
          <w:i/>
          <w:sz w:val="22"/>
        </w:rPr>
        <w:t>à 16h04,</w:t>
      </w:r>
      <w:r>
        <w:rPr>
          <w:i/>
          <w:color w:val="0462C1"/>
          <w:spacing w:val="3"/>
          <w:sz w:val="22"/>
          <w:u w:val="single" w:color="0462C1"/>
        </w:rPr>
        <w:t> </w:t>
      </w:r>
      <w:r>
        <w:rPr>
          <w:i/>
          <w:color w:val="0462C1"/>
          <w:sz w:val="22"/>
          <w:u w:val="single" w:color="0462C1"/>
        </w:rPr>
        <w:t>https://</w:t>
      </w:r>
      <w:hyperlink r:id="rId120">
        <w:r>
          <w:rPr>
            <w:i/>
            <w:color w:val="0462C1"/>
            <w:sz w:val="22"/>
            <w:u w:val="single" w:color="0462C1"/>
          </w:rPr>
          <w:t>www.poste.dz/services/professional/service-proximite</w:t>
        </w:r>
      </w:hyperlink>
    </w:p>
    <w:p>
      <w:pPr>
        <w:pStyle w:val="ListParagraph"/>
        <w:numPr>
          <w:ilvl w:val="0"/>
          <w:numId w:val="31"/>
        </w:numPr>
        <w:tabs>
          <w:tab w:pos="555" w:val="left" w:leader="none"/>
          <w:tab w:pos="556" w:val="left" w:leader="none"/>
        </w:tabs>
        <w:spacing w:line="273" w:lineRule="auto" w:before="0" w:after="0"/>
        <w:ind w:left="555" w:right="311" w:hanging="360"/>
        <w:jc w:val="left"/>
        <w:rPr>
          <w:i/>
          <w:sz w:val="22"/>
        </w:rPr>
      </w:pPr>
      <w:r>
        <w:rPr>
          <w:i/>
          <w:sz w:val="22"/>
        </w:rPr>
        <w:t>Algérie Poste, Baridi Pay Corporate, Site officiel Algérie Poste, Algérie Poste, Alger, consulté le 22 mars </w:t>
      </w:r>
      <w:r>
        <w:rPr>
          <w:i/>
          <w:sz w:val="22"/>
        </w:rPr>
        <w:t>2025 à 14h32</w:t>
      </w:r>
      <w:r>
        <w:rPr>
          <w:i/>
          <w:color w:val="0462C1"/>
          <w:spacing w:val="-4"/>
          <w:sz w:val="22"/>
        </w:rPr>
        <w:t> </w:t>
      </w:r>
      <w:hyperlink r:id="rId55">
        <w:r>
          <w:rPr>
            <w:i/>
            <w:color w:val="0462C1"/>
            <w:sz w:val="22"/>
            <w:u w:val="single" w:color="0462C1"/>
          </w:rPr>
          <w:t>https://www.poste.dz/services/corporate/Baridi_pay_cor</w:t>
        </w:r>
      </w:hyperlink>
    </w:p>
    <w:p>
      <w:pPr>
        <w:pStyle w:val="ListParagraph"/>
        <w:numPr>
          <w:ilvl w:val="0"/>
          <w:numId w:val="31"/>
        </w:numPr>
        <w:tabs>
          <w:tab w:pos="555" w:val="left" w:leader="none"/>
          <w:tab w:pos="556" w:val="left" w:leader="none"/>
        </w:tabs>
        <w:spacing w:line="271" w:lineRule="auto" w:before="0" w:after="0"/>
        <w:ind w:left="555" w:right="308" w:hanging="360"/>
        <w:jc w:val="left"/>
        <w:rPr>
          <w:i/>
          <w:sz w:val="22"/>
        </w:rPr>
      </w:pPr>
      <w:r>
        <w:rPr>
          <w:i/>
          <w:sz w:val="22"/>
        </w:rPr>
        <w:t>Algérie Poste, BaridiMob Web, Site officiel Algérie Poste, Algérie Poste, Alger, consulté le 21 mars 2025 à </w:t>
      </w:r>
      <w:r>
        <w:rPr>
          <w:i/>
          <w:sz w:val="22"/>
        </w:rPr>
        <w:t>22h42,</w:t>
      </w:r>
      <w:r>
        <w:rPr>
          <w:i/>
          <w:color w:val="0462C1"/>
          <w:spacing w:val="-1"/>
          <w:sz w:val="22"/>
        </w:rPr>
        <w:t> </w:t>
      </w:r>
      <w:hyperlink r:id="rId121">
        <w:r>
          <w:rPr>
            <w:i/>
            <w:color w:val="0462C1"/>
            <w:sz w:val="22"/>
            <w:u w:val="single" w:color="0462C1"/>
          </w:rPr>
          <w:t>https://www.poste.dz/services/professional/baridimobweb</w:t>
        </w:r>
      </w:hyperlink>
    </w:p>
    <w:p>
      <w:pPr>
        <w:spacing w:after="0" w:line="271" w:lineRule="auto"/>
        <w:jc w:val="left"/>
        <w:rPr>
          <w:sz w:val="22"/>
        </w:rPr>
        <w:sectPr>
          <w:headerReference w:type="even" r:id="rId112"/>
          <w:headerReference w:type="default" r:id="rId113"/>
          <w:footerReference w:type="even" r:id="rId114"/>
          <w:pgSz w:w="12240" w:h="15840"/>
          <w:pgMar w:header="766" w:footer="0" w:top="980" w:bottom="280" w:left="1000" w:right="820"/>
        </w:sectPr>
      </w:pPr>
    </w:p>
    <w:p>
      <w:pPr>
        <w:pStyle w:val="BodyText"/>
        <w:spacing w:before="3"/>
        <w:rPr>
          <w:i/>
          <w:sz w:val="20"/>
        </w:rPr>
      </w:pPr>
    </w:p>
    <w:p>
      <w:pPr>
        <w:pStyle w:val="Heading3"/>
        <w:ind w:left="1098"/>
        <w:jc w:val="left"/>
      </w:pPr>
      <w:bookmarkStart w:name="Annexe" w:id="272"/>
      <w:bookmarkEnd w:id="272"/>
      <w:r>
        <w:rPr>
          <w:b w:val="0"/>
        </w:rPr>
      </w:r>
      <w:bookmarkStart w:name="_bookmark76" w:id="273"/>
      <w:bookmarkEnd w:id="273"/>
      <w:r>
        <w:rPr>
          <w:b w:val="0"/>
        </w:rPr>
      </w:r>
      <w:r>
        <w:rPr/>
        <w:t>Annexe</w:t>
      </w:r>
    </w:p>
    <w:p>
      <w:pPr>
        <w:pStyle w:val="BodyText"/>
        <w:rPr>
          <w:b/>
          <w:sz w:val="20"/>
        </w:rPr>
      </w:pPr>
    </w:p>
    <w:p>
      <w:pPr>
        <w:pStyle w:val="BodyText"/>
        <w:rPr>
          <w:b/>
          <w:sz w:val="20"/>
        </w:rPr>
      </w:pPr>
    </w:p>
    <w:p>
      <w:pPr>
        <w:pStyle w:val="BodyText"/>
        <w:spacing w:before="3"/>
        <w:rPr>
          <w:b/>
          <w:sz w:val="28"/>
        </w:rPr>
      </w:pPr>
      <w:r>
        <w:rPr/>
        <w:drawing>
          <wp:anchor distT="0" distB="0" distL="0" distR="0" allowOverlap="1" layoutInCell="1" locked="0" behindDoc="0" simplePos="0" relativeHeight="170">
            <wp:simplePos x="0" y="0"/>
            <wp:positionH relativeFrom="page">
              <wp:posOffset>1761390</wp:posOffset>
            </wp:positionH>
            <wp:positionV relativeFrom="paragraph">
              <wp:posOffset>231626</wp:posOffset>
            </wp:positionV>
            <wp:extent cx="3115922" cy="2912364"/>
            <wp:effectExtent l="0" t="0" r="0" b="0"/>
            <wp:wrapTopAndBottom/>
            <wp:docPr id="25" name="image49.jpeg"/>
            <wp:cNvGraphicFramePr>
              <a:graphicFrameLocks noChangeAspect="1"/>
            </wp:cNvGraphicFramePr>
            <a:graphic>
              <a:graphicData uri="http://schemas.openxmlformats.org/drawingml/2006/picture">
                <pic:pic>
                  <pic:nvPicPr>
                    <pic:cNvPr id="26" name="image49.jpeg"/>
                    <pic:cNvPicPr/>
                  </pic:nvPicPr>
                  <pic:blipFill>
                    <a:blip r:embed="rId125" cstate="print"/>
                    <a:stretch>
                      <a:fillRect/>
                    </a:stretch>
                  </pic:blipFill>
                  <pic:spPr>
                    <a:xfrm>
                      <a:off x="0" y="0"/>
                      <a:ext cx="3115922" cy="2912364"/>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9"/>
        </w:rPr>
      </w:pPr>
      <w:r>
        <w:rPr/>
        <w:drawing>
          <wp:anchor distT="0" distB="0" distL="0" distR="0" allowOverlap="1" layoutInCell="1" locked="0" behindDoc="0" simplePos="0" relativeHeight="171">
            <wp:simplePos x="0" y="0"/>
            <wp:positionH relativeFrom="page">
              <wp:posOffset>1909293</wp:posOffset>
            </wp:positionH>
            <wp:positionV relativeFrom="paragraph">
              <wp:posOffset>168773</wp:posOffset>
            </wp:positionV>
            <wp:extent cx="2233094" cy="3445764"/>
            <wp:effectExtent l="0" t="0" r="0" b="0"/>
            <wp:wrapTopAndBottom/>
            <wp:docPr id="27" name="image50.jpeg"/>
            <wp:cNvGraphicFramePr>
              <a:graphicFrameLocks noChangeAspect="1"/>
            </wp:cNvGraphicFramePr>
            <a:graphic>
              <a:graphicData uri="http://schemas.openxmlformats.org/drawingml/2006/picture">
                <pic:pic>
                  <pic:nvPicPr>
                    <pic:cNvPr id="28" name="image50.jpeg"/>
                    <pic:cNvPicPr/>
                  </pic:nvPicPr>
                  <pic:blipFill>
                    <a:blip r:embed="rId126" cstate="print"/>
                    <a:stretch>
                      <a:fillRect/>
                    </a:stretch>
                  </pic:blipFill>
                  <pic:spPr>
                    <a:xfrm>
                      <a:off x="0" y="0"/>
                      <a:ext cx="2233094" cy="3445764"/>
                    </a:xfrm>
                    <a:prstGeom prst="rect">
                      <a:avLst/>
                    </a:prstGeom>
                  </pic:spPr>
                </pic:pic>
              </a:graphicData>
            </a:graphic>
          </wp:anchor>
        </w:drawing>
      </w:r>
    </w:p>
    <w:p>
      <w:pPr>
        <w:spacing w:after="0"/>
        <w:rPr>
          <w:sz w:val="19"/>
        </w:rPr>
        <w:sectPr>
          <w:headerReference w:type="default" r:id="rId122"/>
          <w:headerReference w:type="even" r:id="rId123"/>
          <w:footerReference w:type="default" r:id="rId124"/>
          <w:pgSz w:w="12240" w:h="15840"/>
          <w:pgMar w:header="766" w:footer="0" w:top="1080" w:bottom="280" w:left="1000" w:right="820"/>
        </w:sectPr>
      </w:pPr>
    </w:p>
    <w:p>
      <w:pPr>
        <w:pStyle w:val="BodyText"/>
        <w:spacing w:before="8"/>
        <w:rPr>
          <w:b/>
          <w:sz w:val="6"/>
        </w:rPr>
      </w:pPr>
    </w:p>
    <w:p>
      <w:pPr>
        <w:pStyle w:val="BodyText"/>
        <w:spacing w:line="30" w:lineRule="exact"/>
        <w:ind w:left="686"/>
        <w:rPr>
          <w:sz w:val="3"/>
        </w:rPr>
      </w:pPr>
      <w:r>
        <w:rPr>
          <w:position w:val="0"/>
          <w:sz w:val="3"/>
        </w:rPr>
        <w:pict>
          <v:group style="width:468pt;height:1.5pt;mso-position-horizontal-relative:char;mso-position-vertical-relative:line" coordorigin="0,0" coordsize="9360,30">
            <v:line style="position:absolute" from="0,15" to="9360,15" stroked="true" strokeweight="1.5pt" strokecolor="#ec7c30">
              <v:stroke dashstyle="solid"/>
            </v:line>
          </v:group>
        </w:pict>
      </w:r>
      <w:r>
        <w:rPr>
          <w:position w:val="0"/>
          <w:sz w:val="3"/>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5"/>
        </w:rPr>
      </w:pPr>
      <w:r>
        <w:rPr/>
        <w:drawing>
          <wp:anchor distT="0" distB="0" distL="0" distR="0" allowOverlap="1" layoutInCell="1" locked="0" behindDoc="0" simplePos="0" relativeHeight="173">
            <wp:simplePos x="0" y="0"/>
            <wp:positionH relativeFrom="page">
              <wp:posOffset>1608921</wp:posOffset>
            </wp:positionH>
            <wp:positionV relativeFrom="paragraph">
              <wp:posOffset>213644</wp:posOffset>
            </wp:positionV>
            <wp:extent cx="4548956" cy="5602985"/>
            <wp:effectExtent l="0" t="0" r="0" b="0"/>
            <wp:wrapTopAndBottom/>
            <wp:docPr id="29" name="image51.jpeg"/>
            <wp:cNvGraphicFramePr>
              <a:graphicFrameLocks noChangeAspect="1"/>
            </wp:cNvGraphicFramePr>
            <a:graphic>
              <a:graphicData uri="http://schemas.openxmlformats.org/drawingml/2006/picture">
                <pic:pic>
                  <pic:nvPicPr>
                    <pic:cNvPr id="30" name="image51.jpeg"/>
                    <pic:cNvPicPr/>
                  </pic:nvPicPr>
                  <pic:blipFill>
                    <a:blip r:embed="rId130" cstate="print"/>
                    <a:stretch>
                      <a:fillRect/>
                    </a:stretch>
                  </pic:blipFill>
                  <pic:spPr>
                    <a:xfrm>
                      <a:off x="0" y="0"/>
                      <a:ext cx="4548956" cy="5602985"/>
                    </a:xfrm>
                    <a:prstGeom prst="rect">
                      <a:avLst/>
                    </a:prstGeom>
                  </pic:spPr>
                </pic:pic>
              </a:graphicData>
            </a:graphic>
          </wp:anchor>
        </w:drawing>
      </w:r>
    </w:p>
    <w:p>
      <w:pPr>
        <w:spacing w:after="0"/>
        <w:rPr>
          <w:sz w:val="25"/>
        </w:rPr>
        <w:sectPr>
          <w:headerReference w:type="even" r:id="rId127"/>
          <w:headerReference w:type="default" r:id="rId128"/>
          <w:footerReference w:type="even" r:id="rId129"/>
          <w:pgSz w:w="12240" w:h="15840"/>
          <w:pgMar w:header="766" w:footer="0" w:top="980" w:bottom="280" w:left="1000" w:right="820"/>
        </w:sectPr>
      </w:pPr>
    </w:p>
    <w:p>
      <w:pPr>
        <w:pStyle w:val="BodyText"/>
        <w:spacing w:before="8"/>
        <w:rPr>
          <w:b/>
          <w:sz w:val="6"/>
        </w:rPr>
      </w:pPr>
    </w:p>
    <w:p>
      <w:pPr>
        <w:pStyle w:val="BodyText"/>
        <w:spacing w:line="30" w:lineRule="exact"/>
        <w:ind w:left="686"/>
        <w:rPr>
          <w:sz w:val="3"/>
        </w:rPr>
      </w:pPr>
      <w:r>
        <w:rPr>
          <w:position w:val="0"/>
          <w:sz w:val="3"/>
        </w:rPr>
        <w:pict>
          <v:group style="width:468pt;height:1.5pt;mso-position-horizontal-relative:char;mso-position-vertical-relative:line" coordorigin="0,0" coordsize="9360,30">
            <v:line style="position:absolute" from="0,15" to="9360,15" stroked="true" strokeweight="1.5pt" strokecolor="#ec7c30">
              <v:stroke dashstyle="solid"/>
            </v:line>
          </v:group>
        </w:pict>
      </w:r>
      <w:r>
        <w:rPr>
          <w:position w:val="0"/>
          <w:sz w:val="3"/>
        </w:rPr>
      </w:r>
    </w:p>
    <w:p>
      <w:pPr>
        <w:pStyle w:val="BodyText"/>
        <w:rPr>
          <w:b/>
          <w:sz w:val="20"/>
        </w:rPr>
      </w:pPr>
    </w:p>
    <w:p>
      <w:pPr>
        <w:pStyle w:val="BodyText"/>
        <w:rPr>
          <w:b/>
          <w:sz w:val="20"/>
        </w:rPr>
      </w:pPr>
    </w:p>
    <w:p>
      <w:pPr>
        <w:pStyle w:val="BodyText"/>
        <w:spacing w:before="8"/>
        <w:rPr>
          <w:b/>
          <w:sz w:val="29"/>
        </w:rPr>
      </w:pPr>
      <w:r>
        <w:rPr/>
        <w:drawing>
          <wp:anchor distT="0" distB="0" distL="0" distR="0" allowOverlap="1" layoutInCell="1" locked="0" behindDoc="0" simplePos="0" relativeHeight="175">
            <wp:simplePos x="0" y="0"/>
            <wp:positionH relativeFrom="page">
              <wp:posOffset>1735903</wp:posOffset>
            </wp:positionH>
            <wp:positionV relativeFrom="paragraph">
              <wp:posOffset>241674</wp:posOffset>
            </wp:positionV>
            <wp:extent cx="4648267" cy="5717286"/>
            <wp:effectExtent l="0" t="0" r="0" b="0"/>
            <wp:wrapTopAndBottom/>
            <wp:docPr id="31" name="image52.jpeg"/>
            <wp:cNvGraphicFramePr>
              <a:graphicFrameLocks noChangeAspect="1"/>
            </wp:cNvGraphicFramePr>
            <a:graphic>
              <a:graphicData uri="http://schemas.openxmlformats.org/drawingml/2006/picture">
                <pic:pic>
                  <pic:nvPicPr>
                    <pic:cNvPr id="32" name="image52.jpeg"/>
                    <pic:cNvPicPr/>
                  </pic:nvPicPr>
                  <pic:blipFill>
                    <a:blip r:embed="rId134" cstate="print"/>
                    <a:stretch>
                      <a:fillRect/>
                    </a:stretch>
                  </pic:blipFill>
                  <pic:spPr>
                    <a:xfrm>
                      <a:off x="0" y="0"/>
                      <a:ext cx="4648267" cy="5717286"/>
                    </a:xfrm>
                    <a:prstGeom prst="rect">
                      <a:avLst/>
                    </a:prstGeom>
                  </pic:spPr>
                </pic:pic>
              </a:graphicData>
            </a:graphic>
          </wp:anchor>
        </w:drawing>
      </w:r>
    </w:p>
    <w:p>
      <w:pPr>
        <w:spacing w:after="0"/>
        <w:rPr>
          <w:sz w:val="29"/>
        </w:rPr>
        <w:sectPr>
          <w:headerReference w:type="default" r:id="rId131"/>
          <w:headerReference w:type="even" r:id="rId132"/>
          <w:footerReference w:type="default" r:id="rId133"/>
          <w:pgSz w:w="12240" w:h="15840"/>
          <w:pgMar w:header="766" w:footer="0" w:top="980" w:bottom="280" w:left="1000" w:right="820"/>
        </w:sectPr>
      </w:pPr>
    </w:p>
    <w:p>
      <w:pPr>
        <w:pStyle w:val="BodyText"/>
        <w:spacing w:before="8"/>
        <w:rPr>
          <w:b/>
          <w:sz w:val="6"/>
        </w:rPr>
      </w:pPr>
    </w:p>
    <w:p>
      <w:pPr>
        <w:pStyle w:val="BodyText"/>
        <w:spacing w:line="30" w:lineRule="exact"/>
        <w:ind w:left="686"/>
        <w:rPr>
          <w:sz w:val="3"/>
        </w:rPr>
      </w:pPr>
      <w:r>
        <w:rPr>
          <w:position w:val="0"/>
          <w:sz w:val="3"/>
        </w:rPr>
        <w:pict>
          <v:group style="width:468pt;height:1.5pt;mso-position-horizontal-relative:char;mso-position-vertical-relative:line" coordorigin="0,0" coordsize="9360,30">
            <v:line style="position:absolute" from="0,15" to="9360,15" stroked="true" strokeweight="1.5pt" strokecolor="#ec7c30">
              <v:stroke dashstyle="solid"/>
            </v:line>
          </v:group>
        </w:pict>
      </w:r>
      <w:r>
        <w:rPr>
          <w:position w:val="0"/>
          <w:sz w:val="3"/>
        </w:rPr>
      </w:r>
    </w:p>
    <w:p>
      <w:pPr>
        <w:pStyle w:val="BodyText"/>
        <w:rPr>
          <w:b/>
          <w:sz w:val="20"/>
        </w:rPr>
      </w:pPr>
    </w:p>
    <w:p>
      <w:pPr>
        <w:pStyle w:val="BodyText"/>
        <w:rPr>
          <w:b/>
          <w:sz w:val="20"/>
        </w:rPr>
      </w:pPr>
    </w:p>
    <w:p>
      <w:pPr>
        <w:pStyle w:val="BodyText"/>
        <w:spacing w:before="8"/>
        <w:rPr>
          <w:b/>
          <w:sz w:val="29"/>
        </w:rPr>
      </w:pPr>
      <w:r>
        <w:rPr/>
        <w:drawing>
          <wp:anchor distT="0" distB="0" distL="0" distR="0" allowOverlap="1" layoutInCell="1" locked="0" behindDoc="0" simplePos="0" relativeHeight="177">
            <wp:simplePos x="0" y="0"/>
            <wp:positionH relativeFrom="page">
              <wp:posOffset>1735903</wp:posOffset>
            </wp:positionH>
            <wp:positionV relativeFrom="paragraph">
              <wp:posOffset>241640</wp:posOffset>
            </wp:positionV>
            <wp:extent cx="4648761" cy="6147244"/>
            <wp:effectExtent l="0" t="0" r="0" b="0"/>
            <wp:wrapTopAndBottom/>
            <wp:docPr id="33" name="image53.jpeg"/>
            <wp:cNvGraphicFramePr>
              <a:graphicFrameLocks noChangeAspect="1"/>
            </wp:cNvGraphicFramePr>
            <a:graphic>
              <a:graphicData uri="http://schemas.openxmlformats.org/drawingml/2006/picture">
                <pic:pic>
                  <pic:nvPicPr>
                    <pic:cNvPr id="34" name="image53.jpeg"/>
                    <pic:cNvPicPr/>
                  </pic:nvPicPr>
                  <pic:blipFill>
                    <a:blip r:embed="rId138" cstate="print"/>
                    <a:stretch>
                      <a:fillRect/>
                    </a:stretch>
                  </pic:blipFill>
                  <pic:spPr>
                    <a:xfrm>
                      <a:off x="0" y="0"/>
                      <a:ext cx="4648761" cy="6147244"/>
                    </a:xfrm>
                    <a:prstGeom prst="rect">
                      <a:avLst/>
                    </a:prstGeom>
                  </pic:spPr>
                </pic:pic>
              </a:graphicData>
            </a:graphic>
          </wp:anchor>
        </w:drawing>
      </w:r>
    </w:p>
    <w:p>
      <w:pPr>
        <w:spacing w:after="0"/>
        <w:rPr>
          <w:sz w:val="29"/>
        </w:rPr>
        <w:sectPr>
          <w:headerReference w:type="even" r:id="rId135"/>
          <w:headerReference w:type="default" r:id="rId136"/>
          <w:footerReference w:type="even" r:id="rId137"/>
          <w:pgSz w:w="12240" w:h="15840"/>
          <w:pgMar w:header="766" w:footer="0" w:top="980" w:bottom="280" w:left="1000" w:right="820"/>
        </w:sectPr>
      </w:pPr>
    </w:p>
    <w:p>
      <w:pPr>
        <w:pStyle w:val="BodyText"/>
        <w:spacing w:before="8"/>
        <w:rPr>
          <w:b/>
          <w:sz w:val="6"/>
        </w:rPr>
      </w:pPr>
    </w:p>
    <w:p>
      <w:pPr>
        <w:pStyle w:val="BodyText"/>
        <w:spacing w:line="30" w:lineRule="exact"/>
        <w:ind w:left="686"/>
        <w:rPr>
          <w:sz w:val="3"/>
        </w:rPr>
      </w:pPr>
      <w:r>
        <w:rPr>
          <w:position w:val="0"/>
          <w:sz w:val="3"/>
        </w:rPr>
        <w:pict>
          <v:group style="width:468pt;height:1.5pt;mso-position-horizontal-relative:char;mso-position-vertical-relative:line" coordorigin="0,0" coordsize="9360,30">
            <v:line style="position:absolute" from="0,15" to="9360,15" stroked="true" strokeweight="1.5pt" strokecolor="#ec7c30">
              <v:stroke dashstyle="solid"/>
            </v:line>
          </v:group>
        </w:pict>
      </w:r>
      <w:r>
        <w:rPr>
          <w:position w:val="0"/>
          <w:sz w:val="3"/>
        </w:rPr>
      </w:r>
    </w:p>
    <w:p>
      <w:pPr>
        <w:pStyle w:val="BodyText"/>
        <w:rPr>
          <w:b/>
          <w:sz w:val="20"/>
        </w:rPr>
      </w:pPr>
    </w:p>
    <w:p>
      <w:pPr>
        <w:pStyle w:val="BodyText"/>
        <w:rPr>
          <w:b/>
          <w:sz w:val="20"/>
        </w:rPr>
      </w:pPr>
    </w:p>
    <w:p>
      <w:pPr>
        <w:pStyle w:val="BodyText"/>
        <w:spacing w:before="8"/>
        <w:rPr>
          <w:b/>
          <w:sz w:val="29"/>
        </w:rPr>
      </w:pPr>
      <w:r>
        <w:rPr/>
        <w:drawing>
          <wp:anchor distT="0" distB="0" distL="0" distR="0" allowOverlap="1" layoutInCell="1" locked="0" behindDoc="0" simplePos="0" relativeHeight="179">
            <wp:simplePos x="0" y="0"/>
            <wp:positionH relativeFrom="page">
              <wp:posOffset>1735903</wp:posOffset>
            </wp:positionH>
            <wp:positionV relativeFrom="paragraph">
              <wp:posOffset>241674</wp:posOffset>
            </wp:positionV>
            <wp:extent cx="4648267" cy="5961316"/>
            <wp:effectExtent l="0" t="0" r="0" b="0"/>
            <wp:wrapTopAndBottom/>
            <wp:docPr id="35" name="image54.jpeg"/>
            <wp:cNvGraphicFramePr>
              <a:graphicFrameLocks noChangeAspect="1"/>
            </wp:cNvGraphicFramePr>
            <a:graphic>
              <a:graphicData uri="http://schemas.openxmlformats.org/drawingml/2006/picture">
                <pic:pic>
                  <pic:nvPicPr>
                    <pic:cNvPr id="36" name="image54.jpeg"/>
                    <pic:cNvPicPr/>
                  </pic:nvPicPr>
                  <pic:blipFill>
                    <a:blip r:embed="rId142" cstate="print"/>
                    <a:stretch>
                      <a:fillRect/>
                    </a:stretch>
                  </pic:blipFill>
                  <pic:spPr>
                    <a:xfrm>
                      <a:off x="0" y="0"/>
                      <a:ext cx="4648267" cy="5961316"/>
                    </a:xfrm>
                    <a:prstGeom prst="rect">
                      <a:avLst/>
                    </a:prstGeom>
                  </pic:spPr>
                </pic:pic>
              </a:graphicData>
            </a:graphic>
          </wp:anchor>
        </w:drawing>
      </w:r>
    </w:p>
    <w:p>
      <w:pPr>
        <w:spacing w:after="0"/>
        <w:rPr>
          <w:sz w:val="29"/>
        </w:rPr>
        <w:sectPr>
          <w:headerReference w:type="default" r:id="rId139"/>
          <w:headerReference w:type="even" r:id="rId140"/>
          <w:footerReference w:type="default" r:id="rId141"/>
          <w:pgSz w:w="12240" w:h="15840"/>
          <w:pgMar w:header="766" w:footer="0" w:top="980" w:bottom="280" w:left="1000" w:right="820"/>
        </w:sectPr>
      </w:pPr>
    </w:p>
    <w:p>
      <w:pPr>
        <w:pStyle w:val="BodyText"/>
        <w:spacing w:before="8"/>
        <w:rPr>
          <w:b/>
          <w:sz w:val="6"/>
        </w:rPr>
      </w:pPr>
    </w:p>
    <w:p>
      <w:pPr>
        <w:pStyle w:val="BodyText"/>
        <w:spacing w:line="30" w:lineRule="exact"/>
        <w:ind w:left="686"/>
        <w:rPr>
          <w:sz w:val="3"/>
        </w:rPr>
      </w:pPr>
      <w:r>
        <w:rPr>
          <w:position w:val="0"/>
          <w:sz w:val="3"/>
        </w:rPr>
        <w:pict>
          <v:group style="width:468pt;height:1.5pt;mso-position-horizontal-relative:char;mso-position-vertical-relative:line" coordorigin="0,0" coordsize="9360,30">
            <v:line style="position:absolute" from="0,15" to="9360,15" stroked="true" strokeweight="1.5pt" strokecolor="#ec7c30">
              <v:stroke dashstyle="solid"/>
            </v:line>
          </v:group>
        </w:pict>
      </w:r>
      <w:r>
        <w:rPr>
          <w:position w:val="0"/>
          <w:sz w:val="3"/>
        </w:rPr>
      </w:r>
    </w:p>
    <w:p>
      <w:pPr>
        <w:pStyle w:val="BodyText"/>
        <w:rPr>
          <w:b/>
          <w:sz w:val="20"/>
        </w:rPr>
      </w:pPr>
    </w:p>
    <w:p>
      <w:pPr>
        <w:pStyle w:val="BodyText"/>
        <w:rPr>
          <w:b/>
          <w:sz w:val="20"/>
        </w:rPr>
      </w:pPr>
    </w:p>
    <w:p>
      <w:pPr>
        <w:pStyle w:val="BodyText"/>
        <w:spacing w:before="8"/>
        <w:rPr>
          <w:b/>
          <w:sz w:val="29"/>
        </w:rPr>
      </w:pPr>
      <w:r>
        <w:rPr/>
        <w:drawing>
          <wp:anchor distT="0" distB="0" distL="0" distR="0" allowOverlap="1" layoutInCell="1" locked="0" behindDoc="0" simplePos="0" relativeHeight="181">
            <wp:simplePos x="0" y="0"/>
            <wp:positionH relativeFrom="page">
              <wp:posOffset>1735903</wp:posOffset>
            </wp:positionH>
            <wp:positionV relativeFrom="paragraph">
              <wp:posOffset>241674</wp:posOffset>
            </wp:positionV>
            <wp:extent cx="4555302" cy="5996178"/>
            <wp:effectExtent l="0" t="0" r="0" b="0"/>
            <wp:wrapTopAndBottom/>
            <wp:docPr id="37" name="image55.jpeg"/>
            <wp:cNvGraphicFramePr>
              <a:graphicFrameLocks noChangeAspect="1"/>
            </wp:cNvGraphicFramePr>
            <a:graphic>
              <a:graphicData uri="http://schemas.openxmlformats.org/drawingml/2006/picture">
                <pic:pic>
                  <pic:nvPicPr>
                    <pic:cNvPr id="38" name="image55.jpeg"/>
                    <pic:cNvPicPr/>
                  </pic:nvPicPr>
                  <pic:blipFill>
                    <a:blip r:embed="rId146" cstate="print"/>
                    <a:stretch>
                      <a:fillRect/>
                    </a:stretch>
                  </pic:blipFill>
                  <pic:spPr>
                    <a:xfrm>
                      <a:off x="0" y="0"/>
                      <a:ext cx="4555302" cy="5996178"/>
                    </a:xfrm>
                    <a:prstGeom prst="rect">
                      <a:avLst/>
                    </a:prstGeom>
                  </pic:spPr>
                </pic:pic>
              </a:graphicData>
            </a:graphic>
          </wp:anchor>
        </w:drawing>
      </w:r>
    </w:p>
    <w:p>
      <w:pPr>
        <w:spacing w:after="0"/>
        <w:rPr>
          <w:sz w:val="29"/>
        </w:rPr>
        <w:sectPr>
          <w:headerReference w:type="even" r:id="rId143"/>
          <w:headerReference w:type="default" r:id="rId144"/>
          <w:footerReference w:type="even" r:id="rId145"/>
          <w:pgSz w:w="12240" w:h="15840"/>
          <w:pgMar w:header="766" w:footer="0" w:top="980" w:bottom="280" w:left="1000" w:right="820"/>
        </w:sectPr>
      </w:pPr>
    </w:p>
    <w:p>
      <w:pPr>
        <w:pStyle w:val="BodyText"/>
        <w:spacing w:before="8"/>
        <w:rPr>
          <w:b/>
          <w:sz w:val="6"/>
        </w:rPr>
      </w:pPr>
    </w:p>
    <w:p>
      <w:pPr>
        <w:pStyle w:val="BodyText"/>
        <w:spacing w:line="30" w:lineRule="exact"/>
        <w:ind w:left="686"/>
        <w:rPr>
          <w:sz w:val="3"/>
        </w:rPr>
      </w:pPr>
      <w:r>
        <w:rPr>
          <w:position w:val="0"/>
          <w:sz w:val="3"/>
        </w:rPr>
        <w:pict>
          <v:group style="width:468pt;height:1.5pt;mso-position-horizontal-relative:char;mso-position-vertical-relative:line" coordorigin="0,0" coordsize="9360,30">
            <v:line style="position:absolute" from="0,15" to="9360,15" stroked="true" strokeweight="1.5pt" strokecolor="#ec7c30">
              <v:stroke dashstyle="solid"/>
            </v:line>
          </v:group>
        </w:pict>
      </w:r>
      <w:r>
        <w:rPr>
          <w:position w:val="0"/>
          <w:sz w:val="3"/>
        </w:rPr>
      </w:r>
    </w:p>
    <w:p>
      <w:pPr>
        <w:pStyle w:val="BodyText"/>
        <w:rPr>
          <w:b/>
          <w:sz w:val="20"/>
        </w:rPr>
      </w:pPr>
    </w:p>
    <w:p>
      <w:pPr>
        <w:pStyle w:val="BodyText"/>
        <w:rPr>
          <w:b/>
          <w:sz w:val="20"/>
        </w:rPr>
      </w:pPr>
    </w:p>
    <w:p>
      <w:pPr>
        <w:pStyle w:val="BodyText"/>
        <w:spacing w:before="8"/>
        <w:rPr>
          <w:b/>
          <w:sz w:val="29"/>
        </w:rPr>
      </w:pPr>
      <w:r>
        <w:rPr/>
        <w:drawing>
          <wp:anchor distT="0" distB="0" distL="0" distR="0" allowOverlap="1" layoutInCell="1" locked="0" behindDoc="0" simplePos="0" relativeHeight="183">
            <wp:simplePos x="0" y="0"/>
            <wp:positionH relativeFrom="page">
              <wp:posOffset>1735903</wp:posOffset>
            </wp:positionH>
            <wp:positionV relativeFrom="paragraph">
              <wp:posOffset>241674</wp:posOffset>
            </wp:positionV>
            <wp:extent cx="4462336" cy="6321552"/>
            <wp:effectExtent l="0" t="0" r="0" b="0"/>
            <wp:wrapTopAndBottom/>
            <wp:docPr id="39" name="image56.jpeg"/>
            <wp:cNvGraphicFramePr>
              <a:graphicFrameLocks noChangeAspect="1"/>
            </wp:cNvGraphicFramePr>
            <a:graphic>
              <a:graphicData uri="http://schemas.openxmlformats.org/drawingml/2006/picture">
                <pic:pic>
                  <pic:nvPicPr>
                    <pic:cNvPr id="40" name="image56.jpeg"/>
                    <pic:cNvPicPr/>
                  </pic:nvPicPr>
                  <pic:blipFill>
                    <a:blip r:embed="rId149" cstate="print"/>
                    <a:stretch>
                      <a:fillRect/>
                    </a:stretch>
                  </pic:blipFill>
                  <pic:spPr>
                    <a:xfrm>
                      <a:off x="0" y="0"/>
                      <a:ext cx="4462336" cy="6321552"/>
                    </a:xfrm>
                    <a:prstGeom prst="rect">
                      <a:avLst/>
                    </a:prstGeom>
                  </pic:spPr>
                </pic:pic>
              </a:graphicData>
            </a:graphic>
          </wp:anchor>
        </w:drawing>
      </w:r>
    </w:p>
    <w:sectPr>
      <w:headerReference w:type="default" r:id="rId147"/>
      <w:footerReference w:type="default" r:id="rId148"/>
      <w:pgSz w:w="12240" w:h="15840"/>
      <w:pgMar w:header="766" w:footer="0" w:top="980" w:bottom="280" w:left="1000" w:right="8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libri Light">
    <w:altName w:val="Calibri Light"/>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900002pt;margin-top:735.5pt;width:466.65pt;height:26.8pt;mso-position-horizontal-relative:page;mso-position-vertical-relative:page;z-index:-258980864" coordorigin="1818,14710" coordsize="9333,536">
          <v:rect style="position:absolute;left:10431;top:14710;width:720;height:504" filled="true" fillcolor="#7e7e7e" stroked="false">
            <v:fill type="solid"/>
          </v:rect>
          <v:line style="position:absolute" from="1818,15231" to="11148,15231" stroked="true" strokeweight="1.45pt" strokecolor="#ec7c30">
            <v:stroke dashstyle="solid"/>
          </v:line>
          <w10:wrap type="none"/>
        </v:group>
      </w:pict>
    </w:r>
    <w:r>
      <w:rPr/>
      <w:pict>
        <v:shape style="position:absolute;margin-left:538.869995pt;margin-top:742.616028pt;width:13.1pt;height:15.95pt;mso-position-horizontal-relative:page;mso-position-vertical-relative:page;z-index:-258979840" type="#_x0000_t202" filled="false" stroked="false">
          <v:textbox inset="0,0,0,0">
            <w:txbxContent>
              <w:p>
                <w:pPr>
                  <w:spacing w:line="304" w:lineRule="exact" w:before="0"/>
                  <w:ind w:left="60" w:right="0" w:firstLine="0"/>
                  <w:jc w:val="left"/>
                  <w:rPr>
                    <w:rFonts w:ascii="Calibri"/>
                    <w:sz w:val="28"/>
                  </w:rPr>
                </w:pPr>
                <w:r>
                  <w:rPr/>
                  <w:fldChar w:fldCharType="begin"/>
                </w:r>
                <w:r>
                  <w:rPr>
                    <w:rFonts w:ascii="Calibri"/>
                    <w:color w:val="FFFFFF"/>
                    <w:w w:val="99"/>
                    <w:sz w:val="28"/>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900002pt;margin-top:735.5pt;width:466.65pt;height:26.8pt;mso-position-horizontal-relative:page;mso-position-vertical-relative:page;z-index:-258978816" coordorigin="1818,14710" coordsize="9333,536">
          <v:rect style="position:absolute;left:10431;top:14710;width:720;height:504" filled="true" fillcolor="#7e7e7e" stroked="false">
            <v:fill type="solid"/>
          </v:rect>
          <v:line style="position:absolute" from="1818,15231" to="11148,15231" stroked="true" strokeweight="1.45pt" strokecolor="#ec7c30">
            <v:stroke dashstyle="solid"/>
          </v:line>
          <w10:wrap type="none"/>
        </v:group>
      </w:pict>
    </w:r>
    <w:r>
      <w:rPr/>
      <w:pict>
        <v:shape style="position:absolute;margin-left:538.869995pt;margin-top:742.616028pt;width:13.1pt;height:15.95pt;mso-position-horizontal-relative:page;mso-position-vertical-relative:page;z-index:-258977792" type="#_x0000_t202" filled="false" stroked="false">
          <v:textbox inset="0,0,0,0">
            <w:txbxContent>
              <w:p>
                <w:pPr>
                  <w:spacing w:line="304" w:lineRule="exact" w:before="0"/>
                  <w:ind w:left="60" w:right="0" w:firstLine="0"/>
                  <w:jc w:val="left"/>
                  <w:rPr>
                    <w:rFonts w:ascii="Calibri"/>
                    <w:sz w:val="28"/>
                  </w:rPr>
                </w:pPr>
                <w:r>
                  <w:rPr/>
                  <w:fldChar w:fldCharType="begin"/>
                </w:r>
                <w:r>
                  <w:rPr>
                    <w:rFonts w:ascii="Calibri"/>
                    <w:color w:val="FFFFFF"/>
                    <w:w w:val="99"/>
                    <w:sz w:val="28"/>
                  </w:rPr>
                  <w:instrText> PAGE </w:instrText>
                </w:r>
                <w:r>
                  <w:rPr/>
                  <w:fldChar w:fldCharType="separate"/>
                </w:r>
                <w:r>
                  <w:rPr/>
                  <w:t>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900002pt;margin-top:735.5pt;width:466.65pt;height:26.8pt;mso-position-horizontal-relative:page;mso-position-vertical-relative:page;z-index:-258972672" coordorigin="1818,14710" coordsize="9333,536">
          <v:rect style="position:absolute;left:10431;top:14710;width:720;height:504" filled="true" fillcolor="#7e7e7e" stroked="false">
            <v:fill type="solid"/>
          </v:rect>
          <v:line style="position:absolute" from="1818,15231" to="11148,15231" stroked="true" strokeweight="1.45pt" strokecolor="#ec7c30">
            <v:stroke dashstyle="solid"/>
          </v:line>
          <w10:wrap type="none"/>
        </v:group>
      </w:pict>
    </w:r>
    <w:r>
      <w:rPr/>
      <w:pict>
        <v:shape style="position:absolute;margin-left:531.909973pt;margin-top:742.616028pt;width:20.05pt;height:15.95pt;mso-position-horizontal-relative:page;mso-position-vertical-relative:page;z-index:-258971648" type="#_x0000_t202" filled="false" stroked="false">
          <v:textbox inset="0,0,0,0">
            <w:txbxContent>
              <w:p>
                <w:pPr>
                  <w:spacing w:line="304" w:lineRule="exact" w:before="0"/>
                  <w:ind w:left="60" w:right="0" w:firstLine="0"/>
                  <w:jc w:val="left"/>
                  <w:rPr>
                    <w:rFonts w:ascii="Calibri"/>
                    <w:sz w:val="28"/>
                  </w:rPr>
                </w:pPr>
                <w:r>
                  <w:rPr/>
                  <w:fldChar w:fldCharType="begin"/>
                </w:r>
                <w:r>
                  <w:rPr>
                    <w:rFonts w:ascii="Calibri"/>
                    <w:color w:val="FFFFFF"/>
                    <w:sz w:val="28"/>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900002pt;margin-top:735.5pt;width:466.65pt;height:26.8pt;mso-position-horizontal-relative:page;mso-position-vertical-relative:page;z-index:-258970624" coordorigin="1818,14710" coordsize="9333,536">
          <v:rect style="position:absolute;left:10431;top:14710;width:720;height:504" filled="true" fillcolor="#7e7e7e" stroked="false">
            <v:fill type="solid"/>
          </v:rect>
          <v:line style="position:absolute" from="1818,15231" to="11148,15231" stroked="true" strokeweight="1.45pt" strokecolor="#ec7c30">
            <v:stroke dashstyle="solid"/>
          </v:line>
          <w10:wrap type="none"/>
        </v:group>
      </w:pict>
    </w:r>
    <w:r>
      <w:rPr/>
      <w:pict>
        <v:shape style="position:absolute;margin-left:531.909973pt;margin-top:742.616028pt;width:20.05pt;height:15.95pt;mso-position-horizontal-relative:page;mso-position-vertical-relative:page;z-index:-258969600" type="#_x0000_t202" filled="false" stroked="false">
          <v:textbox inset="0,0,0,0">
            <w:txbxContent>
              <w:p>
                <w:pPr>
                  <w:spacing w:line="304" w:lineRule="exact" w:before="0"/>
                  <w:ind w:left="60" w:right="0" w:firstLine="0"/>
                  <w:jc w:val="left"/>
                  <w:rPr>
                    <w:rFonts w:ascii="Calibri"/>
                    <w:sz w:val="28"/>
                  </w:rPr>
                </w:pPr>
                <w:r>
                  <w:rPr/>
                  <w:fldChar w:fldCharType="begin"/>
                </w:r>
                <w:r>
                  <w:rPr>
                    <w:rFonts w:ascii="Calibri"/>
                    <w:color w:val="FFFFFF"/>
                    <w:sz w:val="28"/>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900002pt;margin-top:735.5pt;width:466.65pt;height:26.8pt;mso-position-horizontal-relative:page;mso-position-vertical-relative:page;z-index:-258964480" coordorigin="1818,14710" coordsize="9333,536">
          <v:rect style="position:absolute;left:10431;top:14710;width:720;height:504" filled="true" fillcolor="#7e7e7e" stroked="false">
            <v:fill type="solid"/>
          </v:rect>
          <v:line style="position:absolute" from="1818,15231" to="11148,15231" stroked="true" strokeweight="1.45pt" strokecolor="#ec7c30">
            <v:stroke dashstyle="solid"/>
          </v:line>
          <w10:wrap type="none"/>
        </v:group>
      </w:pict>
    </w:r>
    <w:r>
      <w:rPr/>
      <w:pict>
        <v:shape style="position:absolute;margin-left:529.75pt;margin-top:742.375977pt;width:22.1pt;height:16.2pt;mso-position-horizontal-relative:page;mso-position-vertical-relative:page;z-index:-258963456" type="#_x0000_t202" filled="false" stroked="false">
          <v:textbox inset="0,0,0,0">
            <w:txbxContent>
              <w:p>
                <w:pPr>
                  <w:spacing w:line="304" w:lineRule="exact" w:before="0"/>
                  <w:ind w:left="60" w:right="0" w:firstLine="0"/>
                  <w:jc w:val="left"/>
                  <w:rPr>
                    <w:rFonts w:ascii="Calibri"/>
                    <w:sz w:val="28"/>
                  </w:rPr>
                </w:pPr>
                <w:r>
                  <w:rPr/>
                  <w:fldChar w:fldCharType="begin"/>
                </w:r>
                <w:r>
                  <w:rPr>
                    <w:rFonts w:ascii="Calibri"/>
                    <w:color w:val="FFFFFF"/>
                    <w:sz w:val="28"/>
                  </w:rPr>
                  <w:instrText> PAGE </w:instrText>
                </w:r>
                <w:r>
                  <w:rPr/>
                  <w:fldChar w:fldCharType="separate"/>
                </w:r>
                <w:r>
                  <w:rPr/>
                  <w:t>41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0.900002pt;margin-top:735.5pt;width:466.65pt;height:26.8pt;mso-position-horizontal-relative:page;mso-position-vertical-relative:page;z-index:-258962432" coordorigin="1818,14710" coordsize="9333,536">
          <v:rect style="position:absolute;left:10431;top:14710;width:720;height:504" filled="true" fillcolor="#7e7e7e" stroked="false">
            <v:fill type="solid"/>
          </v:rect>
          <v:line style="position:absolute" from="1818,15231" to="11148,15231" stroked="true" strokeweight="1.45pt" strokecolor="#ec7c30">
            <v:stroke dashstyle="solid"/>
          </v:line>
          <w10:wrap type="none"/>
        </v:group>
      </w:pict>
    </w:r>
    <w:r>
      <w:rPr/>
      <w:pict>
        <v:shape style="position:absolute;margin-left:529.75pt;margin-top:742.375977pt;width:22.1pt;height:16.2pt;mso-position-horizontal-relative:page;mso-position-vertical-relative:page;z-index:-258961408" type="#_x0000_t202" filled="false" stroked="false">
          <v:textbox inset="0,0,0,0">
            <w:txbxContent>
              <w:p>
                <w:pPr>
                  <w:spacing w:line="304" w:lineRule="exact" w:before="0"/>
                  <w:ind w:left="60" w:right="0" w:firstLine="0"/>
                  <w:jc w:val="left"/>
                  <w:rPr>
                    <w:rFonts w:ascii="Calibri"/>
                    <w:sz w:val="28"/>
                  </w:rPr>
                </w:pPr>
                <w:r>
                  <w:rPr/>
                  <w:fldChar w:fldCharType="begin"/>
                </w:r>
                <w:r>
                  <w:rPr>
                    <w:rFonts w:ascii="Calibri"/>
                    <w:color w:val="FFFFFF"/>
                    <w:sz w:val="28"/>
                  </w:rPr>
                  <w:instrText> PAGE </w:instrText>
                </w:r>
                <w:r>
                  <w:rPr/>
                  <w:fldChar w:fldCharType="separate"/>
                </w:r>
                <w:r>
                  <w:rPr/>
                  <w:t>40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800003pt;margin-top:735.5pt;width:466.5pt;height:26.5pt;mso-position-horizontal-relative:page;mso-position-vertical-relative:page;z-index:-258956288" coordorigin="1776,14710" coordsize="9330,530">
          <v:rect style="position:absolute;left:10386;top:14710;width:720;height:504" filled="true" fillcolor="#7e7e7e" stroked="false">
            <v:fill type="solid"/>
          </v:rect>
          <v:line style="position:absolute" from="1776,15225" to="11106,15225" stroked="true" strokeweight="1.45pt" strokecolor="#ec7c30">
            <v:stroke dashstyle="solid"/>
          </v:line>
          <w10:wrap type="none"/>
        </v:group>
      </w:pict>
    </w:r>
    <w:r>
      <w:rPr/>
      <w:pict>
        <v:shape style="position:absolute;margin-left:529.75pt;margin-top:742.616028pt;width:19.95pt;height:15.95pt;mso-position-horizontal-relative:page;mso-position-vertical-relative:page;z-index:-258955264" type="#_x0000_t202" filled="false" stroked="false">
          <v:textbox inset="0,0,0,0">
            <w:txbxContent>
              <w:p>
                <w:pPr>
                  <w:spacing w:line="304" w:lineRule="exact" w:before="0"/>
                  <w:ind w:left="60" w:right="0" w:firstLine="0"/>
                  <w:jc w:val="left"/>
                  <w:rPr>
                    <w:rFonts w:ascii="Calibri"/>
                    <w:sz w:val="28"/>
                  </w:rPr>
                </w:pPr>
                <w:r>
                  <w:rPr/>
                  <w:fldChar w:fldCharType="begin"/>
                </w:r>
                <w:r>
                  <w:rPr>
                    <w:rFonts w:ascii="Calibri"/>
                    <w:color w:val="FFFFFF"/>
                    <w:sz w:val="28"/>
                  </w:rPr>
                  <w:instrText> PAGE </w:instrText>
                </w:r>
                <w:r>
                  <w:rPr/>
                  <w:fldChar w:fldCharType="separate"/>
                </w:r>
                <w:r>
                  <w:rPr/>
                  <w:t>67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800003pt;margin-top:735.5pt;width:466.5pt;height:26.5pt;mso-position-horizontal-relative:page;mso-position-vertical-relative:page;z-index:-258954240" coordorigin="1776,14710" coordsize="9330,530">
          <v:rect style="position:absolute;left:10386;top:14710;width:720;height:504" filled="true" fillcolor="#7e7e7e" stroked="false">
            <v:fill type="solid"/>
          </v:rect>
          <v:line style="position:absolute" from="1776,15225" to="11106,15225" stroked="true" strokeweight="1.45pt" strokecolor="#ec7c30">
            <v:stroke dashstyle="solid"/>
          </v:line>
          <w10:wrap type="none"/>
        </v:group>
      </w:pict>
    </w:r>
    <w:r>
      <w:rPr/>
      <w:pict>
        <v:shape style="position:absolute;margin-left:529.75pt;margin-top:742.616028pt;width:19.95pt;height:15.95pt;mso-position-horizontal-relative:page;mso-position-vertical-relative:page;z-index:-258953216" type="#_x0000_t202" filled="false" stroked="false">
          <v:textbox inset="0,0,0,0">
            <w:txbxContent>
              <w:p>
                <w:pPr>
                  <w:spacing w:line="304" w:lineRule="exact" w:before="0"/>
                  <w:ind w:left="60" w:right="0" w:firstLine="0"/>
                  <w:jc w:val="left"/>
                  <w:rPr>
                    <w:rFonts w:ascii="Calibri"/>
                    <w:sz w:val="28"/>
                  </w:rPr>
                </w:pPr>
                <w:r>
                  <w:rPr/>
                  <w:fldChar w:fldCharType="begin"/>
                </w:r>
                <w:r>
                  <w:rPr>
                    <w:rFonts w:ascii="Calibri"/>
                    <w:color w:val="FFFFFF"/>
                    <w:sz w:val="28"/>
                  </w:rPr>
                  <w:instrText> PAGE </w:instrText>
                </w:r>
                <w:r>
                  <w:rPr/>
                  <w:fldChar w:fldCharType="separate"/>
                </w:r>
                <w:r>
                  <w:rPr/>
                  <w:t>68</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6.528pt;margin-top:71.579964pt;width:461.3pt;height:85.7pt;mso-position-horizontal-relative:page;mso-position-vertical-relative:page;z-index:251658240"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26"/>
                </w:tblGrid>
                <w:tr>
                  <w:trPr>
                    <w:trHeight w:val="828" w:hRule="atLeast"/>
                  </w:trPr>
                  <w:tc>
                    <w:tcPr>
                      <w:tcW w:w="9226" w:type="dxa"/>
                    </w:tcPr>
                    <w:p>
                      <w:pPr>
                        <w:pStyle w:val="TableParagraph"/>
                        <w:spacing w:line="399" w:lineRule="exact"/>
                        <w:ind w:left="177" w:right="177"/>
                        <w:rPr>
                          <w:b/>
                          <w:sz w:val="36"/>
                        </w:rPr>
                      </w:pPr>
                      <w:r>
                        <w:rPr>
                          <w:b/>
                          <w:sz w:val="36"/>
                        </w:rPr>
                        <w:t>ECOLE SUPERIURE DE GESTION ET D’ECONOMIE</w:t>
                      </w:r>
                    </w:p>
                    <w:p>
                      <w:pPr>
                        <w:pStyle w:val="TableParagraph"/>
                        <w:spacing w:line="407" w:lineRule="exact" w:before="3"/>
                        <w:ind w:left="177" w:right="169"/>
                        <w:rPr>
                          <w:b/>
                          <w:sz w:val="36"/>
                        </w:rPr>
                      </w:pPr>
                      <w:r>
                        <w:rPr>
                          <w:b/>
                          <w:sz w:val="36"/>
                        </w:rPr>
                        <w:t>NUMERIQUE</w:t>
                      </w:r>
                    </w:p>
                  </w:tc>
                </w:tr>
                <w:tr>
                  <w:trPr>
                    <w:trHeight w:val="884" w:hRule="atLeast"/>
                  </w:trPr>
                  <w:tc>
                    <w:tcPr>
                      <w:tcW w:w="9226" w:type="dxa"/>
                    </w:tcPr>
                    <w:p>
                      <w:pPr>
                        <w:pStyle w:val="TableParagraph"/>
                        <w:spacing w:line="810" w:lineRule="exact"/>
                        <w:ind w:left="134" w:right="177"/>
                        <w:rPr>
                          <w:b/>
                          <w:sz w:val="72"/>
                        </w:rPr>
                      </w:pPr>
                      <w:r>
                        <w:rPr>
                          <w:b/>
                          <w:sz w:val="72"/>
                        </w:rPr>
                        <w:t>E.S.G.E.N</w:t>
                      </w:r>
                    </w:p>
                  </w:tc>
                </w:tr>
              </w:tbl>
              <w:p>
                <w:pPr>
                  <w:pStyle w:val="BodyText"/>
                </w:pPr>
              </w:p>
            </w:txbxContent>
          </v:textbox>
          <w10:wrap type="none"/>
        </v:shape>
      </w:pict>
    </w:r>
    <w:r>
      <w:rPr/>
      <w:drawing>
        <wp:anchor distT="0" distB="0" distL="0" distR="0" allowOverlap="1" layoutInCell="1" locked="0" behindDoc="1" simplePos="0" relativeHeight="244311040">
          <wp:simplePos x="0" y="0"/>
          <wp:positionH relativeFrom="page">
            <wp:posOffset>2402204</wp:posOffset>
          </wp:positionH>
          <wp:positionV relativeFrom="page">
            <wp:posOffset>1492250</wp:posOffset>
          </wp:positionV>
          <wp:extent cx="491489" cy="504825"/>
          <wp:effectExtent l="0" t="0" r="0" b="0"/>
          <wp:wrapNone/>
          <wp:docPr id="1" name="image1.png"/>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491489" cy="504825"/>
                  </a:xfrm>
                  <a:prstGeom prst="rect">
                    <a:avLst/>
                  </a:prstGeom>
                </pic:spPr>
              </pic:pic>
            </a:graphicData>
          </a:graphic>
        </wp:anchor>
      </w:drawing>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91104" from="85.050003pt,53.950001pt" to="553.050003pt,53.950001pt" stroked="true" strokeweight="1.5pt" strokecolor="#ec7c30">
          <v:stroke dashstyle="solid"/>
          <w10:wrap type="none"/>
        </v:line>
      </w:pict>
    </w:r>
    <w:r>
      <w:rPr/>
      <w:pict>
        <v:shape style="position:absolute;margin-left:83.984001pt;margin-top:35.335705pt;width:123.8pt;height:17.45pt;mso-position-horizontal-relative:page;mso-position-vertical-relative:page;z-index:-258990080" type="#_x0000_t202" filled="false" stroked="false">
          <v:textbox inset="0,0,0,0">
            <w:txbxContent>
              <w:p>
                <w:pPr>
                  <w:spacing w:before="6"/>
                  <w:ind w:left="20" w:right="0" w:firstLine="0"/>
                  <w:jc w:val="left"/>
                  <w:rPr>
                    <w:sz w:val="28"/>
                  </w:rPr>
                </w:pPr>
                <w:r>
                  <w:rPr>
                    <w:sz w:val="28"/>
                  </w:rPr>
                  <w:t>Liste des abréviations</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89056" from="85.050003pt,53.950001pt" to="553.050003pt,53.950001pt" stroked="true" strokeweight="1.5pt" strokecolor="#ec7c30">
          <v:stroke dashstyle="solid"/>
          <w10:wrap type="none"/>
        </v:line>
      </w:pict>
    </w:r>
    <w:r>
      <w:rPr/>
      <w:pict>
        <v:shape style="position:absolute;margin-left:87.103996pt;margin-top:35.335705pt;width:59.3pt;height:17.45pt;mso-position-horizontal-relative:page;mso-position-vertical-relative:page;z-index:-258988032" type="#_x0000_t202" filled="false" stroked="false">
          <v:textbox inset="0,0,0,0">
            <w:txbxContent>
              <w:p>
                <w:pPr>
                  <w:spacing w:before="6"/>
                  <w:ind w:left="20" w:right="0" w:firstLine="0"/>
                  <w:jc w:val="left"/>
                  <w:rPr>
                    <w:sz w:val="28"/>
                  </w:rPr>
                </w:pPr>
                <w:r>
                  <w:rPr>
                    <w:sz w:val="28"/>
                  </w:rPr>
                  <w:t>Sommaire</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87008" from="85.050003pt,53.950001pt" to="553.050003pt,53.950001pt" stroked="true" strokeweight="1.5pt" strokecolor="#ec7c30">
          <v:stroke dashstyle="solid"/>
          <w10:wrap type="none"/>
        </v:line>
      </w:pict>
    </w:r>
    <w:r>
      <w:rPr/>
      <w:pict>
        <v:shape style="position:absolute;margin-left:83.984001pt;margin-top:35.335705pt;width:46.8pt;height:17.45pt;mso-position-horizontal-relative:page;mso-position-vertical-relative:page;z-index:-258985984" type="#_x0000_t202" filled="false" stroked="false">
          <v:textbox inset="0,0,0,0">
            <w:txbxContent>
              <w:p>
                <w:pPr>
                  <w:spacing w:before="6"/>
                  <w:ind w:left="20" w:right="0" w:firstLine="0"/>
                  <w:jc w:val="left"/>
                  <w:rPr>
                    <w:sz w:val="28"/>
                  </w:rPr>
                </w:pPr>
                <w:r>
                  <w:rPr>
                    <w:sz w:val="28"/>
                  </w:rPr>
                  <w:t>Résumé</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84960" from="85.050003pt,53.950001pt" to="553.050003pt,53.950001pt" stroked="true" strokeweight="1.5pt" strokecolor="#ec7c30">
          <v:stroke dashstyle="solid"/>
          <w10:wrap type="none"/>
        </v:line>
      </w:pict>
    </w:r>
    <w:r>
      <w:rPr/>
      <w:pict>
        <v:shape style="position:absolute;margin-left:87.103996pt;margin-top:35.12664pt;width:107.45pt;height:15.3pt;mso-position-horizontal-relative:page;mso-position-vertical-relative:page;z-index:-258983936" type="#_x0000_t202" filled="false" stroked="false">
          <v:textbox inset="0,0,0,0">
            <w:txbxContent>
              <w:p>
                <w:pPr>
                  <w:pStyle w:val="BodyText"/>
                  <w:spacing w:before="10"/>
                  <w:ind w:left="20"/>
                </w:pPr>
                <w:r>
                  <w:rPr/>
                  <w:t>Introduction Générale</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82912" from="85.050003pt,53.950001pt" to="553.050003pt,53.950001pt" stroked="true" strokeweight="1.5pt" strokecolor="#ec7c30">
          <v:stroke dashstyle="solid"/>
          <w10:wrap type="none"/>
        </v:line>
      </w:pict>
    </w:r>
    <w:r>
      <w:rPr/>
      <w:pict>
        <v:shape style="position:absolute;margin-left:87.103996pt;margin-top:35.12664pt;width:107.45pt;height:15.3pt;mso-position-horizontal-relative:page;mso-position-vertical-relative:page;z-index:-258981888" type="#_x0000_t202" filled="false" stroked="false">
          <v:textbox inset="0,0,0,0">
            <w:txbxContent>
              <w:p>
                <w:pPr>
                  <w:pStyle w:val="BodyText"/>
                  <w:spacing w:before="10"/>
                  <w:ind w:left="20"/>
                </w:pPr>
                <w:r>
                  <w:rPr/>
                  <w:t>Introduction Générale</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76768" from="85.050003pt,53.950001pt" to="553.050003pt,53.950001pt" stroked="true" strokeweight="1.5pt" strokecolor="#ec7c30">
          <v:stroke dashstyle="solid"/>
          <w10:wrap type="none"/>
        </v:line>
      </w:pict>
    </w:r>
    <w:r>
      <w:rPr/>
      <w:pict>
        <v:shape style="position:absolute;margin-left:83.984001pt;margin-top:35.12664pt;width:395.5pt;height:15.3pt;mso-position-horizontal-relative:page;mso-position-vertical-relative:page;z-index:-258975744" type="#_x0000_t202" filled="false" stroked="false">
          <v:textbox inset="0,0,0,0">
            <w:txbxContent>
              <w:p>
                <w:pPr>
                  <w:pStyle w:val="BodyText"/>
                  <w:spacing w:before="10"/>
                  <w:ind w:left="20"/>
                </w:pPr>
                <w:r>
                  <w:rPr/>
                  <w:t>Chapitre 1 : Les solutions de paiements digitaux pour évaluer la satisfaction client</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74720" from="85.050003pt,53.950001pt" to="553.050003pt,53.950001pt" stroked="true" strokeweight="1.5pt" strokecolor="#ec7c30">
          <v:stroke dashstyle="solid"/>
          <w10:wrap type="none"/>
        </v:line>
      </w:pict>
    </w:r>
    <w:r>
      <w:rPr/>
      <w:pict>
        <v:shape style="position:absolute;margin-left:87.103996pt;margin-top:35.12664pt;width:395pt;height:15.3pt;mso-position-horizontal-relative:page;mso-position-vertical-relative:page;z-index:-258973696" type="#_x0000_t202" filled="false" stroked="false">
          <v:textbox inset="0,0,0,0">
            <w:txbxContent>
              <w:p>
                <w:pPr>
                  <w:pStyle w:val="BodyText"/>
                  <w:spacing w:before="10"/>
                  <w:ind w:left="20"/>
                </w:pPr>
                <w:r>
                  <w:rPr/>
                  <w:t>Chapitre 1 : Les solutions de paiements digitaux pour évaluer la satisfaction client</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68576" from="85.050003pt,53.950001pt" to="553.050003pt,53.950001pt" stroked="true" strokeweight="1.5pt" strokecolor="#ec7c30">
          <v:stroke dashstyle="solid"/>
          <w10:wrap type="none"/>
        </v:line>
      </w:pict>
    </w:r>
    <w:r>
      <w:rPr/>
      <w:pict>
        <v:shape style="position:absolute;margin-left:83.984001pt;margin-top:35.12664pt;width:469.85pt;height:15.3pt;mso-position-horizontal-relative:page;mso-position-vertical-relative:page;z-index:-258967552" type="#_x0000_t202" filled="false" stroked="false">
          <v:textbox inset="0,0,0,0">
            <w:txbxContent>
              <w:p>
                <w:pPr>
                  <w:pStyle w:val="BodyText"/>
                  <w:spacing w:before="10"/>
                  <w:ind w:left="20"/>
                </w:pPr>
                <w:r>
                  <w:rPr/>
                  <w:t>Chapitre 2 : Amélioration de BaridiMob afin d’optimiser l’expérience client chez d’Algérie poste</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66528" from="85.050003pt,53.950001pt" to="553.050003pt,53.950001pt" stroked="true" strokeweight="1.5pt" strokecolor="#ec7c30">
          <v:stroke dashstyle="solid"/>
          <w10:wrap type="none"/>
        </v:line>
      </w:pict>
    </w:r>
    <w:r>
      <w:rPr/>
      <w:pict>
        <v:shape style="position:absolute;margin-left:83.984001pt;margin-top:35.12664pt;width:469.85pt;height:15.3pt;mso-position-horizontal-relative:page;mso-position-vertical-relative:page;z-index:-258965504" type="#_x0000_t202" filled="false" stroked="false">
          <v:textbox inset="0,0,0,0">
            <w:txbxContent>
              <w:p>
                <w:pPr>
                  <w:pStyle w:val="BodyText"/>
                  <w:spacing w:before="10"/>
                  <w:ind w:left="20"/>
                </w:pPr>
                <w:r>
                  <w:rPr/>
                  <w:t>Chapitre 2 : Amélioration de BaridiMob afin d’optimiser l’expérience client chez d’Algérie poste</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60384" from="85.050003pt,53.950001pt" to="553.050003pt,53.950001pt" stroked="true" strokeweight="1.5pt" strokecolor="#ec7c30">
          <v:stroke dashstyle="solid"/>
          <w10:wrap type="none"/>
        </v:line>
      </w:pict>
    </w:r>
    <w:r>
      <w:rPr/>
      <w:pict>
        <v:shape style="position:absolute;margin-left:83.984001pt;margin-top:37.299999pt;width:92.4pt;height:13.05pt;mso-position-horizontal-relative:page;mso-position-vertical-relative:page;z-index:-25895936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Conclusion générale</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58336" from="85.050003pt,53.950001pt" to="553.050003pt,53.950001pt" stroked="true" strokeweight="1.5pt" strokecolor="#ec7c30">
          <v:stroke dashstyle="solid"/>
          <w10:wrap type="none"/>
        </v:line>
      </w:pict>
    </w:r>
    <w:r>
      <w:rPr/>
      <w:pict>
        <v:shape style="position:absolute;margin-left:83.984001pt;margin-top:37.299999pt;width:92.4pt;height:13.05pt;mso-position-horizontal-relative:page;mso-position-vertical-relative:page;z-index:-25895731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Conclusion générale</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52192" from="85.050003pt,53.950001pt" to="553.050003pt,53.950001pt" stroked="true" strokeweight="1.5pt" strokecolor="#ec7c30">
          <v:stroke dashstyle="solid"/>
          <w10:wrap type="none"/>
        </v:line>
      </w:pict>
    </w:r>
    <w:r>
      <w:rPr/>
      <w:pict>
        <v:shape style="position:absolute;margin-left:83.984001pt;margin-top:37.299999pt;width:35.85pt;height:13.05pt;mso-position-horizontal-relative:page;mso-position-vertical-relative:page;z-index:-258951168"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50144"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49120"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48096" from="85.050003pt,53.950001pt" to="553.050003pt,53.950001pt" stroked="true" strokeweight="1.5pt" strokecolor="#ec7c30">
          <v:stroke dashstyle="solid"/>
          <w10:wrap type="none"/>
        </v:line>
      </w:pict>
    </w:r>
    <w:r>
      <w:rPr/>
      <w:pict>
        <v:shape style="position:absolute;margin-left:83.984001pt;margin-top:37.299999pt;width:35.85pt;height:13.05pt;mso-position-horizontal-relative:page;mso-position-vertical-relative:page;z-index:-258947072"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46048" from="85.050003pt,53.950001pt" to="553.050003pt,53.950001pt" stroked="true" strokeweight="1.5pt" strokecolor="#ec7c30">
          <v:stroke dashstyle="solid"/>
          <w10:wrap type="none"/>
        </v:line>
      </w:pict>
    </w:r>
    <w:r>
      <w:rPr/>
      <w:pict>
        <v:shape style="position:absolute;margin-left:83.984001pt;margin-top:37.299999pt;width:35.85pt;height:13.05pt;mso-position-horizontal-relative:page;mso-position-vertical-relative:page;z-index:-258945024"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44000"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42976"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41952"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6.528pt;margin-top:71.579964pt;width:461.3pt;height:85.7pt;mso-position-horizontal-relative:page;mso-position-vertical-relative:page;z-index:251663360"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26"/>
                </w:tblGrid>
                <w:tr>
                  <w:trPr>
                    <w:trHeight w:val="828" w:hRule="atLeast"/>
                  </w:trPr>
                  <w:tc>
                    <w:tcPr>
                      <w:tcW w:w="9226" w:type="dxa"/>
                    </w:tcPr>
                    <w:p>
                      <w:pPr>
                        <w:pStyle w:val="TableParagraph"/>
                        <w:spacing w:line="399" w:lineRule="exact"/>
                        <w:ind w:left="177" w:right="177"/>
                        <w:rPr>
                          <w:b/>
                          <w:sz w:val="36"/>
                        </w:rPr>
                      </w:pPr>
                      <w:r>
                        <w:rPr>
                          <w:b/>
                          <w:sz w:val="36"/>
                        </w:rPr>
                        <w:t>ECOLE SUPERIURE DE GESTION ET D’ECONOMIE</w:t>
                      </w:r>
                    </w:p>
                    <w:p>
                      <w:pPr>
                        <w:pStyle w:val="TableParagraph"/>
                        <w:spacing w:line="407" w:lineRule="exact" w:before="3"/>
                        <w:ind w:left="177" w:right="169"/>
                        <w:rPr>
                          <w:b/>
                          <w:sz w:val="36"/>
                        </w:rPr>
                      </w:pPr>
                      <w:r>
                        <w:rPr>
                          <w:b/>
                          <w:sz w:val="36"/>
                        </w:rPr>
                        <w:t>NUMERIQUE</w:t>
                      </w:r>
                    </w:p>
                  </w:tc>
                </w:tr>
                <w:tr>
                  <w:trPr>
                    <w:trHeight w:val="884" w:hRule="atLeast"/>
                  </w:trPr>
                  <w:tc>
                    <w:tcPr>
                      <w:tcW w:w="9226" w:type="dxa"/>
                    </w:tcPr>
                    <w:p>
                      <w:pPr>
                        <w:pStyle w:val="TableParagraph"/>
                        <w:spacing w:line="810" w:lineRule="exact"/>
                        <w:ind w:left="134" w:right="177"/>
                        <w:rPr>
                          <w:b/>
                          <w:sz w:val="72"/>
                        </w:rPr>
                      </w:pPr>
                      <w:r>
                        <w:rPr>
                          <w:b/>
                          <w:sz w:val="72"/>
                        </w:rPr>
                        <w:t>E.S.G.E.N</w:t>
                      </w:r>
                    </w:p>
                  </w:tc>
                </w:tr>
              </w:tbl>
              <w:p>
                <w:pPr>
                  <w:pStyle w:val="BodyText"/>
                </w:pPr>
              </w:p>
            </w:txbxContent>
          </v:textbox>
          <w10:wrap type="none"/>
        </v:shape>
      </w:pict>
    </w:r>
    <w:r>
      <w:rPr/>
      <w:drawing>
        <wp:anchor distT="0" distB="0" distL="0" distR="0" allowOverlap="1" layoutInCell="1" locked="0" behindDoc="1" simplePos="0" relativeHeight="244312064">
          <wp:simplePos x="0" y="0"/>
          <wp:positionH relativeFrom="page">
            <wp:posOffset>2402204</wp:posOffset>
          </wp:positionH>
          <wp:positionV relativeFrom="page">
            <wp:posOffset>1492250</wp:posOffset>
          </wp:positionV>
          <wp:extent cx="491489" cy="486467"/>
          <wp:effectExtent l="0" t="0" r="0" b="0"/>
          <wp:wrapNone/>
          <wp:docPr id="3" name="image2.png"/>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491489" cy="486467"/>
                  </a:xfrm>
                  <a:prstGeom prst="rect">
                    <a:avLst/>
                  </a:prstGeom>
                </pic:spPr>
              </pic:pic>
            </a:graphicData>
          </a:graphic>
        </wp:anchor>
      </w:drawing>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40928"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39904"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38880"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37856"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36832"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35808"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34784"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33760"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7.299999pt;width:35.85pt;height:13.05pt;mso-position-horizontal-relative:page;mso-position-vertical-relative:page;z-index:-258932736" type="#_x0000_t202" filled="false" stroked="false">
          <v:textbox inset="0,0,0,0">
            <w:txbxContent>
              <w:p>
                <w:pPr>
                  <w:spacing w:line="245" w:lineRule="exact" w:before="0"/>
                  <w:ind w:left="20" w:right="0" w:firstLine="0"/>
                  <w:jc w:val="left"/>
                  <w:rPr>
                    <w:rFonts w:ascii="Calibri"/>
                    <w:sz w:val="22"/>
                  </w:rPr>
                </w:pPr>
                <w:r>
                  <w:rPr>
                    <w:rFonts w:ascii="Calibri"/>
                    <w:sz w:val="22"/>
                  </w:rPr>
                  <w:t>Annexe</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9003392" from="85.050003pt,53.950001pt" to="553.050003pt,53.950001pt" stroked="true" strokeweight="1.5pt" strokecolor="#ec7c30">
          <v:stroke dashstyle="solid"/>
          <w10:wrap type="none"/>
        </v:line>
      </w:pict>
    </w:r>
    <w:r>
      <w:rPr/>
      <w:pict>
        <v:shape style="position:absolute;margin-left:83.984001pt;margin-top:35.335705pt;width:59.2pt;height:17.45pt;mso-position-horizontal-relative:page;mso-position-vertical-relative:page;z-index:-259002368" type="#_x0000_t202" filled="false" stroked="false">
          <v:textbox inset="0,0,0,0">
            <w:txbxContent>
              <w:p>
                <w:pPr>
                  <w:spacing w:before="6"/>
                  <w:ind w:left="20" w:right="0" w:firstLine="0"/>
                  <w:jc w:val="left"/>
                  <w:rPr>
                    <w:sz w:val="28"/>
                  </w:rPr>
                </w:pPr>
                <w:r>
                  <w:rPr>
                    <w:sz w:val="28"/>
                  </w:rPr>
                  <w:t>Dédicaces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9001344" from="85.050003pt,53.950001pt" to="553.050003pt,53.950001pt" stroked="true" strokeweight="1.5pt" strokecolor="#ec7c30">
          <v:stroke dashstyle="solid"/>
          <w10:wrap type="none"/>
        </v:line>
      </w:pict>
    </w:r>
    <w:r>
      <w:rPr/>
      <w:pict>
        <v:shape style="position:absolute;margin-left:83.984001pt;margin-top:35.335705pt;width:59.2pt;height:17.45pt;mso-position-horizontal-relative:page;mso-position-vertical-relative:page;z-index:-259000320" type="#_x0000_t202" filled="false" stroked="false">
          <v:textbox inset="0,0,0,0">
            <w:txbxContent>
              <w:p>
                <w:pPr>
                  <w:spacing w:before="6"/>
                  <w:ind w:left="20" w:right="0" w:firstLine="0"/>
                  <w:jc w:val="left"/>
                  <w:rPr>
                    <w:sz w:val="28"/>
                  </w:rPr>
                </w:pPr>
                <w:r>
                  <w:rPr>
                    <w:sz w:val="28"/>
                  </w:rPr>
                  <w:t>Dédicaces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99296" from="85.050003pt,53.950001pt" to="553.050003pt,53.950001pt" stroked="true" strokeweight="1.5pt" strokecolor="#ec7c30">
          <v:stroke dashstyle="solid"/>
          <w10:wrap type="none"/>
        </v:line>
      </w:pict>
    </w:r>
    <w:r>
      <w:rPr/>
      <w:pict>
        <v:shape style="position:absolute;margin-left:83.984001pt;margin-top:35.335705pt;width:59.2pt;height:17.45pt;mso-position-horizontal-relative:page;mso-position-vertical-relative:page;z-index:-258998272" type="#_x0000_t202" filled="false" stroked="false">
          <v:textbox inset="0,0,0,0">
            <w:txbxContent>
              <w:p>
                <w:pPr>
                  <w:spacing w:before="6"/>
                  <w:ind w:left="20" w:right="0" w:firstLine="0"/>
                  <w:jc w:val="left"/>
                  <w:rPr>
                    <w:sz w:val="28"/>
                  </w:rPr>
                </w:pPr>
                <w:r>
                  <w:rPr>
                    <w:sz w:val="28"/>
                  </w:rPr>
                  <w:t>Dédicaces</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97248" from="85.050003pt,53.950001pt" to="553.050003pt,53.950001pt" stroked="true" strokeweight="1.5pt" strokecolor="#ec7c30">
          <v:stroke dashstyle="solid"/>
          <w10:wrap type="none"/>
        </v:line>
      </w:pict>
    </w:r>
    <w:r>
      <w:rPr/>
      <w:pict>
        <v:shape style="position:absolute;margin-left:83.984001pt;margin-top:35.335705pt;width:88.75pt;height:17.45pt;mso-position-horizontal-relative:page;mso-position-vertical-relative:page;z-index:-258996224" type="#_x0000_t202" filled="false" stroked="false">
          <v:textbox inset="0,0,0,0">
            <w:txbxContent>
              <w:p>
                <w:pPr>
                  <w:spacing w:before="6"/>
                  <w:ind w:left="20" w:right="0" w:firstLine="0"/>
                  <w:jc w:val="left"/>
                  <w:rPr>
                    <w:sz w:val="28"/>
                  </w:rPr>
                </w:pPr>
                <w:r>
                  <w:rPr>
                    <w:sz w:val="28"/>
                  </w:rPr>
                  <w:t>Remerciements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95200" from="85.050003pt,53.950001pt" to="553.050003pt,53.950001pt" stroked="true" strokeweight="1.5pt" strokecolor="#ec7c30">
          <v:stroke dashstyle="solid"/>
          <w10:wrap type="none"/>
        </v:line>
      </w:pict>
    </w:r>
    <w:r>
      <w:rPr/>
      <w:pict>
        <v:shape style="position:absolute;margin-left:83.984001pt;margin-top:35.335705pt;width:94.35pt;height:17.45pt;mso-position-horizontal-relative:page;mso-position-vertical-relative:page;z-index:-258994176" type="#_x0000_t202" filled="false" stroked="false">
          <v:textbox inset="0,0,0,0">
            <w:txbxContent>
              <w:p>
                <w:pPr>
                  <w:spacing w:before="6"/>
                  <w:ind w:left="20" w:right="0" w:firstLine="0"/>
                  <w:jc w:val="left"/>
                  <w:rPr>
                    <w:sz w:val="28"/>
                  </w:rPr>
                </w:pPr>
                <w:r>
                  <w:rPr>
                    <w:sz w:val="28"/>
                  </w:rPr>
                  <w:t>Liste des figures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993152" from="85.050003pt,53.950001pt" to="553.050003pt,53.950001pt" stroked="true" strokeweight="1.5pt" strokecolor="#ec7c30">
          <v:stroke dashstyle="solid"/>
          <w10:wrap type="none"/>
        </v:line>
      </w:pict>
    </w:r>
    <w:r>
      <w:rPr/>
      <w:pict>
        <v:shape style="position:absolute;margin-left:83.984001pt;margin-top:35.335705pt;width:102.95pt;height:17.45pt;mso-position-horizontal-relative:page;mso-position-vertical-relative:page;z-index:-258992128" type="#_x0000_t202" filled="false" stroked="false">
          <v:textbox inset="0,0,0,0">
            <w:txbxContent>
              <w:p>
                <w:pPr>
                  <w:spacing w:before="6"/>
                  <w:ind w:left="20" w:right="0" w:firstLine="0"/>
                  <w:jc w:val="left"/>
                  <w:rPr>
                    <w:sz w:val="28"/>
                  </w:rPr>
                </w:pPr>
                <w:r>
                  <w:rPr>
                    <w:sz w:val="28"/>
                  </w:rPr>
                  <w:t>Liste des tableaux</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0">
    <w:multiLevelType w:val="hybridMultilevel"/>
    <w:lvl w:ilvl="0">
      <w:start w:val="0"/>
      <w:numFmt w:val="bullet"/>
      <w:lvlText w:val=""/>
      <w:lvlJc w:val="left"/>
      <w:pPr>
        <w:ind w:left="555" w:hanging="360"/>
      </w:pPr>
      <w:rPr>
        <w:rFonts w:hint="default" w:ascii="Symbol" w:hAnsi="Symbol" w:eastAsia="Symbol" w:cs="Symbol"/>
        <w:w w:val="100"/>
        <w:sz w:val="22"/>
        <w:szCs w:val="22"/>
        <w:lang w:val="en-us" w:eastAsia="en-us" w:bidi="en-us"/>
      </w:rPr>
    </w:lvl>
    <w:lvl w:ilvl="1">
      <w:start w:val="0"/>
      <w:numFmt w:val="bullet"/>
      <w:lvlText w:val=""/>
      <w:lvlJc w:val="left"/>
      <w:pPr>
        <w:ind w:left="1420" w:hanging="360"/>
      </w:pPr>
      <w:rPr>
        <w:rFonts w:hint="default" w:ascii="Wingdings" w:hAnsi="Wingdings" w:eastAsia="Wingdings" w:cs="Wingdings"/>
        <w:w w:val="100"/>
        <w:sz w:val="22"/>
        <w:szCs w:val="22"/>
        <w:lang w:val="en-us" w:eastAsia="en-us" w:bidi="en-us"/>
      </w:rPr>
    </w:lvl>
    <w:lvl w:ilvl="2">
      <w:start w:val="0"/>
      <w:numFmt w:val="bullet"/>
      <w:lvlText w:val="•"/>
      <w:lvlJc w:val="left"/>
      <w:pPr>
        <w:ind w:left="2420" w:hanging="360"/>
      </w:pPr>
      <w:rPr>
        <w:rFonts w:hint="default"/>
        <w:lang w:val="en-us" w:eastAsia="en-us" w:bidi="en-us"/>
      </w:rPr>
    </w:lvl>
    <w:lvl w:ilvl="3">
      <w:start w:val="0"/>
      <w:numFmt w:val="bullet"/>
      <w:lvlText w:val="•"/>
      <w:lvlJc w:val="left"/>
      <w:pPr>
        <w:ind w:left="3420" w:hanging="360"/>
      </w:pPr>
      <w:rPr>
        <w:rFonts w:hint="default"/>
        <w:lang w:val="en-us" w:eastAsia="en-us" w:bidi="en-us"/>
      </w:rPr>
    </w:lvl>
    <w:lvl w:ilvl="4">
      <w:start w:val="0"/>
      <w:numFmt w:val="bullet"/>
      <w:lvlText w:val="•"/>
      <w:lvlJc w:val="left"/>
      <w:pPr>
        <w:ind w:left="4420" w:hanging="360"/>
      </w:pPr>
      <w:rPr>
        <w:rFonts w:hint="default"/>
        <w:lang w:val="en-us" w:eastAsia="en-us" w:bidi="en-us"/>
      </w:rPr>
    </w:lvl>
    <w:lvl w:ilvl="5">
      <w:start w:val="0"/>
      <w:numFmt w:val="bullet"/>
      <w:lvlText w:val="•"/>
      <w:lvlJc w:val="left"/>
      <w:pPr>
        <w:ind w:left="5420" w:hanging="360"/>
      </w:pPr>
      <w:rPr>
        <w:rFonts w:hint="default"/>
        <w:lang w:val="en-us" w:eastAsia="en-us" w:bidi="en-us"/>
      </w:rPr>
    </w:lvl>
    <w:lvl w:ilvl="6">
      <w:start w:val="0"/>
      <w:numFmt w:val="bullet"/>
      <w:lvlText w:val="•"/>
      <w:lvlJc w:val="left"/>
      <w:pPr>
        <w:ind w:left="6420" w:hanging="360"/>
      </w:pPr>
      <w:rPr>
        <w:rFonts w:hint="default"/>
        <w:lang w:val="en-us" w:eastAsia="en-us" w:bidi="en-us"/>
      </w:rPr>
    </w:lvl>
    <w:lvl w:ilvl="7">
      <w:start w:val="0"/>
      <w:numFmt w:val="bullet"/>
      <w:lvlText w:val="•"/>
      <w:lvlJc w:val="left"/>
      <w:pPr>
        <w:ind w:left="7420" w:hanging="360"/>
      </w:pPr>
      <w:rPr>
        <w:rFonts w:hint="default"/>
        <w:lang w:val="en-us" w:eastAsia="en-us" w:bidi="en-us"/>
      </w:rPr>
    </w:lvl>
    <w:lvl w:ilvl="8">
      <w:start w:val="0"/>
      <w:numFmt w:val="bullet"/>
      <w:lvlText w:val="•"/>
      <w:lvlJc w:val="left"/>
      <w:pPr>
        <w:ind w:left="8420" w:hanging="360"/>
      </w:pPr>
      <w:rPr>
        <w:rFonts w:hint="default"/>
        <w:lang w:val="en-us" w:eastAsia="en-us" w:bidi="en-us"/>
      </w:rPr>
    </w:lvl>
  </w:abstractNum>
  <w:abstractNum w:abstractNumId="29">
    <w:multiLevelType w:val="hybridMultilevel"/>
    <w:lvl w:ilvl="0">
      <w:start w:val="0"/>
      <w:numFmt w:val="bullet"/>
      <w:lvlText w:val=""/>
      <w:lvlJc w:val="left"/>
      <w:pPr>
        <w:ind w:left="1420" w:hanging="360"/>
      </w:pPr>
      <w:rPr>
        <w:rFonts w:hint="default" w:ascii="Wingdings" w:hAnsi="Wingdings" w:eastAsia="Wingdings" w:cs="Wingdings"/>
        <w:w w:val="100"/>
        <w:sz w:val="22"/>
        <w:szCs w:val="22"/>
        <w:lang w:val="en-us" w:eastAsia="en-us" w:bidi="en-us"/>
      </w:rPr>
    </w:lvl>
    <w:lvl w:ilvl="1">
      <w:start w:val="0"/>
      <w:numFmt w:val="bullet"/>
      <w:lvlText w:val="•"/>
      <w:lvlJc w:val="left"/>
      <w:pPr>
        <w:ind w:left="2320" w:hanging="360"/>
      </w:pPr>
      <w:rPr>
        <w:rFonts w:hint="default"/>
        <w:lang w:val="en-us" w:eastAsia="en-us" w:bidi="en-us"/>
      </w:rPr>
    </w:lvl>
    <w:lvl w:ilvl="2">
      <w:start w:val="0"/>
      <w:numFmt w:val="bullet"/>
      <w:lvlText w:val="•"/>
      <w:lvlJc w:val="left"/>
      <w:pPr>
        <w:ind w:left="3220" w:hanging="360"/>
      </w:pPr>
      <w:rPr>
        <w:rFonts w:hint="default"/>
        <w:lang w:val="en-us" w:eastAsia="en-us" w:bidi="en-us"/>
      </w:rPr>
    </w:lvl>
    <w:lvl w:ilvl="3">
      <w:start w:val="0"/>
      <w:numFmt w:val="bullet"/>
      <w:lvlText w:val="•"/>
      <w:lvlJc w:val="left"/>
      <w:pPr>
        <w:ind w:left="4120" w:hanging="360"/>
      </w:pPr>
      <w:rPr>
        <w:rFonts w:hint="default"/>
        <w:lang w:val="en-us" w:eastAsia="en-us" w:bidi="en-us"/>
      </w:rPr>
    </w:lvl>
    <w:lvl w:ilvl="4">
      <w:start w:val="0"/>
      <w:numFmt w:val="bullet"/>
      <w:lvlText w:val="•"/>
      <w:lvlJc w:val="left"/>
      <w:pPr>
        <w:ind w:left="5020" w:hanging="360"/>
      </w:pPr>
      <w:rPr>
        <w:rFonts w:hint="default"/>
        <w:lang w:val="en-us" w:eastAsia="en-us" w:bidi="en-us"/>
      </w:rPr>
    </w:lvl>
    <w:lvl w:ilvl="5">
      <w:start w:val="0"/>
      <w:numFmt w:val="bullet"/>
      <w:lvlText w:val="•"/>
      <w:lvlJc w:val="left"/>
      <w:pPr>
        <w:ind w:left="5920"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0" w:hanging="360"/>
      </w:pPr>
      <w:rPr>
        <w:rFonts w:hint="default"/>
        <w:lang w:val="en-us" w:eastAsia="en-us" w:bidi="en-us"/>
      </w:rPr>
    </w:lvl>
    <w:lvl w:ilvl="8">
      <w:start w:val="0"/>
      <w:numFmt w:val="bullet"/>
      <w:lvlText w:val="•"/>
      <w:lvlJc w:val="left"/>
      <w:pPr>
        <w:ind w:left="8620" w:hanging="360"/>
      </w:pPr>
      <w:rPr>
        <w:rFonts w:hint="default"/>
        <w:lang w:val="en-us" w:eastAsia="en-us" w:bidi="en-us"/>
      </w:rPr>
    </w:lvl>
  </w:abstractNum>
  <w:abstractNum w:abstractNumId="28">
    <w:multiLevelType w:val="hybridMultilevel"/>
    <w:lvl w:ilvl="0">
      <w:start w:val="1"/>
      <w:numFmt w:val="lowerLetter"/>
      <w:lvlText w:val="%1."/>
      <w:lvlJc w:val="left"/>
      <w:pPr>
        <w:ind w:left="1626" w:hanging="221"/>
        <w:jc w:val="left"/>
      </w:pPr>
      <w:rPr>
        <w:rFonts w:hint="default" w:ascii="Times New Roman" w:hAnsi="Times New Roman" w:eastAsia="Times New Roman" w:cs="Times New Roman"/>
        <w:b/>
        <w:bCs/>
        <w:spacing w:val="-5"/>
        <w:w w:val="100"/>
        <w:sz w:val="22"/>
        <w:szCs w:val="22"/>
        <w:lang w:val="en-us" w:eastAsia="en-us" w:bidi="en-us"/>
      </w:rPr>
    </w:lvl>
    <w:lvl w:ilvl="1">
      <w:start w:val="1"/>
      <w:numFmt w:val="lowerLetter"/>
      <w:lvlText w:val="%2."/>
      <w:lvlJc w:val="left"/>
      <w:pPr>
        <w:ind w:left="2500" w:hanging="361"/>
        <w:jc w:val="left"/>
      </w:pPr>
      <w:rPr>
        <w:rFonts w:hint="default" w:ascii="Times New Roman" w:hAnsi="Times New Roman" w:eastAsia="Times New Roman" w:cs="Times New Roman"/>
        <w:b/>
        <w:bCs/>
        <w:spacing w:val="-5"/>
        <w:w w:val="100"/>
        <w:sz w:val="22"/>
        <w:szCs w:val="22"/>
        <w:lang w:val="en-us" w:eastAsia="en-us" w:bidi="en-us"/>
      </w:rPr>
    </w:lvl>
    <w:lvl w:ilvl="2">
      <w:start w:val="0"/>
      <w:numFmt w:val="bullet"/>
      <w:lvlText w:val="•"/>
      <w:lvlJc w:val="left"/>
      <w:pPr>
        <w:ind w:left="3380" w:hanging="361"/>
      </w:pPr>
      <w:rPr>
        <w:rFonts w:hint="default"/>
        <w:lang w:val="en-us" w:eastAsia="en-us" w:bidi="en-us"/>
      </w:rPr>
    </w:lvl>
    <w:lvl w:ilvl="3">
      <w:start w:val="0"/>
      <w:numFmt w:val="bullet"/>
      <w:lvlText w:val="•"/>
      <w:lvlJc w:val="left"/>
      <w:pPr>
        <w:ind w:left="4260" w:hanging="361"/>
      </w:pPr>
      <w:rPr>
        <w:rFonts w:hint="default"/>
        <w:lang w:val="en-us" w:eastAsia="en-us" w:bidi="en-us"/>
      </w:rPr>
    </w:lvl>
    <w:lvl w:ilvl="4">
      <w:start w:val="0"/>
      <w:numFmt w:val="bullet"/>
      <w:lvlText w:val="•"/>
      <w:lvlJc w:val="left"/>
      <w:pPr>
        <w:ind w:left="5140" w:hanging="361"/>
      </w:pPr>
      <w:rPr>
        <w:rFonts w:hint="default"/>
        <w:lang w:val="en-us" w:eastAsia="en-us" w:bidi="en-us"/>
      </w:rPr>
    </w:lvl>
    <w:lvl w:ilvl="5">
      <w:start w:val="0"/>
      <w:numFmt w:val="bullet"/>
      <w:lvlText w:val="•"/>
      <w:lvlJc w:val="left"/>
      <w:pPr>
        <w:ind w:left="6020" w:hanging="361"/>
      </w:pPr>
      <w:rPr>
        <w:rFonts w:hint="default"/>
        <w:lang w:val="en-us" w:eastAsia="en-us" w:bidi="en-us"/>
      </w:rPr>
    </w:lvl>
    <w:lvl w:ilvl="6">
      <w:start w:val="0"/>
      <w:numFmt w:val="bullet"/>
      <w:lvlText w:val="•"/>
      <w:lvlJc w:val="left"/>
      <w:pPr>
        <w:ind w:left="6900" w:hanging="361"/>
      </w:pPr>
      <w:rPr>
        <w:rFonts w:hint="default"/>
        <w:lang w:val="en-us" w:eastAsia="en-us" w:bidi="en-us"/>
      </w:rPr>
    </w:lvl>
    <w:lvl w:ilvl="7">
      <w:start w:val="0"/>
      <w:numFmt w:val="bullet"/>
      <w:lvlText w:val="•"/>
      <w:lvlJc w:val="left"/>
      <w:pPr>
        <w:ind w:left="7780" w:hanging="361"/>
      </w:pPr>
      <w:rPr>
        <w:rFonts w:hint="default"/>
        <w:lang w:val="en-us" w:eastAsia="en-us" w:bidi="en-us"/>
      </w:rPr>
    </w:lvl>
    <w:lvl w:ilvl="8">
      <w:start w:val="0"/>
      <w:numFmt w:val="bullet"/>
      <w:lvlText w:val="•"/>
      <w:lvlJc w:val="left"/>
      <w:pPr>
        <w:ind w:left="8660" w:hanging="361"/>
      </w:pPr>
      <w:rPr>
        <w:rFonts w:hint="default"/>
        <w:lang w:val="en-us" w:eastAsia="en-us" w:bidi="en-us"/>
      </w:rPr>
    </w:lvl>
  </w:abstractNum>
  <w:abstractNum w:abstractNumId="27">
    <w:multiLevelType w:val="hybridMultilevel"/>
    <w:lvl w:ilvl="0">
      <w:start w:val="5"/>
      <w:numFmt w:val="decimal"/>
      <w:lvlText w:val="%1)"/>
      <w:lvlJc w:val="left"/>
      <w:pPr>
        <w:ind w:left="963" w:hanging="264"/>
        <w:jc w:val="left"/>
      </w:pPr>
      <w:rPr>
        <w:rFonts w:hint="default" w:ascii="Times New Roman" w:hAnsi="Times New Roman" w:eastAsia="Times New Roman" w:cs="Times New Roman"/>
        <w:b/>
        <w:bCs/>
        <w:w w:val="99"/>
        <w:sz w:val="24"/>
        <w:szCs w:val="24"/>
        <w:lang w:val="en-us" w:eastAsia="en-us" w:bidi="en-us"/>
      </w:rPr>
    </w:lvl>
    <w:lvl w:ilvl="1">
      <w:start w:val="0"/>
      <w:numFmt w:val="bullet"/>
      <w:lvlText w:val=""/>
      <w:lvlJc w:val="left"/>
      <w:pPr>
        <w:ind w:left="1420" w:hanging="360"/>
      </w:pPr>
      <w:rPr>
        <w:rFonts w:hint="default" w:ascii="Symbol" w:hAnsi="Symbol" w:eastAsia="Symbol" w:cs="Symbol"/>
        <w:w w:val="100"/>
        <w:sz w:val="24"/>
        <w:szCs w:val="24"/>
        <w:lang w:val="en-us" w:eastAsia="en-us" w:bidi="en-us"/>
      </w:rPr>
    </w:lvl>
    <w:lvl w:ilvl="2">
      <w:start w:val="0"/>
      <w:numFmt w:val="bullet"/>
      <w:lvlText w:val=""/>
      <w:lvlJc w:val="left"/>
      <w:pPr>
        <w:ind w:left="1751" w:hanging="360"/>
      </w:pPr>
      <w:rPr>
        <w:rFonts w:hint="default" w:ascii="Symbol" w:hAnsi="Symbol" w:eastAsia="Symbol" w:cs="Symbol"/>
        <w:w w:val="100"/>
        <w:sz w:val="24"/>
        <w:szCs w:val="24"/>
        <w:lang w:val="en-us" w:eastAsia="en-us" w:bidi="en-us"/>
      </w:rPr>
    </w:lvl>
    <w:lvl w:ilvl="3">
      <w:start w:val="0"/>
      <w:numFmt w:val="bullet"/>
      <w:lvlText w:val=""/>
      <w:lvlJc w:val="left"/>
      <w:pPr>
        <w:ind w:left="2140" w:hanging="423"/>
      </w:pPr>
      <w:rPr>
        <w:rFonts w:hint="default" w:ascii="Wingdings" w:hAnsi="Wingdings" w:eastAsia="Wingdings" w:cs="Wingdings"/>
        <w:w w:val="100"/>
        <w:sz w:val="24"/>
        <w:szCs w:val="24"/>
        <w:lang w:val="en-us" w:eastAsia="en-us" w:bidi="en-us"/>
      </w:rPr>
    </w:lvl>
    <w:lvl w:ilvl="4">
      <w:start w:val="0"/>
      <w:numFmt w:val="bullet"/>
      <w:lvlText w:val="•"/>
      <w:lvlJc w:val="left"/>
      <w:pPr>
        <w:ind w:left="3322" w:hanging="423"/>
      </w:pPr>
      <w:rPr>
        <w:rFonts w:hint="default"/>
        <w:lang w:val="en-us" w:eastAsia="en-us" w:bidi="en-us"/>
      </w:rPr>
    </w:lvl>
    <w:lvl w:ilvl="5">
      <w:start w:val="0"/>
      <w:numFmt w:val="bullet"/>
      <w:lvlText w:val="•"/>
      <w:lvlJc w:val="left"/>
      <w:pPr>
        <w:ind w:left="4505" w:hanging="423"/>
      </w:pPr>
      <w:rPr>
        <w:rFonts w:hint="default"/>
        <w:lang w:val="en-us" w:eastAsia="en-us" w:bidi="en-us"/>
      </w:rPr>
    </w:lvl>
    <w:lvl w:ilvl="6">
      <w:start w:val="0"/>
      <w:numFmt w:val="bullet"/>
      <w:lvlText w:val="•"/>
      <w:lvlJc w:val="left"/>
      <w:pPr>
        <w:ind w:left="5688" w:hanging="423"/>
      </w:pPr>
      <w:rPr>
        <w:rFonts w:hint="default"/>
        <w:lang w:val="en-us" w:eastAsia="en-us" w:bidi="en-us"/>
      </w:rPr>
    </w:lvl>
    <w:lvl w:ilvl="7">
      <w:start w:val="0"/>
      <w:numFmt w:val="bullet"/>
      <w:lvlText w:val="•"/>
      <w:lvlJc w:val="left"/>
      <w:pPr>
        <w:ind w:left="6871" w:hanging="423"/>
      </w:pPr>
      <w:rPr>
        <w:rFonts w:hint="default"/>
        <w:lang w:val="en-us" w:eastAsia="en-us" w:bidi="en-us"/>
      </w:rPr>
    </w:lvl>
    <w:lvl w:ilvl="8">
      <w:start w:val="0"/>
      <w:numFmt w:val="bullet"/>
      <w:lvlText w:val="•"/>
      <w:lvlJc w:val="left"/>
      <w:pPr>
        <w:ind w:left="8054" w:hanging="423"/>
      </w:pPr>
      <w:rPr>
        <w:rFonts w:hint="default"/>
        <w:lang w:val="en-us" w:eastAsia="en-us" w:bidi="en-us"/>
      </w:rPr>
    </w:lvl>
  </w:abstractNum>
  <w:abstractNum w:abstractNumId="26">
    <w:multiLevelType w:val="hybridMultilevel"/>
    <w:lvl w:ilvl="0">
      <w:start w:val="1"/>
      <w:numFmt w:val="upperLetter"/>
      <w:lvlText w:val="%1."/>
      <w:lvlJc w:val="left"/>
      <w:pPr>
        <w:ind w:left="1487" w:hanging="360"/>
        <w:jc w:val="left"/>
      </w:pPr>
      <w:rPr>
        <w:rFonts w:hint="default" w:ascii="Times New Roman" w:hAnsi="Times New Roman" w:eastAsia="Times New Roman" w:cs="Times New Roman"/>
        <w:b/>
        <w:bCs/>
        <w:spacing w:val="-1"/>
        <w:w w:val="99"/>
        <w:sz w:val="24"/>
        <w:szCs w:val="24"/>
        <w:lang w:val="en-us" w:eastAsia="en-us" w:bidi="en-us"/>
      </w:rPr>
    </w:lvl>
    <w:lvl w:ilvl="1">
      <w:start w:val="0"/>
      <w:numFmt w:val="bullet"/>
      <w:lvlText w:val="•"/>
      <w:lvlJc w:val="left"/>
      <w:pPr>
        <w:ind w:left="2374" w:hanging="360"/>
      </w:pPr>
      <w:rPr>
        <w:rFonts w:hint="default"/>
        <w:lang w:val="en-us" w:eastAsia="en-us" w:bidi="en-us"/>
      </w:rPr>
    </w:lvl>
    <w:lvl w:ilvl="2">
      <w:start w:val="0"/>
      <w:numFmt w:val="bullet"/>
      <w:lvlText w:val="•"/>
      <w:lvlJc w:val="left"/>
      <w:pPr>
        <w:ind w:left="3268" w:hanging="360"/>
      </w:pPr>
      <w:rPr>
        <w:rFonts w:hint="default"/>
        <w:lang w:val="en-us" w:eastAsia="en-us" w:bidi="en-us"/>
      </w:rPr>
    </w:lvl>
    <w:lvl w:ilvl="3">
      <w:start w:val="0"/>
      <w:numFmt w:val="bullet"/>
      <w:lvlText w:val="•"/>
      <w:lvlJc w:val="left"/>
      <w:pPr>
        <w:ind w:left="4162" w:hanging="360"/>
      </w:pPr>
      <w:rPr>
        <w:rFonts w:hint="default"/>
        <w:lang w:val="en-us" w:eastAsia="en-us" w:bidi="en-us"/>
      </w:rPr>
    </w:lvl>
    <w:lvl w:ilvl="4">
      <w:start w:val="0"/>
      <w:numFmt w:val="bullet"/>
      <w:lvlText w:val="•"/>
      <w:lvlJc w:val="left"/>
      <w:pPr>
        <w:ind w:left="5056" w:hanging="360"/>
      </w:pPr>
      <w:rPr>
        <w:rFonts w:hint="default"/>
        <w:lang w:val="en-us" w:eastAsia="en-us" w:bidi="en-us"/>
      </w:rPr>
    </w:lvl>
    <w:lvl w:ilvl="5">
      <w:start w:val="0"/>
      <w:numFmt w:val="bullet"/>
      <w:lvlText w:val="•"/>
      <w:lvlJc w:val="left"/>
      <w:pPr>
        <w:ind w:left="5950" w:hanging="360"/>
      </w:pPr>
      <w:rPr>
        <w:rFonts w:hint="default"/>
        <w:lang w:val="en-us" w:eastAsia="en-us" w:bidi="en-us"/>
      </w:rPr>
    </w:lvl>
    <w:lvl w:ilvl="6">
      <w:start w:val="0"/>
      <w:numFmt w:val="bullet"/>
      <w:lvlText w:val="•"/>
      <w:lvlJc w:val="left"/>
      <w:pPr>
        <w:ind w:left="6844" w:hanging="360"/>
      </w:pPr>
      <w:rPr>
        <w:rFonts w:hint="default"/>
        <w:lang w:val="en-us" w:eastAsia="en-us" w:bidi="en-us"/>
      </w:rPr>
    </w:lvl>
    <w:lvl w:ilvl="7">
      <w:start w:val="0"/>
      <w:numFmt w:val="bullet"/>
      <w:lvlText w:val="•"/>
      <w:lvlJc w:val="left"/>
      <w:pPr>
        <w:ind w:left="7738" w:hanging="360"/>
      </w:pPr>
      <w:rPr>
        <w:rFonts w:hint="default"/>
        <w:lang w:val="en-us" w:eastAsia="en-us" w:bidi="en-us"/>
      </w:rPr>
    </w:lvl>
    <w:lvl w:ilvl="8">
      <w:start w:val="0"/>
      <w:numFmt w:val="bullet"/>
      <w:lvlText w:val="•"/>
      <w:lvlJc w:val="left"/>
      <w:pPr>
        <w:ind w:left="8632" w:hanging="360"/>
      </w:pPr>
      <w:rPr>
        <w:rFonts w:hint="default"/>
        <w:lang w:val="en-us" w:eastAsia="en-us" w:bidi="en-us"/>
      </w:rPr>
    </w:lvl>
  </w:abstractNum>
  <w:abstractNum w:abstractNumId="25">
    <w:multiLevelType w:val="hybridMultilevel"/>
    <w:lvl w:ilvl="0">
      <w:start w:val="1"/>
      <w:numFmt w:val="upperLetter"/>
      <w:lvlText w:val="%1."/>
      <w:lvlJc w:val="left"/>
      <w:pPr>
        <w:ind w:left="1487" w:hanging="360"/>
        <w:jc w:val="left"/>
      </w:pPr>
      <w:rPr>
        <w:rFonts w:hint="default" w:ascii="Times New Roman" w:hAnsi="Times New Roman" w:eastAsia="Times New Roman" w:cs="Times New Roman"/>
        <w:b/>
        <w:bCs/>
        <w:spacing w:val="-1"/>
        <w:w w:val="99"/>
        <w:sz w:val="24"/>
        <w:szCs w:val="24"/>
        <w:lang w:val="en-us" w:eastAsia="en-us" w:bidi="en-us"/>
      </w:rPr>
    </w:lvl>
    <w:lvl w:ilvl="1">
      <w:start w:val="0"/>
      <w:numFmt w:val="bullet"/>
      <w:lvlText w:val="•"/>
      <w:lvlJc w:val="left"/>
      <w:pPr>
        <w:ind w:left="2374" w:hanging="360"/>
      </w:pPr>
      <w:rPr>
        <w:rFonts w:hint="default"/>
        <w:lang w:val="en-us" w:eastAsia="en-us" w:bidi="en-us"/>
      </w:rPr>
    </w:lvl>
    <w:lvl w:ilvl="2">
      <w:start w:val="0"/>
      <w:numFmt w:val="bullet"/>
      <w:lvlText w:val="•"/>
      <w:lvlJc w:val="left"/>
      <w:pPr>
        <w:ind w:left="3268" w:hanging="360"/>
      </w:pPr>
      <w:rPr>
        <w:rFonts w:hint="default"/>
        <w:lang w:val="en-us" w:eastAsia="en-us" w:bidi="en-us"/>
      </w:rPr>
    </w:lvl>
    <w:lvl w:ilvl="3">
      <w:start w:val="0"/>
      <w:numFmt w:val="bullet"/>
      <w:lvlText w:val="•"/>
      <w:lvlJc w:val="left"/>
      <w:pPr>
        <w:ind w:left="4162" w:hanging="360"/>
      </w:pPr>
      <w:rPr>
        <w:rFonts w:hint="default"/>
        <w:lang w:val="en-us" w:eastAsia="en-us" w:bidi="en-us"/>
      </w:rPr>
    </w:lvl>
    <w:lvl w:ilvl="4">
      <w:start w:val="0"/>
      <w:numFmt w:val="bullet"/>
      <w:lvlText w:val="•"/>
      <w:lvlJc w:val="left"/>
      <w:pPr>
        <w:ind w:left="5056" w:hanging="360"/>
      </w:pPr>
      <w:rPr>
        <w:rFonts w:hint="default"/>
        <w:lang w:val="en-us" w:eastAsia="en-us" w:bidi="en-us"/>
      </w:rPr>
    </w:lvl>
    <w:lvl w:ilvl="5">
      <w:start w:val="0"/>
      <w:numFmt w:val="bullet"/>
      <w:lvlText w:val="•"/>
      <w:lvlJc w:val="left"/>
      <w:pPr>
        <w:ind w:left="5950" w:hanging="360"/>
      </w:pPr>
      <w:rPr>
        <w:rFonts w:hint="default"/>
        <w:lang w:val="en-us" w:eastAsia="en-us" w:bidi="en-us"/>
      </w:rPr>
    </w:lvl>
    <w:lvl w:ilvl="6">
      <w:start w:val="0"/>
      <w:numFmt w:val="bullet"/>
      <w:lvlText w:val="•"/>
      <w:lvlJc w:val="left"/>
      <w:pPr>
        <w:ind w:left="6844" w:hanging="360"/>
      </w:pPr>
      <w:rPr>
        <w:rFonts w:hint="default"/>
        <w:lang w:val="en-us" w:eastAsia="en-us" w:bidi="en-us"/>
      </w:rPr>
    </w:lvl>
    <w:lvl w:ilvl="7">
      <w:start w:val="0"/>
      <w:numFmt w:val="bullet"/>
      <w:lvlText w:val="•"/>
      <w:lvlJc w:val="left"/>
      <w:pPr>
        <w:ind w:left="7738" w:hanging="360"/>
      </w:pPr>
      <w:rPr>
        <w:rFonts w:hint="default"/>
        <w:lang w:val="en-us" w:eastAsia="en-us" w:bidi="en-us"/>
      </w:rPr>
    </w:lvl>
    <w:lvl w:ilvl="8">
      <w:start w:val="0"/>
      <w:numFmt w:val="bullet"/>
      <w:lvlText w:val="•"/>
      <w:lvlJc w:val="left"/>
      <w:pPr>
        <w:ind w:left="8632" w:hanging="360"/>
      </w:pPr>
      <w:rPr>
        <w:rFonts w:hint="default"/>
        <w:lang w:val="en-us" w:eastAsia="en-us" w:bidi="en-us"/>
      </w:rPr>
    </w:lvl>
  </w:abstractNum>
  <w:abstractNum w:abstractNumId="24">
    <w:multiLevelType w:val="hybridMultilevel"/>
    <w:lvl w:ilvl="0">
      <w:start w:val="0"/>
      <w:numFmt w:val="bullet"/>
      <w:lvlText w:val=""/>
      <w:lvlJc w:val="left"/>
      <w:pPr>
        <w:ind w:left="1468" w:hanging="360"/>
      </w:pPr>
      <w:rPr>
        <w:rFonts w:hint="default"/>
        <w:w w:val="100"/>
        <w:lang w:val="en-us" w:eastAsia="en-us" w:bidi="en-us"/>
      </w:rPr>
    </w:lvl>
    <w:lvl w:ilvl="1">
      <w:start w:val="0"/>
      <w:numFmt w:val="bullet"/>
      <w:lvlText w:val="•"/>
      <w:lvlJc w:val="left"/>
      <w:pPr>
        <w:ind w:left="2356" w:hanging="360"/>
      </w:pPr>
      <w:rPr>
        <w:rFonts w:hint="default"/>
        <w:lang w:val="en-us" w:eastAsia="en-us" w:bidi="en-us"/>
      </w:rPr>
    </w:lvl>
    <w:lvl w:ilvl="2">
      <w:start w:val="0"/>
      <w:numFmt w:val="bullet"/>
      <w:lvlText w:val="•"/>
      <w:lvlJc w:val="left"/>
      <w:pPr>
        <w:ind w:left="3252" w:hanging="360"/>
      </w:pPr>
      <w:rPr>
        <w:rFonts w:hint="default"/>
        <w:lang w:val="en-us" w:eastAsia="en-us" w:bidi="en-us"/>
      </w:rPr>
    </w:lvl>
    <w:lvl w:ilvl="3">
      <w:start w:val="0"/>
      <w:numFmt w:val="bullet"/>
      <w:lvlText w:val="•"/>
      <w:lvlJc w:val="left"/>
      <w:pPr>
        <w:ind w:left="4148" w:hanging="360"/>
      </w:pPr>
      <w:rPr>
        <w:rFonts w:hint="default"/>
        <w:lang w:val="en-us" w:eastAsia="en-us" w:bidi="en-us"/>
      </w:rPr>
    </w:lvl>
    <w:lvl w:ilvl="4">
      <w:start w:val="0"/>
      <w:numFmt w:val="bullet"/>
      <w:lvlText w:val="•"/>
      <w:lvlJc w:val="left"/>
      <w:pPr>
        <w:ind w:left="5044" w:hanging="360"/>
      </w:pPr>
      <w:rPr>
        <w:rFonts w:hint="default"/>
        <w:lang w:val="en-us" w:eastAsia="en-us" w:bidi="en-us"/>
      </w:rPr>
    </w:lvl>
    <w:lvl w:ilvl="5">
      <w:start w:val="0"/>
      <w:numFmt w:val="bullet"/>
      <w:lvlText w:val="•"/>
      <w:lvlJc w:val="left"/>
      <w:pPr>
        <w:ind w:left="5940" w:hanging="360"/>
      </w:pPr>
      <w:rPr>
        <w:rFonts w:hint="default"/>
        <w:lang w:val="en-us" w:eastAsia="en-us" w:bidi="en-us"/>
      </w:rPr>
    </w:lvl>
    <w:lvl w:ilvl="6">
      <w:start w:val="0"/>
      <w:numFmt w:val="bullet"/>
      <w:lvlText w:val="•"/>
      <w:lvlJc w:val="left"/>
      <w:pPr>
        <w:ind w:left="6836" w:hanging="360"/>
      </w:pPr>
      <w:rPr>
        <w:rFonts w:hint="default"/>
        <w:lang w:val="en-us" w:eastAsia="en-us" w:bidi="en-us"/>
      </w:rPr>
    </w:lvl>
    <w:lvl w:ilvl="7">
      <w:start w:val="0"/>
      <w:numFmt w:val="bullet"/>
      <w:lvlText w:val="•"/>
      <w:lvlJc w:val="left"/>
      <w:pPr>
        <w:ind w:left="7732" w:hanging="360"/>
      </w:pPr>
      <w:rPr>
        <w:rFonts w:hint="default"/>
        <w:lang w:val="en-us" w:eastAsia="en-us" w:bidi="en-us"/>
      </w:rPr>
    </w:lvl>
    <w:lvl w:ilvl="8">
      <w:start w:val="0"/>
      <w:numFmt w:val="bullet"/>
      <w:lvlText w:val="•"/>
      <w:lvlJc w:val="left"/>
      <w:pPr>
        <w:ind w:left="8628" w:hanging="360"/>
      </w:pPr>
      <w:rPr>
        <w:rFonts w:hint="default"/>
        <w:lang w:val="en-us" w:eastAsia="en-us" w:bidi="en-us"/>
      </w:rPr>
    </w:lvl>
  </w:abstractNum>
  <w:abstractNum w:abstractNumId="23">
    <w:multiLevelType w:val="hybridMultilevel"/>
    <w:lvl w:ilvl="0">
      <w:start w:val="1"/>
      <w:numFmt w:val="decimal"/>
      <w:lvlText w:val="%1."/>
      <w:lvlJc w:val="left"/>
      <w:pPr>
        <w:ind w:left="1420" w:hanging="360"/>
        <w:jc w:val="left"/>
      </w:pPr>
      <w:rPr>
        <w:rFonts w:hint="default" w:ascii="Times New Roman" w:hAnsi="Times New Roman" w:eastAsia="Times New Roman" w:cs="Times New Roman"/>
        <w:b/>
        <w:bCs/>
        <w:spacing w:val="0"/>
        <w:w w:val="90"/>
        <w:sz w:val="24"/>
        <w:szCs w:val="24"/>
        <w:lang w:val="en-us" w:eastAsia="en-us" w:bidi="en-us"/>
      </w:rPr>
    </w:lvl>
    <w:lvl w:ilvl="1">
      <w:start w:val="1"/>
      <w:numFmt w:val="decimal"/>
      <w:lvlText w:val="%1.%2"/>
      <w:lvlJc w:val="left"/>
      <w:pPr>
        <w:ind w:left="1420" w:hanging="360"/>
        <w:jc w:val="left"/>
      </w:pPr>
      <w:rPr>
        <w:rFonts w:hint="default" w:ascii="Times New Roman" w:hAnsi="Times New Roman" w:eastAsia="Times New Roman" w:cs="Times New Roman"/>
        <w:b/>
        <w:bCs/>
        <w:spacing w:val="0"/>
        <w:w w:val="90"/>
        <w:sz w:val="24"/>
        <w:szCs w:val="24"/>
        <w:lang w:val="en-us" w:eastAsia="en-us" w:bidi="en-us"/>
      </w:rPr>
    </w:lvl>
    <w:lvl w:ilvl="2">
      <w:start w:val="0"/>
      <w:numFmt w:val="bullet"/>
      <w:lvlText w:val="•"/>
      <w:lvlJc w:val="left"/>
      <w:pPr>
        <w:ind w:left="3220" w:hanging="360"/>
      </w:pPr>
      <w:rPr>
        <w:rFonts w:hint="default"/>
        <w:lang w:val="en-us" w:eastAsia="en-us" w:bidi="en-us"/>
      </w:rPr>
    </w:lvl>
    <w:lvl w:ilvl="3">
      <w:start w:val="0"/>
      <w:numFmt w:val="bullet"/>
      <w:lvlText w:val="•"/>
      <w:lvlJc w:val="left"/>
      <w:pPr>
        <w:ind w:left="4120" w:hanging="360"/>
      </w:pPr>
      <w:rPr>
        <w:rFonts w:hint="default"/>
        <w:lang w:val="en-us" w:eastAsia="en-us" w:bidi="en-us"/>
      </w:rPr>
    </w:lvl>
    <w:lvl w:ilvl="4">
      <w:start w:val="0"/>
      <w:numFmt w:val="bullet"/>
      <w:lvlText w:val="•"/>
      <w:lvlJc w:val="left"/>
      <w:pPr>
        <w:ind w:left="5020" w:hanging="360"/>
      </w:pPr>
      <w:rPr>
        <w:rFonts w:hint="default"/>
        <w:lang w:val="en-us" w:eastAsia="en-us" w:bidi="en-us"/>
      </w:rPr>
    </w:lvl>
    <w:lvl w:ilvl="5">
      <w:start w:val="0"/>
      <w:numFmt w:val="bullet"/>
      <w:lvlText w:val="•"/>
      <w:lvlJc w:val="left"/>
      <w:pPr>
        <w:ind w:left="5920"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0" w:hanging="360"/>
      </w:pPr>
      <w:rPr>
        <w:rFonts w:hint="default"/>
        <w:lang w:val="en-us" w:eastAsia="en-us" w:bidi="en-us"/>
      </w:rPr>
    </w:lvl>
    <w:lvl w:ilvl="8">
      <w:start w:val="0"/>
      <w:numFmt w:val="bullet"/>
      <w:lvlText w:val="•"/>
      <w:lvlJc w:val="left"/>
      <w:pPr>
        <w:ind w:left="8620" w:hanging="360"/>
      </w:pPr>
      <w:rPr>
        <w:rFonts w:hint="default"/>
        <w:lang w:val="en-us" w:eastAsia="en-us" w:bidi="en-us"/>
      </w:rPr>
    </w:lvl>
  </w:abstractNum>
  <w:abstractNum w:abstractNumId="22">
    <w:multiLevelType w:val="hybridMultilevel"/>
    <w:lvl w:ilvl="0">
      <w:start w:val="1"/>
      <w:numFmt w:val="upperLetter"/>
      <w:lvlText w:val="%1."/>
      <w:lvlJc w:val="left"/>
      <w:pPr>
        <w:ind w:left="1420" w:hanging="360"/>
        <w:jc w:val="left"/>
      </w:pPr>
      <w:rPr>
        <w:rFonts w:hint="default" w:ascii="Times New Roman" w:hAnsi="Times New Roman" w:eastAsia="Times New Roman" w:cs="Times New Roman"/>
        <w:b/>
        <w:bCs/>
        <w:spacing w:val="-1"/>
        <w:w w:val="99"/>
        <w:sz w:val="24"/>
        <w:szCs w:val="24"/>
        <w:lang w:val="en-us" w:eastAsia="en-us" w:bidi="en-us"/>
      </w:rPr>
    </w:lvl>
    <w:lvl w:ilvl="1">
      <w:start w:val="0"/>
      <w:numFmt w:val="bullet"/>
      <w:lvlText w:val="-"/>
      <w:lvlJc w:val="left"/>
      <w:pPr>
        <w:ind w:left="1780" w:hanging="360"/>
      </w:pPr>
      <w:rPr>
        <w:rFonts w:hint="default" w:ascii="Calibri" w:hAnsi="Calibri" w:eastAsia="Calibri" w:cs="Calibri"/>
        <w:b/>
        <w:bCs/>
        <w:w w:val="76"/>
        <w:sz w:val="22"/>
        <w:szCs w:val="22"/>
        <w:lang w:val="en-us" w:eastAsia="en-us" w:bidi="en-us"/>
      </w:rPr>
    </w:lvl>
    <w:lvl w:ilvl="2">
      <w:start w:val="0"/>
      <w:numFmt w:val="bullet"/>
      <w:lvlText w:val="•"/>
      <w:lvlJc w:val="left"/>
      <w:pPr>
        <w:ind w:left="2740" w:hanging="360"/>
      </w:pPr>
      <w:rPr>
        <w:rFonts w:hint="default"/>
        <w:lang w:val="en-us" w:eastAsia="en-us" w:bidi="en-us"/>
      </w:rPr>
    </w:lvl>
    <w:lvl w:ilvl="3">
      <w:start w:val="0"/>
      <w:numFmt w:val="bullet"/>
      <w:lvlText w:val="•"/>
      <w:lvlJc w:val="left"/>
      <w:pPr>
        <w:ind w:left="3700" w:hanging="360"/>
      </w:pPr>
      <w:rPr>
        <w:rFonts w:hint="default"/>
        <w:lang w:val="en-us" w:eastAsia="en-us" w:bidi="en-us"/>
      </w:rPr>
    </w:lvl>
    <w:lvl w:ilvl="4">
      <w:start w:val="0"/>
      <w:numFmt w:val="bullet"/>
      <w:lvlText w:val="•"/>
      <w:lvlJc w:val="left"/>
      <w:pPr>
        <w:ind w:left="4660" w:hanging="360"/>
      </w:pPr>
      <w:rPr>
        <w:rFonts w:hint="default"/>
        <w:lang w:val="en-us" w:eastAsia="en-us" w:bidi="en-us"/>
      </w:rPr>
    </w:lvl>
    <w:lvl w:ilvl="5">
      <w:start w:val="0"/>
      <w:numFmt w:val="bullet"/>
      <w:lvlText w:val="•"/>
      <w:lvlJc w:val="left"/>
      <w:pPr>
        <w:ind w:left="5620" w:hanging="360"/>
      </w:pPr>
      <w:rPr>
        <w:rFonts w:hint="default"/>
        <w:lang w:val="en-us" w:eastAsia="en-us" w:bidi="en-us"/>
      </w:rPr>
    </w:lvl>
    <w:lvl w:ilvl="6">
      <w:start w:val="0"/>
      <w:numFmt w:val="bullet"/>
      <w:lvlText w:val="•"/>
      <w:lvlJc w:val="left"/>
      <w:pPr>
        <w:ind w:left="6580" w:hanging="360"/>
      </w:pPr>
      <w:rPr>
        <w:rFonts w:hint="default"/>
        <w:lang w:val="en-us" w:eastAsia="en-us" w:bidi="en-us"/>
      </w:rPr>
    </w:lvl>
    <w:lvl w:ilvl="7">
      <w:start w:val="0"/>
      <w:numFmt w:val="bullet"/>
      <w:lvlText w:val="•"/>
      <w:lvlJc w:val="left"/>
      <w:pPr>
        <w:ind w:left="7540" w:hanging="360"/>
      </w:pPr>
      <w:rPr>
        <w:rFonts w:hint="default"/>
        <w:lang w:val="en-us" w:eastAsia="en-us" w:bidi="en-us"/>
      </w:rPr>
    </w:lvl>
    <w:lvl w:ilvl="8">
      <w:start w:val="0"/>
      <w:numFmt w:val="bullet"/>
      <w:lvlText w:val="•"/>
      <w:lvlJc w:val="left"/>
      <w:pPr>
        <w:ind w:left="8500" w:hanging="360"/>
      </w:pPr>
      <w:rPr>
        <w:rFonts w:hint="default"/>
        <w:lang w:val="en-us" w:eastAsia="en-us" w:bidi="en-us"/>
      </w:rPr>
    </w:lvl>
  </w:abstractNum>
  <w:abstractNum w:abstractNumId="21">
    <w:multiLevelType w:val="hybridMultilevel"/>
    <w:lvl w:ilvl="0">
      <w:start w:val="0"/>
      <w:numFmt w:val="bullet"/>
      <w:lvlText w:val=""/>
      <w:lvlJc w:val="left"/>
      <w:pPr>
        <w:ind w:left="1420" w:hanging="360"/>
      </w:pPr>
      <w:rPr>
        <w:rFonts w:hint="default" w:ascii="Symbol" w:hAnsi="Symbol" w:eastAsia="Symbol" w:cs="Symbol"/>
        <w:w w:val="100"/>
        <w:sz w:val="24"/>
        <w:szCs w:val="24"/>
        <w:lang w:val="en-us" w:eastAsia="en-us" w:bidi="en-us"/>
      </w:rPr>
    </w:lvl>
    <w:lvl w:ilvl="1">
      <w:start w:val="0"/>
      <w:numFmt w:val="bullet"/>
      <w:lvlText w:val="•"/>
      <w:lvlJc w:val="left"/>
      <w:pPr>
        <w:ind w:left="2320" w:hanging="360"/>
      </w:pPr>
      <w:rPr>
        <w:rFonts w:hint="default"/>
        <w:lang w:val="en-us" w:eastAsia="en-us" w:bidi="en-us"/>
      </w:rPr>
    </w:lvl>
    <w:lvl w:ilvl="2">
      <w:start w:val="0"/>
      <w:numFmt w:val="bullet"/>
      <w:lvlText w:val="•"/>
      <w:lvlJc w:val="left"/>
      <w:pPr>
        <w:ind w:left="3220" w:hanging="360"/>
      </w:pPr>
      <w:rPr>
        <w:rFonts w:hint="default"/>
        <w:lang w:val="en-us" w:eastAsia="en-us" w:bidi="en-us"/>
      </w:rPr>
    </w:lvl>
    <w:lvl w:ilvl="3">
      <w:start w:val="0"/>
      <w:numFmt w:val="bullet"/>
      <w:lvlText w:val="•"/>
      <w:lvlJc w:val="left"/>
      <w:pPr>
        <w:ind w:left="4120" w:hanging="360"/>
      </w:pPr>
      <w:rPr>
        <w:rFonts w:hint="default"/>
        <w:lang w:val="en-us" w:eastAsia="en-us" w:bidi="en-us"/>
      </w:rPr>
    </w:lvl>
    <w:lvl w:ilvl="4">
      <w:start w:val="0"/>
      <w:numFmt w:val="bullet"/>
      <w:lvlText w:val="•"/>
      <w:lvlJc w:val="left"/>
      <w:pPr>
        <w:ind w:left="5020" w:hanging="360"/>
      </w:pPr>
      <w:rPr>
        <w:rFonts w:hint="default"/>
        <w:lang w:val="en-us" w:eastAsia="en-us" w:bidi="en-us"/>
      </w:rPr>
    </w:lvl>
    <w:lvl w:ilvl="5">
      <w:start w:val="0"/>
      <w:numFmt w:val="bullet"/>
      <w:lvlText w:val="•"/>
      <w:lvlJc w:val="left"/>
      <w:pPr>
        <w:ind w:left="5920"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0" w:hanging="360"/>
      </w:pPr>
      <w:rPr>
        <w:rFonts w:hint="default"/>
        <w:lang w:val="en-us" w:eastAsia="en-us" w:bidi="en-us"/>
      </w:rPr>
    </w:lvl>
    <w:lvl w:ilvl="8">
      <w:start w:val="0"/>
      <w:numFmt w:val="bullet"/>
      <w:lvlText w:val="•"/>
      <w:lvlJc w:val="left"/>
      <w:pPr>
        <w:ind w:left="8620" w:hanging="360"/>
      </w:pPr>
      <w:rPr>
        <w:rFonts w:hint="default"/>
        <w:lang w:val="en-us" w:eastAsia="en-us" w:bidi="en-us"/>
      </w:rPr>
    </w:lvl>
  </w:abstractNum>
  <w:abstractNum w:abstractNumId="20">
    <w:multiLevelType w:val="hybridMultilevel"/>
    <w:lvl w:ilvl="0">
      <w:start w:val="2"/>
      <w:numFmt w:val="decimal"/>
      <w:lvlText w:val="%1"/>
      <w:lvlJc w:val="left"/>
      <w:pPr>
        <w:ind w:left="2140" w:hanging="720"/>
        <w:jc w:val="left"/>
      </w:pPr>
      <w:rPr>
        <w:rFonts w:hint="default"/>
        <w:lang w:val="en-us" w:eastAsia="en-us" w:bidi="en-us"/>
      </w:rPr>
    </w:lvl>
    <w:lvl w:ilvl="1">
      <w:start w:val="2"/>
      <w:numFmt w:val="decimal"/>
      <w:lvlText w:val="%1.%2"/>
      <w:lvlJc w:val="left"/>
      <w:pPr>
        <w:ind w:left="2140" w:hanging="720"/>
        <w:jc w:val="left"/>
      </w:pPr>
      <w:rPr>
        <w:rFonts w:hint="default"/>
        <w:lang w:val="en-us" w:eastAsia="en-us" w:bidi="en-us"/>
      </w:rPr>
    </w:lvl>
    <w:lvl w:ilvl="2">
      <w:start w:val="1"/>
      <w:numFmt w:val="decimal"/>
      <w:lvlText w:val="%1.%2.%3"/>
      <w:lvlJc w:val="left"/>
      <w:pPr>
        <w:ind w:left="2140" w:hanging="720"/>
        <w:jc w:val="left"/>
      </w:pPr>
      <w:rPr>
        <w:rFonts w:hint="default" w:ascii="Times New Roman" w:hAnsi="Times New Roman" w:eastAsia="Times New Roman" w:cs="Times New Roman"/>
        <w:b/>
        <w:bCs/>
        <w:spacing w:val="-4"/>
        <w:w w:val="99"/>
        <w:sz w:val="24"/>
        <w:szCs w:val="24"/>
        <w:lang w:val="en-us" w:eastAsia="en-us" w:bidi="en-us"/>
      </w:rPr>
    </w:lvl>
    <w:lvl w:ilvl="3">
      <w:start w:val="0"/>
      <w:numFmt w:val="bullet"/>
      <w:lvlText w:val="•"/>
      <w:lvlJc w:val="left"/>
      <w:pPr>
        <w:ind w:left="4624" w:hanging="720"/>
      </w:pPr>
      <w:rPr>
        <w:rFonts w:hint="default"/>
        <w:lang w:val="en-us" w:eastAsia="en-us" w:bidi="en-us"/>
      </w:rPr>
    </w:lvl>
    <w:lvl w:ilvl="4">
      <w:start w:val="0"/>
      <w:numFmt w:val="bullet"/>
      <w:lvlText w:val="•"/>
      <w:lvlJc w:val="left"/>
      <w:pPr>
        <w:ind w:left="5452" w:hanging="720"/>
      </w:pPr>
      <w:rPr>
        <w:rFonts w:hint="default"/>
        <w:lang w:val="en-us" w:eastAsia="en-us" w:bidi="en-us"/>
      </w:rPr>
    </w:lvl>
    <w:lvl w:ilvl="5">
      <w:start w:val="0"/>
      <w:numFmt w:val="bullet"/>
      <w:lvlText w:val="•"/>
      <w:lvlJc w:val="left"/>
      <w:pPr>
        <w:ind w:left="6280" w:hanging="720"/>
      </w:pPr>
      <w:rPr>
        <w:rFonts w:hint="default"/>
        <w:lang w:val="en-us" w:eastAsia="en-us" w:bidi="en-us"/>
      </w:rPr>
    </w:lvl>
    <w:lvl w:ilvl="6">
      <w:start w:val="0"/>
      <w:numFmt w:val="bullet"/>
      <w:lvlText w:val="•"/>
      <w:lvlJc w:val="left"/>
      <w:pPr>
        <w:ind w:left="7108" w:hanging="720"/>
      </w:pPr>
      <w:rPr>
        <w:rFonts w:hint="default"/>
        <w:lang w:val="en-us" w:eastAsia="en-us" w:bidi="en-us"/>
      </w:rPr>
    </w:lvl>
    <w:lvl w:ilvl="7">
      <w:start w:val="0"/>
      <w:numFmt w:val="bullet"/>
      <w:lvlText w:val="•"/>
      <w:lvlJc w:val="left"/>
      <w:pPr>
        <w:ind w:left="7936" w:hanging="720"/>
      </w:pPr>
      <w:rPr>
        <w:rFonts w:hint="default"/>
        <w:lang w:val="en-us" w:eastAsia="en-us" w:bidi="en-us"/>
      </w:rPr>
    </w:lvl>
    <w:lvl w:ilvl="8">
      <w:start w:val="0"/>
      <w:numFmt w:val="bullet"/>
      <w:lvlText w:val="•"/>
      <w:lvlJc w:val="left"/>
      <w:pPr>
        <w:ind w:left="8764" w:hanging="720"/>
      </w:pPr>
      <w:rPr>
        <w:rFonts w:hint="default"/>
        <w:lang w:val="en-us" w:eastAsia="en-us" w:bidi="en-us"/>
      </w:rPr>
    </w:lvl>
  </w:abstractNum>
  <w:abstractNum w:abstractNumId="19">
    <w:multiLevelType w:val="hybridMultilevel"/>
    <w:lvl w:ilvl="0">
      <w:start w:val="0"/>
      <w:numFmt w:val="bullet"/>
      <w:lvlText w:val="-"/>
      <w:lvlJc w:val="left"/>
      <w:pPr>
        <w:ind w:left="1780" w:hanging="360"/>
      </w:pPr>
      <w:rPr>
        <w:rFonts w:hint="default" w:ascii="Calibri" w:hAnsi="Calibri" w:eastAsia="Calibri" w:cs="Calibri"/>
        <w:b/>
        <w:bCs/>
        <w:w w:val="76"/>
        <w:sz w:val="22"/>
        <w:szCs w:val="22"/>
        <w:lang w:val="en-us" w:eastAsia="en-us" w:bidi="en-us"/>
      </w:rPr>
    </w:lvl>
    <w:lvl w:ilvl="1">
      <w:start w:val="0"/>
      <w:numFmt w:val="bullet"/>
      <w:lvlText w:val="•"/>
      <w:lvlJc w:val="left"/>
      <w:pPr>
        <w:ind w:left="2644" w:hanging="360"/>
      </w:pPr>
      <w:rPr>
        <w:rFonts w:hint="default"/>
        <w:lang w:val="en-us" w:eastAsia="en-us" w:bidi="en-us"/>
      </w:rPr>
    </w:lvl>
    <w:lvl w:ilvl="2">
      <w:start w:val="0"/>
      <w:numFmt w:val="bullet"/>
      <w:lvlText w:val="•"/>
      <w:lvlJc w:val="left"/>
      <w:pPr>
        <w:ind w:left="3508" w:hanging="360"/>
      </w:pPr>
      <w:rPr>
        <w:rFonts w:hint="default"/>
        <w:lang w:val="en-us" w:eastAsia="en-us" w:bidi="en-us"/>
      </w:rPr>
    </w:lvl>
    <w:lvl w:ilvl="3">
      <w:start w:val="0"/>
      <w:numFmt w:val="bullet"/>
      <w:lvlText w:val="•"/>
      <w:lvlJc w:val="left"/>
      <w:pPr>
        <w:ind w:left="4372" w:hanging="360"/>
      </w:pPr>
      <w:rPr>
        <w:rFonts w:hint="default"/>
        <w:lang w:val="en-us" w:eastAsia="en-us" w:bidi="en-us"/>
      </w:rPr>
    </w:lvl>
    <w:lvl w:ilvl="4">
      <w:start w:val="0"/>
      <w:numFmt w:val="bullet"/>
      <w:lvlText w:val="•"/>
      <w:lvlJc w:val="left"/>
      <w:pPr>
        <w:ind w:left="5236" w:hanging="360"/>
      </w:pPr>
      <w:rPr>
        <w:rFonts w:hint="default"/>
        <w:lang w:val="en-us" w:eastAsia="en-us" w:bidi="en-us"/>
      </w:rPr>
    </w:lvl>
    <w:lvl w:ilvl="5">
      <w:start w:val="0"/>
      <w:numFmt w:val="bullet"/>
      <w:lvlText w:val="•"/>
      <w:lvlJc w:val="left"/>
      <w:pPr>
        <w:ind w:left="6100" w:hanging="360"/>
      </w:pPr>
      <w:rPr>
        <w:rFonts w:hint="default"/>
        <w:lang w:val="en-us" w:eastAsia="en-us" w:bidi="en-us"/>
      </w:rPr>
    </w:lvl>
    <w:lvl w:ilvl="6">
      <w:start w:val="0"/>
      <w:numFmt w:val="bullet"/>
      <w:lvlText w:val="•"/>
      <w:lvlJc w:val="left"/>
      <w:pPr>
        <w:ind w:left="6964" w:hanging="360"/>
      </w:pPr>
      <w:rPr>
        <w:rFonts w:hint="default"/>
        <w:lang w:val="en-us" w:eastAsia="en-us" w:bidi="en-us"/>
      </w:rPr>
    </w:lvl>
    <w:lvl w:ilvl="7">
      <w:start w:val="0"/>
      <w:numFmt w:val="bullet"/>
      <w:lvlText w:val="•"/>
      <w:lvlJc w:val="left"/>
      <w:pPr>
        <w:ind w:left="7828" w:hanging="360"/>
      </w:pPr>
      <w:rPr>
        <w:rFonts w:hint="default"/>
        <w:lang w:val="en-us" w:eastAsia="en-us" w:bidi="en-us"/>
      </w:rPr>
    </w:lvl>
    <w:lvl w:ilvl="8">
      <w:start w:val="0"/>
      <w:numFmt w:val="bullet"/>
      <w:lvlText w:val="•"/>
      <w:lvlJc w:val="left"/>
      <w:pPr>
        <w:ind w:left="8692" w:hanging="360"/>
      </w:pPr>
      <w:rPr>
        <w:rFonts w:hint="default"/>
        <w:lang w:val="en-us" w:eastAsia="en-us" w:bidi="en-us"/>
      </w:rPr>
    </w:lvl>
  </w:abstractNum>
  <w:abstractNum w:abstractNumId="18">
    <w:multiLevelType w:val="hybridMultilevel"/>
    <w:lvl w:ilvl="0">
      <w:start w:val="1"/>
      <w:numFmt w:val="upperLetter"/>
      <w:lvlText w:val="%1."/>
      <w:lvlJc w:val="left"/>
      <w:pPr>
        <w:ind w:left="1420" w:hanging="360"/>
        <w:jc w:val="left"/>
      </w:pPr>
      <w:rPr>
        <w:rFonts w:hint="default"/>
        <w:b/>
        <w:bCs/>
        <w:spacing w:val="-1"/>
        <w:w w:val="99"/>
        <w:lang w:val="en-us" w:eastAsia="en-us" w:bidi="en-us"/>
      </w:rPr>
    </w:lvl>
    <w:lvl w:ilvl="1">
      <w:start w:val="0"/>
      <w:numFmt w:val="bullet"/>
      <w:lvlText w:val="•"/>
      <w:lvlJc w:val="left"/>
      <w:pPr>
        <w:ind w:left="2320" w:hanging="360"/>
      </w:pPr>
      <w:rPr>
        <w:rFonts w:hint="default"/>
        <w:lang w:val="en-us" w:eastAsia="en-us" w:bidi="en-us"/>
      </w:rPr>
    </w:lvl>
    <w:lvl w:ilvl="2">
      <w:start w:val="0"/>
      <w:numFmt w:val="bullet"/>
      <w:lvlText w:val="•"/>
      <w:lvlJc w:val="left"/>
      <w:pPr>
        <w:ind w:left="3220" w:hanging="360"/>
      </w:pPr>
      <w:rPr>
        <w:rFonts w:hint="default"/>
        <w:lang w:val="en-us" w:eastAsia="en-us" w:bidi="en-us"/>
      </w:rPr>
    </w:lvl>
    <w:lvl w:ilvl="3">
      <w:start w:val="0"/>
      <w:numFmt w:val="bullet"/>
      <w:lvlText w:val="•"/>
      <w:lvlJc w:val="left"/>
      <w:pPr>
        <w:ind w:left="4120" w:hanging="360"/>
      </w:pPr>
      <w:rPr>
        <w:rFonts w:hint="default"/>
        <w:lang w:val="en-us" w:eastAsia="en-us" w:bidi="en-us"/>
      </w:rPr>
    </w:lvl>
    <w:lvl w:ilvl="4">
      <w:start w:val="0"/>
      <w:numFmt w:val="bullet"/>
      <w:lvlText w:val="•"/>
      <w:lvlJc w:val="left"/>
      <w:pPr>
        <w:ind w:left="5020" w:hanging="360"/>
      </w:pPr>
      <w:rPr>
        <w:rFonts w:hint="default"/>
        <w:lang w:val="en-us" w:eastAsia="en-us" w:bidi="en-us"/>
      </w:rPr>
    </w:lvl>
    <w:lvl w:ilvl="5">
      <w:start w:val="0"/>
      <w:numFmt w:val="bullet"/>
      <w:lvlText w:val="•"/>
      <w:lvlJc w:val="left"/>
      <w:pPr>
        <w:ind w:left="5920"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0" w:hanging="360"/>
      </w:pPr>
      <w:rPr>
        <w:rFonts w:hint="default"/>
        <w:lang w:val="en-us" w:eastAsia="en-us" w:bidi="en-us"/>
      </w:rPr>
    </w:lvl>
    <w:lvl w:ilvl="8">
      <w:start w:val="0"/>
      <w:numFmt w:val="bullet"/>
      <w:lvlText w:val="•"/>
      <w:lvlJc w:val="left"/>
      <w:pPr>
        <w:ind w:left="8620" w:hanging="360"/>
      </w:pPr>
      <w:rPr>
        <w:rFonts w:hint="default"/>
        <w:lang w:val="en-us" w:eastAsia="en-us" w:bidi="en-us"/>
      </w:rPr>
    </w:lvl>
  </w:abstractNum>
  <w:abstractNum w:abstractNumId="17">
    <w:multiLevelType w:val="hybridMultilevel"/>
    <w:lvl w:ilvl="0">
      <w:start w:val="0"/>
      <w:numFmt w:val="bullet"/>
      <w:lvlText w:val=""/>
      <w:lvlJc w:val="left"/>
      <w:pPr>
        <w:ind w:left="1420" w:hanging="360"/>
      </w:pPr>
      <w:rPr>
        <w:rFonts w:hint="default" w:ascii="Symbol" w:hAnsi="Symbol" w:eastAsia="Symbol" w:cs="Symbol"/>
        <w:w w:val="100"/>
        <w:sz w:val="24"/>
        <w:szCs w:val="24"/>
        <w:lang w:val="en-us" w:eastAsia="en-us" w:bidi="en-us"/>
      </w:rPr>
    </w:lvl>
    <w:lvl w:ilvl="1">
      <w:start w:val="0"/>
      <w:numFmt w:val="bullet"/>
      <w:lvlText w:val=""/>
      <w:lvlJc w:val="left"/>
      <w:pPr>
        <w:ind w:left="1780" w:hanging="360"/>
      </w:pPr>
      <w:rPr>
        <w:rFonts w:hint="default" w:ascii="Symbol" w:hAnsi="Symbol" w:eastAsia="Symbol" w:cs="Symbol"/>
        <w:w w:val="100"/>
        <w:sz w:val="24"/>
        <w:szCs w:val="24"/>
        <w:lang w:val="en-us" w:eastAsia="en-us" w:bidi="en-us"/>
      </w:rPr>
    </w:lvl>
    <w:lvl w:ilvl="2">
      <w:start w:val="0"/>
      <w:numFmt w:val="bullet"/>
      <w:lvlText w:val="•"/>
      <w:lvlJc w:val="left"/>
      <w:pPr>
        <w:ind w:left="2740" w:hanging="360"/>
      </w:pPr>
      <w:rPr>
        <w:rFonts w:hint="default"/>
        <w:lang w:val="en-us" w:eastAsia="en-us" w:bidi="en-us"/>
      </w:rPr>
    </w:lvl>
    <w:lvl w:ilvl="3">
      <w:start w:val="0"/>
      <w:numFmt w:val="bullet"/>
      <w:lvlText w:val="•"/>
      <w:lvlJc w:val="left"/>
      <w:pPr>
        <w:ind w:left="3700" w:hanging="360"/>
      </w:pPr>
      <w:rPr>
        <w:rFonts w:hint="default"/>
        <w:lang w:val="en-us" w:eastAsia="en-us" w:bidi="en-us"/>
      </w:rPr>
    </w:lvl>
    <w:lvl w:ilvl="4">
      <w:start w:val="0"/>
      <w:numFmt w:val="bullet"/>
      <w:lvlText w:val="•"/>
      <w:lvlJc w:val="left"/>
      <w:pPr>
        <w:ind w:left="4660" w:hanging="360"/>
      </w:pPr>
      <w:rPr>
        <w:rFonts w:hint="default"/>
        <w:lang w:val="en-us" w:eastAsia="en-us" w:bidi="en-us"/>
      </w:rPr>
    </w:lvl>
    <w:lvl w:ilvl="5">
      <w:start w:val="0"/>
      <w:numFmt w:val="bullet"/>
      <w:lvlText w:val="•"/>
      <w:lvlJc w:val="left"/>
      <w:pPr>
        <w:ind w:left="5620" w:hanging="360"/>
      </w:pPr>
      <w:rPr>
        <w:rFonts w:hint="default"/>
        <w:lang w:val="en-us" w:eastAsia="en-us" w:bidi="en-us"/>
      </w:rPr>
    </w:lvl>
    <w:lvl w:ilvl="6">
      <w:start w:val="0"/>
      <w:numFmt w:val="bullet"/>
      <w:lvlText w:val="•"/>
      <w:lvlJc w:val="left"/>
      <w:pPr>
        <w:ind w:left="6580" w:hanging="360"/>
      </w:pPr>
      <w:rPr>
        <w:rFonts w:hint="default"/>
        <w:lang w:val="en-us" w:eastAsia="en-us" w:bidi="en-us"/>
      </w:rPr>
    </w:lvl>
    <w:lvl w:ilvl="7">
      <w:start w:val="0"/>
      <w:numFmt w:val="bullet"/>
      <w:lvlText w:val="•"/>
      <w:lvlJc w:val="left"/>
      <w:pPr>
        <w:ind w:left="7540" w:hanging="360"/>
      </w:pPr>
      <w:rPr>
        <w:rFonts w:hint="default"/>
        <w:lang w:val="en-us" w:eastAsia="en-us" w:bidi="en-us"/>
      </w:rPr>
    </w:lvl>
    <w:lvl w:ilvl="8">
      <w:start w:val="0"/>
      <w:numFmt w:val="bullet"/>
      <w:lvlText w:val="•"/>
      <w:lvlJc w:val="left"/>
      <w:pPr>
        <w:ind w:left="8500" w:hanging="360"/>
      </w:pPr>
      <w:rPr>
        <w:rFonts w:hint="default"/>
        <w:lang w:val="en-us" w:eastAsia="en-us" w:bidi="en-us"/>
      </w:rPr>
    </w:lvl>
  </w:abstractNum>
  <w:abstractNum w:abstractNumId="16">
    <w:multiLevelType w:val="hybridMultilevel"/>
    <w:lvl w:ilvl="0">
      <w:start w:val="0"/>
      <w:numFmt w:val="bullet"/>
      <w:lvlText w:val="-"/>
      <w:lvlJc w:val="left"/>
      <w:pPr>
        <w:ind w:left="1420" w:hanging="360"/>
      </w:pPr>
      <w:rPr>
        <w:rFonts w:hint="default" w:ascii="Calibri" w:hAnsi="Calibri" w:eastAsia="Calibri" w:cs="Calibri"/>
        <w:b/>
        <w:bCs/>
        <w:w w:val="76"/>
        <w:sz w:val="22"/>
        <w:szCs w:val="22"/>
        <w:lang w:val="en-us" w:eastAsia="en-us" w:bidi="en-us"/>
      </w:rPr>
    </w:lvl>
    <w:lvl w:ilvl="1">
      <w:start w:val="0"/>
      <w:numFmt w:val="bullet"/>
      <w:lvlText w:val="•"/>
      <w:lvlJc w:val="left"/>
      <w:pPr>
        <w:ind w:left="2320" w:hanging="360"/>
      </w:pPr>
      <w:rPr>
        <w:rFonts w:hint="default"/>
        <w:lang w:val="en-us" w:eastAsia="en-us" w:bidi="en-us"/>
      </w:rPr>
    </w:lvl>
    <w:lvl w:ilvl="2">
      <w:start w:val="0"/>
      <w:numFmt w:val="bullet"/>
      <w:lvlText w:val="•"/>
      <w:lvlJc w:val="left"/>
      <w:pPr>
        <w:ind w:left="3220" w:hanging="360"/>
      </w:pPr>
      <w:rPr>
        <w:rFonts w:hint="default"/>
        <w:lang w:val="en-us" w:eastAsia="en-us" w:bidi="en-us"/>
      </w:rPr>
    </w:lvl>
    <w:lvl w:ilvl="3">
      <w:start w:val="0"/>
      <w:numFmt w:val="bullet"/>
      <w:lvlText w:val="•"/>
      <w:lvlJc w:val="left"/>
      <w:pPr>
        <w:ind w:left="4120" w:hanging="360"/>
      </w:pPr>
      <w:rPr>
        <w:rFonts w:hint="default"/>
        <w:lang w:val="en-us" w:eastAsia="en-us" w:bidi="en-us"/>
      </w:rPr>
    </w:lvl>
    <w:lvl w:ilvl="4">
      <w:start w:val="0"/>
      <w:numFmt w:val="bullet"/>
      <w:lvlText w:val="•"/>
      <w:lvlJc w:val="left"/>
      <w:pPr>
        <w:ind w:left="5020" w:hanging="360"/>
      </w:pPr>
      <w:rPr>
        <w:rFonts w:hint="default"/>
        <w:lang w:val="en-us" w:eastAsia="en-us" w:bidi="en-us"/>
      </w:rPr>
    </w:lvl>
    <w:lvl w:ilvl="5">
      <w:start w:val="0"/>
      <w:numFmt w:val="bullet"/>
      <w:lvlText w:val="•"/>
      <w:lvlJc w:val="left"/>
      <w:pPr>
        <w:ind w:left="5920"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0" w:hanging="360"/>
      </w:pPr>
      <w:rPr>
        <w:rFonts w:hint="default"/>
        <w:lang w:val="en-us" w:eastAsia="en-us" w:bidi="en-us"/>
      </w:rPr>
    </w:lvl>
    <w:lvl w:ilvl="8">
      <w:start w:val="0"/>
      <w:numFmt w:val="bullet"/>
      <w:lvlText w:val="•"/>
      <w:lvlJc w:val="left"/>
      <w:pPr>
        <w:ind w:left="8620" w:hanging="360"/>
      </w:pPr>
      <w:rPr>
        <w:rFonts w:hint="default"/>
        <w:lang w:val="en-us" w:eastAsia="en-us" w:bidi="en-us"/>
      </w:rPr>
    </w:lvl>
  </w:abstractNum>
  <w:abstractNum w:abstractNumId="15">
    <w:multiLevelType w:val="hybridMultilevel"/>
    <w:lvl w:ilvl="0">
      <w:start w:val="1"/>
      <w:numFmt w:val="upperLetter"/>
      <w:lvlText w:val="%1."/>
      <w:lvlJc w:val="left"/>
      <w:pPr>
        <w:ind w:left="1420" w:hanging="360"/>
        <w:jc w:val="left"/>
      </w:pPr>
      <w:rPr>
        <w:rFonts w:hint="default" w:ascii="Times New Roman" w:hAnsi="Times New Roman" w:eastAsia="Times New Roman" w:cs="Times New Roman"/>
        <w:b/>
        <w:bCs/>
        <w:spacing w:val="-1"/>
        <w:w w:val="99"/>
        <w:sz w:val="24"/>
        <w:szCs w:val="24"/>
        <w:lang w:val="en-us" w:eastAsia="en-us" w:bidi="en-us"/>
      </w:rPr>
    </w:lvl>
    <w:lvl w:ilvl="1">
      <w:start w:val="0"/>
      <w:numFmt w:val="bullet"/>
      <w:lvlText w:val="•"/>
      <w:lvlJc w:val="left"/>
      <w:pPr>
        <w:ind w:left="2320" w:hanging="360"/>
      </w:pPr>
      <w:rPr>
        <w:rFonts w:hint="default"/>
        <w:lang w:val="en-us" w:eastAsia="en-us" w:bidi="en-us"/>
      </w:rPr>
    </w:lvl>
    <w:lvl w:ilvl="2">
      <w:start w:val="0"/>
      <w:numFmt w:val="bullet"/>
      <w:lvlText w:val="•"/>
      <w:lvlJc w:val="left"/>
      <w:pPr>
        <w:ind w:left="3220" w:hanging="360"/>
      </w:pPr>
      <w:rPr>
        <w:rFonts w:hint="default"/>
        <w:lang w:val="en-us" w:eastAsia="en-us" w:bidi="en-us"/>
      </w:rPr>
    </w:lvl>
    <w:lvl w:ilvl="3">
      <w:start w:val="0"/>
      <w:numFmt w:val="bullet"/>
      <w:lvlText w:val="•"/>
      <w:lvlJc w:val="left"/>
      <w:pPr>
        <w:ind w:left="4120" w:hanging="360"/>
      </w:pPr>
      <w:rPr>
        <w:rFonts w:hint="default"/>
        <w:lang w:val="en-us" w:eastAsia="en-us" w:bidi="en-us"/>
      </w:rPr>
    </w:lvl>
    <w:lvl w:ilvl="4">
      <w:start w:val="0"/>
      <w:numFmt w:val="bullet"/>
      <w:lvlText w:val="•"/>
      <w:lvlJc w:val="left"/>
      <w:pPr>
        <w:ind w:left="5020" w:hanging="360"/>
      </w:pPr>
      <w:rPr>
        <w:rFonts w:hint="default"/>
        <w:lang w:val="en-us" w:eastAsia="en-us" w:bidi="en-us"/>
      </w:rPr>
    </w:lvl>
    <w:lvl w:ilvl="5">
      <w:start w:val="0"/>
      <w:numFmt w:val="bullet"/>
      <w:lvlText w:val="•"/>
      <w:lvlJc w:val="left"/>
      <w:pPr>
        <w:ind w:left="5920"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0" w:hanging="360"/>
      </w:pPr>
      <w:rPr>
        <w:rFonts w:hint="default"/>
        <w:lang w:val="en-us" w:eastAsia="en-us" w:bidi="en-us"/>
      </w:rPr>
    </w:lvl>
    <w:lvl w:ilvl="8">
      <w:start w:val="0"/>
      <w:numFmt w:val="bullet"/>
      <w:lvlText w:val="•"/>
      <w:lvlJc w:val="left"/>
      <w:pPr>
        <w:ind w:left="8620" w:hanging="360"/>
      </w:pPr>
      <w:rPr>
        <w:rFonts w:hint="default"/>
        <w:lang w:val="en-us" w:eastAsia="en-us" w:bidi="en-us"/>
      </w:rPr>
    </w:lvl>
  </w:abstractNum>
  <w:abstractNum w:abstractNumId="14">
    <w:multiLevelType w:val="hybridMultilevel"/>
    <w:lvl w:ilvl="0">
      <w:start w:val="1"/>
      <w:numFmt w:val="decimal"/>
      <w:lvlText w:val="%1"/>
      <w:lvlJc w:val="left"/>
      <w:pPr>
        <w:ind w:left="2140" w:hanging="720"/>
        <w:jc w:val="left"/>
      </w:pPr>
      <w:rPr>
        <w:rFonts w:hint="default"/>
        <w:lang w:val="en-us" w:eastAsia="en-us" w:bidi="en-us"/>
      </w:rPr>
    </w:lvl>
    <w:lvl w:ilvl="1">
      <w:start w:val="5"/>
      <w:numFmt w:val="decimal"/>
      <w:lvlText w:val="%1.%2"/>
      <w:lvlJc w:val="left"/>
      <w:pPr>
        <w:ind w:left="2140" w:hanging="720"/>
        <w:jc w:val="left"/>
      </w:pPr>
      <w:rPr>
        <w:rFonts w:hint="default"/>
        <w:lang w:val="en-us" w:eastAsia="en-us" w:bidi="en-us"/>
      </w:rPr>
    </w:lvl>
    <w:lvl w:ilvl="2">
      <w:start w:val="1"/>
      <w:numFmt w:val="decimal"/>
      <w:lvlText w:val="%1.%2.%3"/>
      <w:lvlJc w:val="left"/>
      <w:pPr>
        <w:ind w:left="2140" w:hanging="720"/>
        <w:jc w:val="left"/>
      </w:pPr>
      <w:rPr>
        <w:rFonts w:hint="default" w:ascii="Times New Roman" w:hAnsi="Times New Roman" w:eastAsia="Times New Roman" w:cs="Times New Roman"/>
        <w:b/>
        <w:bCs/>
        <w:spacing w:val="0"/>
        <w:w w:val="90"/>
        <w:sz w:val="24"/>
        <w:szCs w:val="24"/>
        <w:lang w:val="en-us" w:eastAsia="en-us" w:bidi="en-us"/>
      </w:rPr>
    </w:lvl>
    <w:lvl w:ilvl="3">
      <w:start w:val="0"/>
      <w:numFmt w:val="bullet"/>
      <w:lvlText w:val="•"/>
      <w:lvlJc w:val="left"/>
      <w:pPr>
        <w:ind w:left="4624" w:hanging="720"/>
      </w:pPr>
      <w:rPr>
        <w:rFonts w:hint="default"/>
        <w:lang w:val="en-us" w:eastAsia="en-us" w:bidi="en-us"/>
      </w:rPr>
    </w:lvl>
    <w:lvl w:ilvl="4">
      <w:start w:val="0"/>
      <w:numFmt w:val="bullet"/>
      <w:lvlText w:val="•"/>
      <w:lvlJc w:val="left"/>
      <w:pPr>
        <w:ind w:left="5452" w:hanging="720"/>
      </w:pPr>
      <w:rPr>
        <w:rFonts w:hint="default"/>
        <w:lang w:val="en-us" w:eastAsia="en-us" w:bidi="en-us"/>
      </w:rPr>
    </w:lvl>
    <w:lvl w:ilvl="5">
      <w:start w:val="0"/>
      <w:numFmt w:val="bullet"/>
      <w:lvlText w:val="•"/>
      <w:lvlJc w:val="left"/>
      <w:pPr>
        <w:ind w:left="6280" w:hanging="720"/>
      </w:pPr>
      <w:rPr>
        <w:rFonts w:hint="default"/>
        <w:lang w:val="en-us" w:eastAsia="en-us" w:bidi="en-us"/>
      </w:rPr>
    </w:lvl>
    <w:lvl w:ilvl="6">
      <w:start w:val="0"/>
      <w:numFmt w:val="bullet"/>
      <w:lvlText w:val="•"/>
      <w:lvlJc w:val="left"/>
      <w:pPr>
        <w:ind w:left="7108" w:hanging="720"/>
      </w:pPr>
      <w:rPr>
        <w:rFonts w:hint="default"/>
        <w:lang w:val="en-us" w:eastAsia="en-us" w:bidi="en-us"/>
      </w:rPr>
    </w:lvl>
    <w:lvl w:ilvl="7">
      <w:start w:val="0"/>
      <w:numFmt w:val="bullet"/>
      <w:lvlText w:val="•"/>
      <w:lvlJc w:val="left"/>
      <w:pPr>
        <w:ind w:left="7936" w:hanging="720"/>
      </w:pPr>
      <w:rPr>
        <w:rFonts w:hint="default"/>
        <w:lang w:val="en-us" w:eastAsia="en-us" w:bidi="en-us"/>
      </w:rPr>
    </w:lvl>
    <w:lvl w:ilvl="8">
      <w:start w:val="0"/>
      <w:numFmt w:val="bullet"/>
      <w:lvlText w:val="•"/>
      <w:lvlJc w:val="left"/>
      <w:pPr>
        <w:ind w:left="8764" w:hanging="720"/>
      </w:pPr>
      <w:rPr>
        <w:rFonts w:hint="default"/>
        <w:lang w:val="en-us" w:eastAsia="en-us" w:bidi="en-us"/>
      </w:rPr>
    </w:lvl>
  </w:abstractNum>
  <w:abstractNum w:abstractNumId="13">
    <w:multiLevelType w:val="hybridMultilevel"/>
    <w:lvl w:ilvl="0">
      <w:start w:val="0"/>
      <w:numFmt w:val="bullet"/>
      <w:lvlText w:val="-"/>
      <w:lvlJc w:val="left"/>
      <w:pPr>
        <w:ind w:left="1780" w:hanging="360"/>
      </w:pPr>
      <w:rPr>
        <w:rFonts w:hint="default" w:ascii="Times New Roman" w:hAnsi="Times New Roman" w:eastAsia="Times New Roman" w:cs="Times New Roman"/>
        <w:spacing w:val="-20"/>
        <w:w w:val="99"/>
        <w:sz w:val="24"/>
        <w:szCs w:val="24"/>
        <w:lang w:val="en-us" w:eastAsia="en-us" w:bidi="en-us"/>
      </w:rPr>
    </w:lvl>
    <w:lvl w:ilvl="1">
      <w:start w:val="0"/>
      <w:numFmt w:val="bullet"/>
      <w:lvlText w:val="•"/>
      <w:lvlJc w:val="left"/>
      <w:pPr>
        <w:ind w:left="2644" w:hanging="360"/>
      </w:pPr>
      <w:rPr>
        <w:rFonts w:hint="default"/>
        <w:lang w:val="en-us" w:eastAsia="en-us" w:bidi="en-us"/>
      </w:rPr>
    </w:lvl>
    <w:lvl w:ilvl="2">
      <w:start w:val="0"/>
      <w:numFmt w:val="bullet"/>
      <w:lvlText w:val="•"/>
      <w:lvlJc w:val="left"/>
      <w:pPr>
        <w:ind w:left="3508" w:hanging="360"/>
      </w:pPr>
      <w:rPr>
        <w:rFonts w:hint="default"/>
        <w:lang w:val="en-us" w:eastAsia="en-us" w:bidi="en-us"/>
      </w:rPr>
    </w:lvl>
    <w:lvl w:ilvl="3">
      <w:start w:val="0"/>
      <w:numFmt w:val="bullet"/>
      <w:lvlText w:val="•"/>
      <w:lvlJc w:val="left"/>
      <w:pPr>
        <w:ind w:left="4372" w:hanging="360"/>
      </w:pPr>
      <w:rPr>
        <w:rFonts w:hint="default"/>
        <w:lang w:val="en-us" w:eastAsia="en-us" w:bidi="en-us"/>
      </w:rPr>
    </w:lvl>
    <w:lvl w:ilvl="4">
      <w:start w:val="0"/>
      <w:numFmt w:val="bullet"/>
      <w:lvlText w:val="•"/>
      <w:lvlJc w:val="left"/>
      <w:pPr>
        <w:ind w:left="5236" w:hanging="360"/>
      </w:pPr>
      <w:rPr>
        <w:rFonts w:hint="default"/>
        <w:lang w:val="en-us" w:eastAsia="en-us" w:bidi="en-us"/>
      </w:rPr>
    </w:lvl>
    <w:lvl w:ilvl="5">
      <w:start w:val="0"/>
      <w:numFmt w:val="bullet"/>
      <w:lvlText w:val="•"/>
      <w:lvlJc w:val="left"/>
      <w:pPr>
        <w:ind w:left="6100" w:hanging="360"/>
      </w:pPr>
      <w:rPr>
        <w:rFonts w:hint="default"/>
        <w:lang w:val="en-us" w:eastAsia="en-us" w:bidi="en-us"/>
      </w:rPr>
    </w:lvl>
    <w:lvl w:ilvl="6">
      <w:start w:val="0"/>
      <w:numFmt w:val="bullet"/>
      <w:lvlText w:val="•"/>
      <w:lvlJc w:val="left"/>
      <w:pPr>
        <w:ind w:left="6964" w:hanging="360"/>
      </w:pPr>
      <w:rPr>
        <w:rFonts w:hint="default"/>
        <w:lang w:val="en-us" w:eastAsia="en-us" w:bidi="en-us"/>
      </w:rPr>
    </w:lvl>
    <w:lvl w:ilvl="7">
      <w:start w:val="0"/>
      <w:numFmt w:val="bullet"/>
      <w:lvlText w:val="•"/>
      <w:lvlJc w:val="left"/>
      <w:pPr>
        <w:ind w:left="7828" w:hanging="360"/>
      </w:pPr>
      <w:rPr>
        <w:rFonts w:hint="default"/>
        <w:lang w:val="en-us" w:eastAsia="en-us" w:bidi="en-us"/>
      </w:rPr>
    </w:lvl>
    <w:lvl w:ilvl="8">
      <w:start w:val="0"/>
      <w:numFmt w:val="bullet"/>
      <w:lvlText w:val="•"/>
      <w:lvlJc w:val="left"/>
      <w:pPr>
        <w:ind w:left="8692" w:hanging="360"/>
      </w:pPr>
      <w:rPr>
        <w:rFonts w:hint="default"/>
        <w:lang w:val="en-us" w:eastAsia="en-us" w:bidi="en-us"/>
      </w:rPr>
    </w:lvl>
  </w:abstractNum>
  <w:abstractNum w:abstractNumId="12">
    <w:multiLevelType w:val="hybridMultilevel"/>
    <w:lvl w:ilvl="0">
      <w:start w:val="1"/>
      <w:numFmt w:val="decimal"/>
      <w:lvlText w:val="%1."/>
      <w:lvlJc w:val="left"/>
      <w:pPr>
        <w:ind w:left="1314" w:hanging="433"/>
        <w:jc w:val="left"/>
      </w:pPr>
      <w:rPr>
        <w:rFonts w:hint="default" w:ascii="Times New Roman" w:hAnsi="Times New Roman" w:eastAsia="Times New Roman" w:cs="Times New Roman"/>
        <w:b/>
        <w:bCs/>
        <w:w w:val="95"/>
        <w:sz w:val="24"/>
        <w:szCs w:val="24"/>
        <w:lang w:val="en-us" w:eastAsia="en-us" w:bidi="en-us"/>
      </w:rPr>
    </w:lvl>
    <w:lvl w:ilvl="1">
      <w:start w:val="1"/>
      <w:numFmt w:val="decimal"/>
      <w:lvlText w:val="%1.%2"/>
      <w:lvlJc w:val="left"/>
      <w:pPr>
        <w:ind w:left="1780" w:hanging="360"/>
        <w:jc w:val="right"/>
      </w:pPr>
      <w:rPr>
        <w:rFonts w:hint="default"/>
        <w:b/>
        <w:bCs/>
        <w:spacing w:val="0"/>
        <w:w w:val="90"/>
        <w:lang w:val="en-us" w:eastAsia="en-us" w:bidi="en-us"/>
      </w:rPr>
    </w:lvl>
    <w:lvl w:ilvl="2">
      <w:start w:val="0"/>
      <w:numFmt w:val="bullet"/>
      <w:lvlText w:val=""/>
      <w:lvlJc w:val="left"/>
      <w:pPr>
        <w:ind w:left="1060" w:hanging="360"/>
      </w:pPr>
      <w:rPr>
        <w:rFonts w:hint="default" w:ascii="Symbol" w:hAnsi="Symbol" w:eastAsia="Symbol" w:cs="Symbol"/>
        <w:w w:val="100"/>
        <w:sz w:val="24"/>
        <w:szCs w:val="24"/>
        <w:lang w:val="en-us" w:eastAsia="en-us" w:bidi="en-us"/>
      </w:rPr>
    </w:lvl>
    <w:lvl w:ilvl="3">
      <w:start w:val="0"/>
      <w:numFmt w:val="bullet"/>
      <w:lvlText w:val="•"/>
      <w:lvlJc w:val="left"/>
      <w:pPr>
        <w:ind w:left="1780" w:hanging="360"/>
      </w:pPr>
      <w:rPr>
        <w:rFonts w:hint="default"/>
        <w:lang w:val="en-us" w:eastAsia="en-us" w:bidi="en-us"/>
      </w:rPr>
    </w:lvl>
    <w:lvl w:ilvl="4">
      <w:start w:val="0"/>
      <w:numFmt w:val="bullet"/>
      <w:lvlText w:val="•"/>
      <w:lvlJc w:val="left"/>
      <w:pPr>
        <w:ind w:left="3014" w:hanging="360"/>
      </w:pPr>
      <w:rPr>
        <w:rFonts w:hint="default"/>
        <w:lang w:val="en-us" w:eastAsia="en-us" w:bidi="en-us"/>
      </w:rPr>
    </w:lvl>
    <w:lvl w:ilvl="5">
      <w:start w:val="0"/>
      <w:numFmt w:val="bullet"/>
      <w:lvlText w:val="•"/>
      <w:lvlJc w:val="left"/>
      <w:pPr>
        <w:ind w:left="4248" w:hanging="360"/>
      </w:pPr>
      <w:rPr>
        <w:rFonts w:hint="default"/>
        <w:lang w:val="en-us" w:eastAsia="en-us" w:bidi="en-us"/>
      </w:rPr>
    </w:lvl>
    <w:lvl w:ilvl="6">
      <w:start w:val="0"/>
      <w:numFmt w:val="bullet"/>
      <w:lvlText w:val="•"/>
      <w:lvlJc w:val="left"/>
      <w:pPr>
        <w:ind w:left="5482" w:hanging="360"/>
      </w:pPr>
      <w:rPr>
        <w:rFonts w:hint="default"/>
        <w:lang w:val="en-us" w:eastAsia="en-us" w:bidi="en-us"/>
      </w:rPr>
    </w:lvl>
    <w:lvl w:ilvl="7">
      <w:start w:val="0"/>
      <w:numFmt w:val="bullet"/>
      <w:lvlText w:val="•"/>
      <w:lvlJc w:val="left"/>
      <w:pPr>
        <w:ind w:left="6717" w:hanging="360"/>
      </w:pPr>
      <w:rPr>
        <w:rFonts w:hint="default"/>
        <w:lang w:val="en-us" w:eastAsia="en-us" w:bidi="en-us"/>
      </w:rPr>
    </w:lvl>
    <w:lvl w:ilvl="8">
      <w:start w:val="0"/>
      <w:numFmt w:val="bullet"/>
      <w:lvlText w:val="•"/>
      <w:lvlJc w:val="left"/>
      <w:pPr>
        <w:ind w:left="7951" w:hanging="360"/>
      </w:pPr>
      <w:rPr>
        <w:rFonts w:hint="default"/>
        <w:lang w:val="en-us" w:eastAsia="en-us" w:bidi="en-us"/>
      </w:rPr>
    </w:lvl>
  </w:abstractNum>
  <w:abstractNum w:abstractNumId="11">
    <w:multiLevelType w:val="hybridMultilevel"/>
    <w:lvl w:ilvl="0">
      <w:start w:val="0"/>
      <w:numFmt w:val="bullet"/>
      <w:lvlText w:val=""/>
      <w:lvlJc w:val="left"/>
      <w:pPr>
        <w:ind w:left="1420" w:hanging="360"/>
      </w:pPr>
      <w:rPr>
        <w:rFonts w:hint="default" w:ascii="Wingdings" w:hAnsi="Wingdings" w:eastAsia="Wingdings" w:cs="Wingdings"/>
        <w:w w:val="100"/>
        <w:sz w:val="24"/>
        <w:szCs w:val="24"/>
        <w:lang w:val="en-us" w:eastAsia="en-us" w:bidi="en-us"/>
      </w:rPr>
    </w:lvl>
    <w:lvl w:ilvl="1">
      <w:start w:val="0"/>
      <w:numFmt w:val="bullet"/>
      <w:lvlText w:val="•"/>
      <w:lvlJc w:val="left"/>
      <w:pPr>
        <w:ind w:left="2320" w:hanging="360"/>
      </w:pPr>
      <w:rPr>
        <w:rFonts w:hint="default"/>
        <w:lang w:val="en-us" w:eastAsia="en-us" w:bidi="en-us"/>
      </w:rPr>
    </w:lvl>
    <w:lvl w:ilvl="2">
      <w:start w:val="0"/>
      <w:numFmt w:val="bullet"/>
      <w:lvlText w:val="•"/>
      <w:lvlJc w:val="left"/>
      <w:pPr>
        <w:ind w:left="3220" w:hanging="360"/>
      </w:pPr>
      <w:rPr>
        <w:rFonts w:hint="default"/>
        <w:lang w:val="en-us" w:eastAsia="en-us" w:bidi="en-us"/>
      </w:rPr>
    </w:lvl>
    <w:lvl w:ilvl="3">
      <w:start w:val="0"/>
      <w:numFmt w:val="bullet"/>
      <w:lvlText w:val="•"/>
      <w:lvlJc w:val="left"/>
      <w:pPr>
        <w:ind w:left="4120" w:hanging="360"/>
      </w:pPr>
      <w:rPr>
        <w:rFonts w:hint="default"/>
        <w:lang w:val="en-us" w:eastAsia="en-us" w:bidi="en-us"/>
      </w:rPr>
    </w:lvl>
    <w:lvl w:ilvl="4">
      <w:start w:val="0"/>
      <w:numFmt w:val="bullet"/>
      <w:lvlText w:val="•"/>
      <w:lvlJc w:val="left"/>
      <w:pPr>
        <w:ind w:left="5020" w:hanging="360"/>
      </w:pPr>
      <w:rPr>
        <w:rFonts w:hint="default"/>
        <w:lang w:val="en-us" w:eastAsia="en-us" w:bidi="en-us"/>
      </w:rPr>
    </w:lvl>
    <w:lvl w:ilvl="5">
      <w:start w:val="0"/>
      <w:numFmt w:val="bullet"/>
      <w:lvlText w:val="•"/>
      <w:lvlJc w:val="left"/>
      <w:pPr>
        <w:ind w:left="5920"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0" w:hanging="360"/>
      </w:pPr>
      <w:rPr>
        <w:rFonts w:hint="default"/>
        <w:lang w:val="en-us" w:eastAsia="en-us" w:bidi="en-us"/>
      </w:rPr>
    </w:lvl>
    <w:lvl w:ilvl="8">
      <w:start w:val="0"/>
      <w:numFmt w:val="bullet"/>
      <w:lvlText w:val="•"/>
      <w:lvlJc w:val="left"/>
      <w:pPr>
        <w:ind w:left="8620" w:hanging="360"/>
      </w:pPr>
      <w:rPr>
        <w:rFonts w:hint="default"/>
        <w:lang w:val="en-us" w:eastAsia="en-us" w:bidi="en-us"/>
      </w:rPr>
    </w:lvl>
  </w:abstractNum>
  <w:abstractNum w:abstractNumId="10">
    <w:multiLevelType w:val="hybridMultilevel"/>
    <w:lvl w:ilvl="0">
      <w:start w:val="0"/>
      <w:numFmt w:val="bullet"/>
      <w:lvlText w:val="-"/>
      <w:lvlJc w:val="left"/>
      <w:pPr>
        <w:ind w:left="1780" w:hanging="360"/>
      </w:pPr>
      <w:rPr>
        <w:rFonts w:hint="default" w:ascii="Times New Roman" w:hAnsi="Times New Roman" w:eastAsia="Times New Roman" w:cs="Times New Roman"/>
        <w:spacing w:val="-19"/>
        <w:w w:val="99"/>
        <w:sz w:val="24"/>
        <w:szCs w:val="24"/>
        <w:lang w:val="en-us" w:eastAsia="en-us" w:bidi="en-us"/>
      </w:rPr>
    </w:lvl>
    <w:lvl w:ilvl="1">
      <w:start w:val="0"/>
      <w:numFmt w:val="bullet"/>
      <w:lvlText w:val="•"/>
      <w:lvlJc w:val="left"/>
      <w:pPr>
        <w:ind w:left="2644" w:hanging="360"/>
      </w:pPr>
      <w:rPr>
        <w:rFonts w:hint="default"/>
        <w:lang w:val="en-us" w:eastAsia="en-us" w:bidi="en-us"/>
      </w:rPr>
    </w:lvl>
    <w:lvl w:ilvl="2">
      <w:start w:val="0"/>
      <w:numFmt w:val="bullet"/>
      <w:lvlText w:val="•"/>
      <w:lvlJc w:val="left"/>
      <w:pPr>
        <w:ind w:left="3508" w:hanging="360"/>
      </w:pPr>
      <w:rPr>
        <w:rFonts w:hint="default"/>
        <w:lang w:val="en-us" w:eastAsia="en-us" w:bidi="en-us"/>
      </w:rPr>
    </w:lvl>
    <w:lvl w:ilvl="3">
      <w:start w:val="0"/>
      <w:numFmt w:val="bullet"/>
      <w:lvlText w:val="•"/>
      <w:lvlJc w:val="left"/>
      <w:pPr>
        <w:ind w:left="4372" w:hanging="360"/>
      </w:pPr>
      <w:rPr>
        <w:rFonts w:hint="default"/>
        <w:lang w:val="en-us" w:eastAsia="en-us" w:bidi="en-us"/>
      </w:rPr>
    </w:lvl>
    <w:lvl w:ilvl="4">
      <w:start w:val="0"/>
      <w:numFmt w:val="bullet"/>
      <w:lvlText w:val="•"/>
      <w:lvlJc w:val="left"/>
      <w:pPr>
        <w:ind w:left="5236" w:hanging="360"/>
      </w:pPr>
      <w:rPr>
        <w:rFonts w:hint="default"/>
        <w:lang w:val="en-us" w:eastAsia="en-us" w:bidi="en-us"/>
      </w:rPr>
    </w:lvl>
    <w:lvl w:ilvl="5">
      <w:start w:val="0"/>
      <w:numFmt w:val="bullet"/>
      <w:lvlText w:val="•"/>
      <w:lvlJc w:val="left"/>
      <w:pPr>
        <w:ind w:left="6100" w:hanging="360"/>
      </w:pPr>
      <w:rPr>
        <w:rFonts w:hint="default"/>
        <w:lang w:val="en-us" w:eastAsia="en-us" w:bidi="en-us"/>
      </w:rPr>
    </w:lvl>
    <w:lvl w:ilvl="6">
      <w:start w:val="0"/>
      <w:numFmt w:val="bullet"/>
      <w:lvlText w:val="•"/>
      <w:lvlJc w:val="left"/>
      <w:pPr>
        <w:ind w:left="6964" w:hanging="360"/>
      </w:pPr>
      <w:rPr>
        <w:rFonts w:hint="default"/>
        <w:lang w:val="en-us" w:eastAsia="en-us" w:bidi="en-us"/>
      </w:rPr>
    </w:lvl>
    <w:lvl w:ilvl="7">
      <w:start w:val="0"/>
      <w:numFmt w:val="bullet"/>
      <w:lvlText w:val="•"/>
      <w:lvlJc w:val="left"/>
      <w:pPr>
        <w:ind w:left="7828" w:hanging="360"/>
      </w:pPr>
      <w:rPr>
        <w:rFonts w:hint="default"/>
        <w:lang w:val="en-us" w:eastAsia="en-us" w:bidi="en-us"/>
      </w:rPr>
    </w:lvl>
    <w:lvl w:ilvl="8">
      <w:start w:val="0"/>
      <w:numFmt w:val="bullet"/>
      <w:lvlText w:val="•"/>
      <w:lvlJc w:val="left"/>
      <w:pPr>
        <w:ind w:left="8692" w:hanging="360"/>
      </w:pPr>
      <w:rPr>
        <w:rFonts w:hint="default"/>
        <w:lang w:val="en-us" w:eastAsia="en-us" w:bidi="en-us"/>
      </w:rPr>
    </w:lvl>
  </w:abstractNum>
  <w:abstractNum w:abstractNumId="9">
    <w:multiLevelType w:val="hybridMultilevel"/>
    <w:lvl w:ilvl="0">
      <w:start w:val="0"/>
      <w:numFmt w:val="bullet"/>
      <w:lvlText w:val="-"/>
      <w:lvlJc w:val="left"/>
      <w:pPr>
        <w:ind w:left="1780" w:hanging="360"/>
      </w:pPr>
      <w:rPr>
        <w:rFonts w:hint="default" w:ascii="Times New Roman" w:hAnsi="Times New Roman" w:eastAsia="Times New Roman" w:cs="Times New Roman"/>
        <w:b/>
        <w:bCs/>
        <w:w w:val="75"/>
        <w:sz w:val="22"/>
        <w:szCs w:val="22"/>
        <w:lang w:val="en-us" w:eastAsia="en-us" w:bidi="en-us"/>
      </w:rPr>
    </w:lvl>
    <w:lvl w:ilvl="1">
      <w:start w:val="0"/>
      <w:numFmt w:val="bullet"/>
      <w:lvlText w:val="•"/>
      <w:lvlJc w:val="left"/>
      <w:pPr>
        <w:ind w:left="2644" w:hanging="360"/>
      </w:pPr>
      <w:rPr>
        <w:rFonts w:hint="default"/>
        <w:lang w:val="en-us" w:eastAsia="en-us" w:bidi="en-us"/>
      </w:rPr>
    </w:lvl>
    <w:lvl w:ilvl="2">
      <w:start w:val="0"/>
      <w:numFmt w:val="bullet"/>
      <w:lvlText w:val="•"/>
      <w:lvlJc w:val="left"/>
      <w:pPr>
        <w:ind w:left="3508" w:hanging="360"/>
      </w:pPr>
      <w:rPr>
        <w:rFonts w:hint="default"/>
        <w:lang w:val="en-us" w:eastAsia="en-us" w:bidi="en-us"/>
      </w:rPr>
    </w:lvl>
    <w:lvl w:ilvl="3">
      <w:start w:val="0"/>
      <w:numFmt w:val="bullet"/>
      <w:lvlText w:val="•"/>
      <w:lvlJc w:val="left"/>
      <w:pPr>
        <w:ind w:left="4372" w:hanging="360"/>
      </w:pPr>
      <w:rPr>
        <w:rFonts w:hint="default"/>
        <w:lang w:val="en-us" w:eastAsia="en-us" w:bidi="en-us"/>
      </w:rPr>
    </w:lvl>
    <w:lvl w:ilvl="4">
      <w:start w:val="0"/>
      <w:numFmt w:val="bullet"/>
      <w:lvlText w:val="•"/>
      <w:lvlJc w:val="left"/>
      <w:pPr>
        <w:ind w:left="5236" w:hanging="360"/>
      </w:pPr>
      <w:rPr>
        <w:rFonts w:hint="default"/>
        <w:lang w:val="en-us" w:eastAsia="en-us" w:bidi="en-us"/>
      </w:rPr>
    </w:lvl>
    <w:lvl w:ilvl="5">
      <w:start w:val="0"/>
      <w:numFmt w:val="bullet"/>
      <w:lvlText w:val="•"/>
      <w:lvlJc w:val="left"/>
      <w:pPr>
        <w:ind w:left="6100" w:hanging="360"/>
      </w:pPr>
      <w:rPr>
        <w:rFonts w:hint="default"/>
        <w:lang w:val="en-us" w:eastAsia="en-us" w:bidi="en-us"/>
      </w:rPr>
    </w:lvl>
    <w:lvl w:ilvl="6">
      <w:start w:val="0"/>
      <w:numFmt w:val="bullet"/>
      <w:lvlText w:val="•"/>
      <w:lvlJc w:val="left"/>
      <w:pPr>
        <w:ind w:left="6964" w:hanging="360"/>
      </w:pPr>
      <w:rPr>
        <w:rFonts w:hint="default"/>
        <w:lang w:val="en-us" w:eastAsia="en-us" w:bidi="en-us"/>
      </w:rPr>
    </w:lvl>
    <w:lvl w:ilvl="7">
      <w:start w:val="0"/>
      <w:numFmt w:val="bullet"/>
      <w:lvlText w:val="•"/>
      <w:lvlJc w:val="left"/>
      <w:pPr>
        <w:ind w:left="7828" w:hanging="360"/>
      </w:pPr>
      <w:rPr>
        <w:rFonts w:hint="default"/>
        <w:lang w:val="en-us" w:eastAsia="en-us" w:bidi="en-us"/>
      </w:rPr>
    </w:lvl>
    <w:lvl w:ilvl="8">
      <w:start w:val="0"/>
      <w:numFmt w:val="bullet"/>
      <w:lvlText w:val="•"/>
      <w:lvlJc w:val="left"/>
      <w:pPr>
        <w:ind w:left="8692" w:hanging="360"/>
      </w:pPr>
      <w:rPr>
        <w:rFonts w:hint="default"/>
        <w:lang w:val="en-us" w:eastAsia="en-us" w:bidi="en-us"/>
      </w:rPr>
    </w:lvl>
  </w:abstractNum>
  <w:abstractNum w:abstractNumId="8">
    <w:multiLevelType w:val="hybridMultilevel"/>
    <w:lvl w:ilvl="0">
      <w:start w:val="0"/>
      <w:numFmt w:val="bullet"/>
      <w:lvlText w:val=""/>
      <w:lvlJc w:val="left"/>
      <w:pPr>
        <w:ind w:left="1420" w:hanging="360"/>
      </w:pPr>
      <w:rPr>
        <w:rFonts w:hint="default" w:ascii="Wingdings" w:hAnsi="Wingdings" w:eastAsia="Wingdings" w:cs="Wingdings"/>
        <w:w w:val="100"/>
        <w:sz w:val="24"/>
        <w:szCs w:val="24"/>
        <w:lang w:val="en-us" w:eastAsia="en-us" w:bidi="en-us"/>
      </w:rPr>
    </w:lvl>
    <w:lvl w:ilvl="1">
      <w:start w:val="0"/>
      <w:numFmt w:val="bullet"/>
      <w:lvlText w:val="•"/>
      <w:lvlJc w:val="left"/>
      <w:pPr>
        <w:ind w:left="2320" w:hanging="360"/>
      </w:pPr>
      <w:rPr>
        <w:rFonts w:hint="default"/>
        <w:lang w:val="en-us" w:eastAsia="en-us" w:bidi="en-us"/>
      </w:rPr>
    </w:lvl>
    <w:lvl w:ilvl="2">
      <w:start w:val="0"/>
      <w:numFmt w:val="bullet"/>
      <w:lvlText w:val="•"/>
      <w:lvlJc w:val="left"/>
      <w:pPr>
        <w:ind w:left="3220" w:hanging="360"/>
      </w:pPr>
      <w:rPr>
        <w:rFonts w:hint="default"/>
        <w:lang w:val="en-us" w:eastAsia="en-us" w:bidi="en-us"/>
      </w:rPr>
    </w:lvl>
    <w:lvl w:ilvl="3">
      <w:start w:val="0"/>
      <w:numFmt w:val="bullet"/>
      <w:lvlText w:val="•"/>
      <w:lvlJc w:val="left"/>
      <w:pPr>
        <w:ind w:left="4120" w:hanging="360"/>
      </w:pPr>
      <w:rPr>
        <w:rFonts w:hint="default"/>
        <w:lang w:val="en-us" w:eastAsia="en-us" w:bidi="en-us"/>
      </w:rPr>
    </w:lvl>
    <w:lvl w:ilvl="4">
      <w:start w:val="0"/>
      <w:numFmt w:val="bullet"/>
      <w:lvlText w:val="•"/>
      <w:lvlJc w:val="left"/>
      <w:pPr>
        <w:ind w:left="5020" w:hanging="360"/>
      </w:pPr>
      <w:rPr>
        <w:rFonts w:hint="default"/>
        <w:lang w:val="en-us" w:eastAsia="en-us" w:bidi="en-us"/>
      </w:rPr>
    </w:lvl>
    <w:lvl w:ilvl="5">
      <w:start w:val="0"/>
      <w:numFmt w:val="bullet"/>
      <w:lvlText w:val="•"/>
      <w:lvlJc w:val="left"/>
      <w:pPr>
        <w:ind w:left="5920"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0" w:hanging="360"/>
      </w:pPr>
      <w:rPr>
        <w:rFonts w:hint="default"/>
        <w:lang w:val="en-us" w:eastAsia="en-us" w:bidi="en-us"/>
      </w:rPr>
    </w:lvl>
    <w:lvl w:ilvl="8">
      <w:start w:val="0"/>
      <w:numFmt w:val="bullet"/>
      <w:lvlText w:val="•"/>
      <w:lvlJc w:val="left"/>
      <w:pPr>
        <w:ind w:left="8620" w:hanging="360"/>
      </w:pPr>
      <w:rPr>
        <w:rFonts w:hint="default"/>
        <w:lang w:val="en-us" w:eastAsia="en-us" w:bidi="en-us"/>
      </w:rPr>
    </w:lvl>
  </w:abstractNum>
  <w:abstractNum w:abstractNumId="7">
    <w:multiLevelType w:val="hybridMultilevel"/>
    <w:lvl w:ilvl="0">
      <w:start w:val="1"/>
      <w:numFmt w:val="decimal"/>
      <w:lvlText w:val="%1."/>
      <w:lvlJc w:val="left"/>
      <w:pPr>
        <w:ind w:left="1314" w:hanging="433"/>
        <w:jc w:val="left"/>
      </w:pPr>
      <w:rPr>
        <w:rFonts w:hint="default" w:ascii="Times New Roman" w:hAnsi="Times New Roman" w:eastAsia="Times New Roman" w:cs="Times New Roman"/>
        <w:b/>
        <w:bCs/>
        <w:spacing w:val="-5"/>
        <w:w w:val="99"/>
        <w:sz w:val="24"/>
        <w:szCs w:val="24"/>
        <w:lang w:val="en-us" w:eastAsia="en-us" w:bidi="en-us"/>
      </w:rPr>
    </w:lvl>
    <w:lvl w:ilvl="1">
      <w:start w:val="1"/>
      <w:numFmt w:val="decimal"/>
      <w:lvlText w:val="%1.%2"/>
      <w:lvlJc w:val="left"/>
      <w:pPr>
        <w:ind w:left="1487" w:hanging="360"/>
        <w:jc w:val="left"/>
      </w:pPr>
      <w:rPr>
        <w:rFonts w:hint="default"/>
        <w:b/>
        <w:bCs/>
        <w:spacing w:val="0"/>
        <w:w w:val="90"/>
        <w:lang w:val="en-us" w:eastAsia="en-us" w:bidi="en-us"/>
      </w:rPr>
    </w:lvl>
    <w:lvl w:ilvl="2">
      <w:start w:val="0"/>
      <w:numFmt w:val="bullet"/>
      <w:lvlText w:val="•"/>
      <w:lvlJc w:val="left"/>
      <w:pPr>
        <w:ind w:left="1840" w:hanging="360"/>
      </w:pPr>
      <w:rPr>
        <w:rFonts w:hint="default"/>
        <w:lang w:val="en-us" w:eastAsia="en-us" w:bidi="en-us"/>
      </w:rPr>
    </w:lvl>
    <w:lvl w:ilvl="3">
      <w:start w:val="0"/>
      <w:numFmt w:val="bullet"/>
      <w:lvlText w:val="•"/>
      <w:lvlJc w:val="left"/>
      <w:pPr>
        <w:ind w:left="2912" w:hanging="360"/>
      </w:pPr>
      <w:rPr>
        <w:rFonts w:hint="default"/>
        <w:lang w:val="en-us" w:eastAsia="en-us" w:bidi="en-us"/>
      </w:rPr>
    </w:lvl>
    <w:lvl w:ilvl="4">
      <w:start w:val="0"/>
      <w:numFmt w:val="bullet"/>
      <w:lvlText w:val="•"/>
      <w:lvlJc w:val="left"/>
      <w:pPr>
        <w:ind w:left="3985" w:hanging="360"/>
      </w:pPr>
      <w:rPr>
        <w:rFonts w:hint="default"/>
        <w:lang w:val="en-us" w:eastAsia="en-us" w:bidi="en-us"/>
      </w:rPr>
    </w:lvl>
    <w:lvl w:ilvl="5">
      <w:start w:val="0"/>
      <w:numFmt w:val="bullet"/>
      <w:lvlText w:val="•"/>
      <w:lvlJc w:val="left"/>
      <w:pPr>
        <w:ind w:left="5057" w:hanging="360"/>
      </w:pPr>
      <w:rPr>
        <w:rFonts w:hint="default"/>
        <w:lang w:val="en-us" w:eastAsia="en-us" w:bidi="en-us"/>
      </w:rPr>
    </w:lvl>
    <w:lvl w:ilvl="6">
      <w:start w:val="0"/>
      <w:numFmt w:val="bullet"/>
      <w:lvlText w:val="•"/>
      <w:lvlJc w:val="left"/>
      <w:pPr>
        <w:ind w:left="6130" w:hanging="360"/>
      </w:pPr>
      <w:rPr>
        <w:rFonts w:hint="default"/>
        <w:lang w:val="en-us" w:eastAsia="en-us" w:bidi="en-us"/>
      </w:rPr>
    </w:lvl>
    <w:lvl w:ilvl="7">
      <w:start w:val="0"/>
      <w:numFmt w:val="bullet"/>
      <w:lvlText w:val="•"/>
      <w:lvlJc w:val="left"/>
      <w:pPr>
        <w:ind w:left="7202" w:hanging="360"/>
      </w:pPr>
      <w:rPr>
        <w:rFonts w:hint="default"/>
        <w:lang w:val="en-us" w:eastAsia="en-us" w:bidi="en-us"/>
      </w:rPr>
    </w:lvl>
    <w:lvl w:ilvl="8">
      <w:start w:val="0"/>
      <w:numFmt w:val="bullet"/>
      <w:lvlText w:val="•"/>
      <w:lvlJc w:val="left"/>
      <w:pPr>
        <w:ind w:left="8275" w:hanging="360"/>
      </w:pPr>
      <w:rPr>
        <w:rFonts w:hint="default"/>
        <w:lang w:val="en-us" w:eastAsia="en-us" w:bidi="en-us"/>
      </w:rPr>
    </w:lvl>
  </w:abstractNum>
  <w:abstractNum w:abstractNumId="6">
    <w:multiLevelType w:val="hybridMultilevel"/>
    <w:lvl w:ilvl="0">
      <w:start w:val="1"/>
      <w:numFmt w:val="decimal"/>
      <w:lvlText w:val="%1."/>
      <w:lvlJc w:val="left"/>
      <w:pPr>
        <w:ind w:left="1314" w:hanging="433"/>
        <w:jc w:val="left"/>
      </w:pPr>
      <w:rPr>
        <w:rFonts w:hint="default" w:ascii="Times New Roman" w:hAnsi="Times New Roman" w:eastAsia="Times New Roman" w:cs="Times New Roman"/>
        <w:b/>
        <w:bCs/>
        <w:spacing w:val="-5"/>
        <w:w w:val="99"/>
        <w:sz w:val="24"/>
        <w:szCs w:val="24"/>
        <w:lang w:val="en-us" w:eastAsia="en-us" w:bidi="en-us"/>
      </w:rPr>
    </w:lvl>
    <w:lvl w:ilvl="1">
      <w:start w:val="1"/>
      <w:numFmt w:val="decimal"/>
      <w:lvlText w:val="%1.%2"/>
      <w:lvlJc w:val="left"/>
      <w:pPr>
        <w:ind w:left="1837" w:hanging="360"/>
        <w:jc w:val="left"/>
      </w:pPr>
      <w:rPr>
        <w:rFonts w:hint="default" w:ascii="Times New Roman" w:hAnsi="Times New Roman" w:eastAsia="Times New Roman" w:cs="Times New Roman"/>
        <w:b/>
        <w:bCs/>
        <w:w w:val="100"/>
        <w:sz w:val="24"/>
        <w:szCs w:val="24"/>
        <w:lang w:val="en-us" w:eastAsia="en-us" w:bidi="en-us"/>
      </w:rPr>
    </w:lvl>
    <w:lvl w:ilvl="2">
      <w:start w:val="1"/>
      <w:numFmt w:val="decimal"/>
      <w:lvlText w:val="%1.%2.%3"/>
      <w:lvlJc w:val="left"/>
      <w:pPr>
        <w:ind w:left="2140" w:hanging="720"/>
        <w:jc w:val="left"/>
      </w:pPr>
      <w:rPr>
        <w:rFonts w:hint="default" w:ascii="Times New Roman" w:hAnsi="Times New Roman" w:eastAsia="Times New Roman" w:cs="Times New Roman"/>
        <w:b/>
        <w:bCs/>
        <w:spacing w:val="0"/>
        <w:w w:val="90"/>
        <w:sz w:val="24"/>
        <w:szCs w:val="24"/>
        <w:lang w:val="en-us" w:eastAsia="en-us" w:bidi="en-us"/>
      </w:rPr>
    </w:lvl>
    <w:lvl w:ilvl="3">
      <w:start w:val="1"/>
      <w:numFmt w:val="decimal"/>
      <w:lvlText w:val="%1.%2.%3.%4"/>
      <w:lvlJc w:val="left"/>
      <w:pPr>
        <w:ind w:left="2860" w:hanging="721"/>
        <w:jc w:val="left"/>
      </w:pPr>
      <w:rPr>
        <w:rFonts w:hint="default" w:ascii="Times New Roman" w:hAnsi="Times New Roman" w:eastAsia="Times New Roman" w:cs="Times New Roman"/>
        <w:b/>
        <w:bCs/>
        <w:spacing w:val="0"/>
        <w:w w:val="90"/>
        <w:sz w:val="24"/>
        <w:szCs w:val="24"/>
        <w:lang w:val="en-us" w:eastAsia="en-us" w:bidi="en-us"/>
      </w:rPr>
    </w:lvl>
    <w:lvl w:ilvl="4">
      <w:start w:val="0"/>
      <w:numFmt w:val="bullet"/>
      <w:lvlText w:val="•"/>
      <w:lvlJc w:val="left"/>
      <w:pPr>
        <w:ind w:left="2140" w:hanging="721"/>
      </w:pPr>
      <w:rPr>
        <w:rFonts w:hint="default"/>
        <w:lang w:val="en-us" w:eastAsia="en-us" w:bidi="en-us"/>
      </w:rPr>
    </w:lvl>
    <w:lvl w:ilvl="5">
      <w:start w:val="0"/>
      <w:numFmt w:val="bullet"/>
      <w:lvlText w:val="•"/>
      <w:lvlJc w:val="left"/>
      <w:pPr>
        <w:ind w:left="2860" w:hanging="721"/>
      </w:pPr>
      <w:rPr>
        <w:rFonts w:hint="default"/>
        <w:lang w:val="en-us" w:eastAsia="en-us" w:bidi="en-us"/>
      </w:rPr>
    </w:lvl>
    <w:lvl w:ilvl="6">
      <w:start w:val="0"/>
      <w:numFmt w:val="bullet"/>
      <w:lvlText w:val="•"/>
      <w:lvlJc w:val="left"/>
      <w:pPr>
        <w:ind w:left="4372" w:hanging="721"/>
      </w:pPr>
      <w:rPr>
        <w:rFonts w:hint="default"/>
        <w:lang w:val="en-us" w:eastAsia="en-us" w:bidi="en-us"/>
      </w:rPr>
    </w:lvl>
    <w:lvl w:ilvl="7">
      <w:start w:val="0"/>
      <w:numFmt w:val="bullet"/>
      <w:lvlText w:val="•"/>
      <w:lvlJc w:val="left"/>
      <w:pPr>
        <w:ind w:left="5884" w:hanging="721"/>
      </w:pPr>
      <w:rPr>
        <w:rFonts w:hint="default"/>
        <w:lang w:val="en-us" w:eastAsia="en-us" w:bidi="en-us"/>
      </w:rPr>
    </w:lvl>
    <w:lvl w:ilvl="8">
      <w:start w:val="0"/>
      <w:numFmt w:val="bullet"/>
      <w:lvlText w:val="•"/>
      <w:lvlJc w:val="left"/>
      <w:pPr>
        <w:ind w:left="7396" w:hanging="721"/>
      </w:pPr>
      <w:rPr>
        <w:rFonts w:hint="default"/>
        <w:lang w:val="en-us" w:eastAsia="en-us" w:bidi="en-us"/>
      </w:rPr>
    </w:lvl>
  </w:abstractNum>
  <w:abstractNum w:abstractNumId="5">
    <w:multiLevelType w:val="hybridMultilevel"/>
    <w:lvl w:ilvl="0">
      <w:start w:val="0"/>
      <w:numFmt w:val="bullet"/>
      <w:lvlText w:val="-"/>
      <w:lvlJc w:val="left"/>
      <w:pPr>
        <w:ind w:left="1780" w:hanging="360"/>
      </w:pPr>
      <w:rPr>
        <w:rFonts w:hint="default" w:ascii="Times New Roman" w:hAnsi="Times New Roman" w:eastAsia="Times New Roman" w:cs="Times New Roman"/>
        <w:spacing w:val="-10"/>
        <w:w w:val="99"/>
        <w:sz w:val="24"/>
        <w:szCs w:val="24"/>
        <w:lang w:val="en-us" w:eastAsia="en-us" w:bidi="en-us"/>
      </w:rPr>
    </w:lvl>
    <w:lvl w:ilvl="1">
      <w:start w:val="0"/>
      <w:numFmt w:val="bullet"/>
      <w:lvlText w:val="•"/>
      <w:lvlJc w:val="left"/>
      <w:pPr>
        <w:ind w:left="2644" w:hanging="360"/>
      </w:pPr>
      <w:rPr>
        <w:rFonts w:hint="default"/>
        <w:lang w:val="en-us" w:eastAsia="en-us" w:bidi="en-us"/>
      </w:rPr>
    </w:lvl>
    <w:lvl w:ilvl="2">
      <w:start w:val="0"/>
      <w:numFmt w:val="bullet"/>
      <w:lvlText w:val="•"/>
      <w:lvlJc w:val="left"/>
      <w:pPr>
        <w:ind w:left="3508" w:hanging="360"/>
      </w:pPr>
      <w:rPr>
        <w:rFonts w:hint="default"/>
        <w:lang w:val="en-us" w:eastAsia="en-us" w:bidi="en-us"/>
      </w:rPr>
    </w:lvl>
    <w:lvl w:ilvl="3">
      <w:start w:val="0"/>
      <w:numFmt w:val="bullet"/>
      <w:lvlText w:val="•"/>
      <w:lvlJc w:val="left"/>
      <w:pPr>
        <w:ind w:left="4372" w:hanging="360"/>
      </w:pPr>
      <w:rPr>
        <w:rFonts w:hint="default"/>
        <w:lang w:val="en-us" w:eastAsia="en-us" w:bidi="en-us"/>
      </w:rPr>
    </w:lvl>
    <w:lvl w:ilvl="4">
      <w:start w:val="0"/>
      <w:numFmt w:val="bullet"/>
      <w:lvlText w:val="•"/>
      <w:lvlJc w:val="left"/>
      <w:pPr>
        <w:ind w:left="5236" w:hanging="360"/>
      </w:pPr>
      <w:rPr>
        <w:rFonts w:hint="default"/>
        <w:lang w:val="en-us" w:eastAsia="en-us" w:bidi="en-us"/>
      </w:rPr>
    </w:lvl>
    <w:lvl w:ilvl="5">
      <w:start w:val="0"/>
      <w:numFmt w:val="bullet"/>
      <w:lvlText w:val="•"/>
      <w:lvlJc w:val="left"/>
      <w:pPr>
        <w:ind w:left="6100" w:hanging="360"/>
      </w:pPr>
      <w:rPr>
        <w:rFonts w:hint="default"/>
        <w:lang w:val="en-us" w:eastAsia="en-us" w:bidi="en-us"/>
      </w:rPr>
    </w:lvl>
    <w:lvl w:ilvl="6">
      <w:start w:val="0"/>
      <w:numFmt w:val="bullet"/>
      <w:lvlText w:val="•"/>
      <w:lvlJc w:val="left"/>
      <w:pPr>
        <w:ind w:left="6964" w:hanging="360"/>
      </w:pPr>
      <w:rPr>
        <w:rFonts w:hint="default"/>
        <w:lang w:val="en-us" w:eastAsia="en-us" w:bidi="en-us"/>
      </w:rPr>
    </w:lvl>
    <w:lvl w:ilvl="7">
      <w:start w:val="0"/>
      <w:numFmt w:val="bullet"/>
      <w:lvlText w:val="•"/>
      <w:lvlJc w:val="left"/>
      <w:pPr>
        <w:ind w:left="7828" w:hanging="360"/>
      </w:pPr>
      <w:rPr>
        <w:rFonts w:hint="default"/>
        <w:lang w:val="en-us" w:eastAsia="en-us" w:bidi="en-us"/>
      </w:rPr>
    </w:lvl>
    <w:lvl w:ilvl="8">
      <w:start w:val="0"/>
      <w:numFmt w:val="bullet"/>
      <w:lvlText w:val="•"/>
      <w:lvlJc w:val="left"/>
      <w:pPr>
        <w:ind w:left="8692" w:hanging="360"/>
      </w:pPr>
      <w:rPr>
        <w:rFonts w:hint="default"/>
        <w:lang w:val="en-us" w:eastAsia="en-us" w:bidi="en-us"/>
      </w:rPr>
    </w:lvl>
  </w:abstractNum>
  <w:abstractNum w:abstractNumId="4">
    <w:multiLevelType w:val="hybridMultilevel"/>
    <w:lvl w:ilvl="0">
      <w:start w:val="0"/>
      <w:numFmt w:val="bullet"/>
      <w:lvlText w:val=""/>
      <w:lvlJc w:val="left"/>
      <w:pPr>
        <w:ind w:left="1410" w:hanging="360"/>
      </w:pPr>
      <w:rPr>
        <w:rFonts w:hint="default" w:ascii="Symbol" w:hAnsi="Symbol" w:eastAsia="Symbol" w:cs="Symbol"/>
        <w:w w:val="100"/>
        <w:sz w:val="24"/>
        <w:szCs w:val="24"/>
        <w:lang w:val="en-us" w:eastAsia="en-us" w:bidi="en-us"/>
      </w:rPr>
    </w:lvl>
    <w:lvl w:ilvl="1">
      <w:start w:val="0"/>
      <w:numFmt w:val="bullet"/>
      <w:lvlText w:val="•"/>
      <w:lvlJc w:val="left"/>
      <w:pPr>
        <w:ind w:left="2320" w:hanging="360"/>
      </w:pPr>
      <w:rPr>
        <w:rFonts w:hint="default"/>
        <w:lang w:val="en-us" w:eastAsia="en-us" w:bidi="en-us"/>
      </w:rPr>
    </w:lvl>
    <w:lvl w:ilvl="2">
      <w:start w:val="0"/>
      <w:numFmt w:val="bullet"/>
      <w:lvlText w:val="•"/>
      <w:lvlJc w:val="left"/>
      <w:pPr>
        <w:ind w:left="3220" w:hanging="360"/>
      </w:pPr>
      <w:rPr>
        <w:rFonts w:hint="default"/>
        <w:lang w:val="en-us" w:eastAsia="en-us" w:bidi="en-us"/>
      </w:rPr>
    </w:lvl>
    <w:lvl w:ilvl="3">
      <w:start w:val="0"/>
      <w:numFmt w:val="bullet"/>
      <w:lvlText w:val="•"/>
      <w:lvlJc w:val="left"/>
      <w:pPr>
        <w:ind w:left="4120" w:hanging="360"/>
      </w:pPr>
      <w:rPr>
        <w:rFonts w:hint="default"/>
        <w:lang w:val="en-us" w:eastAsia="en-us" w:bidi="en-us"/>
      </w:rPr>
    </w:lvl>
    <w:lvl w:ilvl="4">
      <w:start w:val="0"/>
      <w:numFmt w:val="bullet"/>
      <w:lvlText w:val="•"/>
      <w:lvlJc w:val="left"/>
      <w:pPr>
        <w:ind w:left="5020" w:hanging="360"/>
      </w:pPr>
      <w:rPr>
        <w:rFonts w:hint="default"/>
        <w:lang w:val="en-us" w:eastAsia="en-us" w:bidi="en-us"/>
      </w:rPr>
    </w:lvl>
    <w:lvl w:ilvl="5">
      <w:start w:val="0"/>
      <w:numFmt w:val="bullet"/>
      <w:lvlText w:val="•"/>
      <w:lvlJc w:val="left"/>
      <w:pPr>
        <w:ind w:left="5920"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0" w:hanging="360"/>
      </w:pPr>
      <w:rPr>
        <w:rFonts w:hint="default"/>
        <w:lang w:val="en-us" w:eastAsia="en-us" w:bidi="en-us"/>
      </w:rPr>
    </w:lvl>
    <w:lvl w:ilvl="8">
      <w:start w:val="0"/>
      <w:numFmt w:val="bullet"/>
      <w:lvlText w:val="•"/>
      <w:lvlJc w:val="left"/>
      <w:pPr>
        <w:ind w:left="8620" w:hanging="360"/>
      </w:pPr>
      <w:rPr>
        <w:rFonts w:hint="default"/>
        <w:lang w:val="en-us" w:eastAsia="en-us" w:bidi="en-us"/>
      </w:rPr>
    </w:lvl>
  </w:abstractNum>
  <w:abstractNum w:abstractNumId="3">
    <w:multiLevelType w:val="hybridMultilevel"/>
    <w:lvl w:ilvl="0">
      <w:start w:val="0"/>
      <w:numFmt w:val="bullet"/>
      <w:lvlText w:val="-"/>
      <w:lvlJc w:val="left"/>
      <w:pPr>
        <w:ind w:left="2001" w:hanging="361"/>
      </w:pPr>
      <w:rPr>
        <w:rFonts w:hint="default" w:ascii="Times New Roman" w:hAnsi="Times New Roman" w:eastAsia="Times New Roman" w:cs="Times New Roman"/>
        <w:w w:val="100"/>
        <w:sz w:val="22"/>
        <w:szCs w:val="22"/>
        <w:lang w:val="en-us" w:eastAsia="en-us" w:bidi="en-us"/>
      </w:rPr>
    </w:lvl>
    <w:lvl w:ilvl="1">
      <w:start w:val="0"/>
      <w:numFmt w:val="bullet"/>
      <w:lvlText w:val="•"/>
      <w:lvlJc w:val="left"/>
      <w:pPr>
        <w:ind w:left="2257" w:hanging="361"/>
      </w:pPr>
      <w:rPr>
        <w:rFonts w:hint="default"/>
        <w:lang w:val="en-us" w:eastAsia="en-us" w:bidi="en-us"/>
      </w:rPr>
    </w:lvl>
    <w:lvl w:ilvl="2">
      <w:start w:val="0"/>
      <w:numFmt w:val="bullet"/>
      <w:lvlText w:val="•"/>
      <w:lvlJc w:val="left"/>
      <w:pPr>
        <w:ind w:left="2515" w:hanging="361"/>
      </w:pPr>
      <w:rPr>
        <w:rFonts w:hint="default"/>
        <w:lang w:val="en-us" w:eastAsia="en-us" w:bidi="en-us"/>
      </w:rPr>
    </w:lvl>
    <w:lvl w:ilvl="3">
      <w:start w:val="0"/>
      <w:numFmt w:val="bullet"/>
      <w:lvlText w:val="•"/>
      <w:lvlJc w:val="left"/>
      <w:pPr>
        <w:ind w:left="2773" w:hanging="361"/>
      </w:pPr>
      <w:rPr>
        <w:rFonts w:hint="default"/>
        <w:lang w:val="en-us" w:eastAsia="en-us" w:bidi="en-us"/>
      </w:rPr>
    </w:lvl>
    <w:lvl w:ilvl="4">
      <w:start w:val="0"/>
      <w:numFmt w:val="bullet"/>
      <w:lvlText w:val="•"/>
      <w:lvlJc w:val="left"/>
      <w:pPr>
        <w:ind w:left="3031" w:hanging="361"/>
      </w:pPr>
      <w:rPr>
        <w:rFonts w:hint="default"/>
        <w:lang w:val="en-us" w:eastAsia="en-us" w:bidi="en-us"/>
      </w:rPr>
    </w:lvl>
    <w:lvl w:ilvl="5">
      <w:start w:val="0"/>
      <w:numFmt w:val="bullet"/>
      <w:lvlText w:val="•"/>
      <w:lvlJc w:val="left"/>
      <w:pPr>
        <w:ind w:left="3289" w:hanging="361"/>
      </w:pPr>
      <w:rPr>
        <w:rFonts w:hint="default"/>
        <w:lang w:val="en-us" w:eastAsia="en-us" w:bidi="en-us"/>
      </w:rPr>
    </w:lvl>
    <w:lvl w:ilvl="6">
      <w:start w:val="0"/>
      <w:numFmt w:val="bullet"/>
      <w:lvlText w:val="•"/>
      <w:lvlJc w:val="left"/>
      <w:pPr>
        <w:ind w:left="3547" w:hanging="361"/>
      </w:pPr>
      <w:rPr>
        <w:rFonts w:hint="default"/>
        <w:lang w:val="en-us" w:eastAsia="en-us" w:bidi="en-us"/>
      </w:rPr>
    </w:lvl>
    <w:lvl w:ilvl="7">
      <w:start w:val="0"/>
      <w:numFmt w:val="bullet"/>
      <w:lvlText w:val="•"/>
      <w:lvlJc w:val="left"/>
      <w:pPr>
        <w:ind w:left="3805" w:hanging="361"/>
      </w:pPr>
      <w:rPr>
        <w:rFonts w:hint="default"/>
        <w:lang w:val="en-us" w:eastAsia="en-us" w:bidi="en-us"/>
      </w:rPr>
    </w:lvl>
    <w:lvl w:ilvl="8">
      <w:start w:val="0"/>
      <w:numFmt w:val="bullet"/>
      <w:lvlText w:val="•"/>
      <w:lvlJc w:val="left"/>
      <w:pPr>
        <w:ind w:left="4063" w:hanging="361"/>
      </w:pPr>
      <w:rPr>
        <w:rFonts w:hint="default"/>
        <w:lang w:val="en-us" w:eastAsia="en-us" w:bidi="en-us"/>
      </w:rPr>
    </w:lvl>
  </w:abstractNum>
  <w:abstractNum w:abstractNumId="2">
    <w:multiLevelType w:val="hybridMultilevel"/>
    <w:lvl w:ilvl="0">
      <w:start w:val="0"/>
      <w:numFmt w:val="bullet"/>
      <w:lvlText w:val="-"/>
      <w:lvlJc w:val="left"/>
      <w:pPr>
        <w:ind w:left="704" w:hanging="361"/>
      </w:pPr>
      <w:rPr>
        <w:rFonts w:hint="default" w:ascii="Times New Roman" w:hAnsi="Times New Roman" w:eastAsia="Times New Roman" w:cs="Times New Roman"/>
        <w:w w:val="100"/>
        <w:sz w:val="22"/>
        <w:szCs w:val="22"/>
        <w:lang w:val="en-us" w:eastAsia="en-us" w:bidi="en-us"/>
      </w:rPr>
    </w:lvl>
    <w:lvl w:ilvl="1">
      <w:start w:val="0"/>
      <w:numFmt w:val="bullet"/>
      <w:lvlText w:val="•"/>
      <w:lvlJc w:val="left"/>
      <w:pPr>
        <w:ind w:left="1114" w:hanging="361"/>
      </w:pPr>
      <w:rPr>
        <w:rFonts w:hint="default"/>
        <w:lang w:val="en-us" w:eastAsia="en-us" w:bidi="en-us"/>
      </w:rPr>
    </w:lvl>
    <w:lvl w:ilvl="2">
      <w:start w:val="0"/>
      <w:numFmt w:val="bullet"/>
      <w:lvlText w:val="•"/>
      <w:lvlJc w:val="left"/>
      <w:pPr>
        <w:ind w:left="1529" w:hanging="361"/>
      </w:pPr>
      <w:rPr>
        <w:rFonts w:hint="default"/>
        <w:lang w:val="en-us" w:eastAsia="en-us" w:bidi="en-us"/>
      </w:rPr>
    </w:lvl>
    <w:lvl w:ilvl="3">
      <w:start w:val="0"/>
      <w:numFmt w:val="bullet"/>
      <w:lvlText w:val="•"/>
      <w:lvlJc w:val="left"/>
      <w:pPr>
        <w:ind w:left="1943" w:hanging="361"/>
      </w:pPr>
      <w:rPr>
        <w:rFonts w:hint="default"/>
        <w:lang w:val="en-us" w:eastAsia="en-us" w:bidi="en-us"/>
      </w:rPr>
    </w:lvl>
    <w:lvl w:ilvl="4">
      <w:start w:val="0"/>
      <w:numFmt w:val="bullet"/>
      <w:lvlText w:val="•"/>
      <w:lvlJc w:val="left"/>
      <w:pPr>
        <w:ind w:left="2358" w:hanging="361"/>
      </w:pPr>
      <w:rPr>
        <w:rFonts w:hint="default"/>
        <w:lang w:val="en-us" w:eastAsia="en-us" w:bidi="en-us"/>
      </w:rPr>
    </w:lvl>
    <w:lvl w:ilvl="5">
      <w:start w:val="0"/>
      <w:numFmt w:val="bullet"/>
      <w:lvlText w:val="•"/>
      <w:lvlJc w:val="left"/>
      <w:pPr>
        <w:ind w:left="2772" w:hanging="361"/>
      </w:pPr>
      <w:rPr>
        <w:rFonts w:hint="default"/>
        <w:lang w:val="en-us" w:eastAsia="en-us" w:bidi="en-us"/>
      </w:rPr>
    </w:lvl>
    <w:lvl w:ilvl="6">
      <w:start w:val="0"/>
      <w:numFmt w:val="bullet"/>
      <w:lvlText w:val="•"/>
      <w:lvlJc w:val="left"/>
      <w:pPr>
        <w:ind w:left="3187" w:hanging="361"/>
      </w:pPr>
      <w:rPr>
        <w:rFonts w:hint="default"/>
        <w:lang w:val="en-us" w:eastAsia="en-us" w:bidi="en-us"/>
      </w:rPr>
    </w:lvl>
    <w:lvl w:ilvl="7">
      <w:start w:val="0"/>
      <w:numFmt w:val="bullet"/>
      <w:lvlText w:val="•"/>
      <w:lvlJc w:val="left"/>
      <w:pPr>
        <w:ind w:left="3601" w:hanging="361"/>
      </w:pPr>
      <w:rPr>
        <w:rFonts w:hint="default"/>
        <w:lang w:val="en-us" w:eastAsia="en-us" w:bidi="en-us"/>
      </w:rPr>
    </w:lvl>
    <w:lvl w:ilvl="8">
      <w:start w:val="0"/>
      <w:numFmt w:val="bullet"/>
      <w:lvlText w:val="•"/>
      <w:lvlJc w:val="left"/>
      <w:pPr>
        <w:ind w:left="4016" w:hanging="361"/>
      </w:pPr>
      <w:rPr>
        <w:rFonts w:hint="default"/>
        <w:lang w:val="en-us" w:eastAsia="en-us" w:bidi="en-us"/>
      </w:rPr>
    </w:lvl>
  </w:abstractNum>
  <w:abstractNum w:abstractNumId="1">
    <w:multiLevelType w:val="hybridMultilevel"/>
    <w:lvl w:ilvl="0">
      <w:start w:val="0"/>
      <w:numFmt w:val="bullet"/>
      <w:lvlText w:val="-"/>
      <w:lvlJc w:val="left"/>
      <w:pPr>
        <w:ind w:left="1928" w:hanging="360"/>
      </w:pPr>
      <w:rPr>
        <w:rFonts w:hint="default" w:ascii="Times New Roman" w:hAnsi="Times New Roman" w:eastAsia="Times New Roman" w:cs="Times New Roman"/>
        <w:w w:val="100"/>
        <w:sz w:val="22"/>
        <w:szCs w:val="22"/>
        <w:lang w:val="en-us" w:eastAsia="en-us" w:bidi="en-us"/>
      </w:rPr>
    </w:lvl>
    <w:lvl w:ilvl="1">
      <w:start w:val="0"/>
      <w:numFmt w:val="bullet"/>
      <w:lvlText w:val="•"/>
      <w:lvlJc w:val="left"/>
      <w:pPr>
        <w:ind w:left="2178" w:hanging="360"/>
      </w:pPr>
      <w:rPr>
        <w:rFonts w:hint="default"/>
        <w:lang w:val="en-us" w:eastAsia="en-us" w:bidi="en-us"/>
      </w:rPr>
    </w:lvl>
    <w:lvl w:ilvl="2">
      <w:start w:val="0"/>
      <w:numFmt w:val="bullet"/>
      <w:lvlText w:val="•"/>
      <w:lvlJc w:val="left"/>
      <w:pPr>
        <w:ind w:left="2437" w:hanging="360"/>
      </w:pPr>
      <w:rPr>
        <w:rFonts w:hint="default"/>
        <w:lang w:val="en-us" w:eastAsia="en-us" w:bidi="en-us"/>
      </w:rPr>
    </w:lvl>
    <w:lvl w:ilvl="3">
      <w:start w:val="0"/>
      <w:numFmt w:val="bullet"/>
      <w:lvlText w:val="•"/>
      <w:lvlJc w:val="left"/>
      <w:pPr>
        <w:ind w:left="2695" w:hanging="360"/>
      </w:pPr>
      <w:rPr>
        <w:rFonts w:hint="default"/>
        <w:lang w:val="en-us" w:eastAsia="en-us" w:bidi="en-us"/>
      </w:rPr>
    </w:lvl>
    <w:lvl w:ilvl="4">
      <w:start w:val="0"/>
      <w:numFmt w:val="bullet"/>
      <w:lvlText w:val="•"/>
      <w:lvlJc w:val="left"/>
      <w:pPr>
        <w:ind w:left="2954" w:hanging="360"/>
      </w:pPr>
      <w:rPr>
        <w:rFonts w:hint="default"/>
        <w:lang w:val="en-us" w:eastAsia="en-us" w:bidi="en-us"/>
      </w:rPr>
    </w:lvl>
    <w:lvl w:ilvl="5">
      <w:start w:val="0"/>
      <w:numFmt w:val="bullet"/>
      <w:lvlText w:val="•"/>
      <w:lvlJc w:val="left"/>
      <w:pPr>
        <w:ind w:left="3213" w:hanging="360"/>
      </w:pPr>
      <w:rPr>
        <w:rFonts w:hint="default"/>
        <w:lang w:val="en-us" w:eastAsia="en-us" w:bidi="en-us"/>
      </w:rPr>
    </w:lvl>
    <w:lvl w:ilvl="6">
      <w:start w:val="0"/>
      <w:numFmt w:val="bullet"/>
      <w:lvlText w:val="•"/>
      <w:lvlJc w:val="left"/>
      <w:pPr>
        <w:ind w:left="3471" w:hanging="360"/>
      </w:pPr>
      <w:rPr>
        <w:rFonts w:hint="default"/>
        <w:lang w:val="en-us" w:eastAsia="en-us" w:bidi="en-us"/>
      </w:rPr>
    </w:lvl>
    <w:lvl w:ilvl="7">
      <w:start w:val="0"/>
      <w:numFmt w:val="bullet"/>
      <w:lvlText w:val="•"/>
      <w:lvlJc w:val="left"/>
      <w:pPr>
        <w:ind w:left="3730" w:hanging="360"/>
      </w:pPr>
      <w:rPr>
        <w:rFonts w:hint="default"/>
        <w:lang w:val="en-us" w:eastAsia="en-us" w:bidi="en-us"/>
      </w:rPr>
    </w:lvl>
    <w:lvl w:ilvl="8">
      <w:start w:val="0"/>
      <w:numFmt w:val="bullet"/>
      <w:lvlText w:val="•"/>
      <w:lvlJc w:val="left"/>
      <w:pPr>
        <w:ind w:left="3988" w:hanging="360"/>
      </w:pPr>
      <w:rPr>
        <w:rFonts w:hint="default"/>
        <w:lang w:val="en-us" w:eastAsia="en-us" w:bidi="en-us"/>
      </w:rPr>
    </w:lvl>
  </w:abstractNum>
  <w:abstractNum w:abstractNumId="0">
    <w:multiLevelType w:val="hybridMultilevel"/>
    <w:lvl w:ilvl="0">
      <w:start w:val="0"/>
      <w:numFmt w:val="bullet"/>
      <w:lvlText w:val="-"/>
      <w:lvlJc w:val="left"/>
      <w:pPr>
        <w:ind w:left="560" w:hanging="361"/>
      </w:pPr>
      <w:rPr>
        <w:rFonts w:hint="default" w:ascii="Times New Roman" w:hAnsi="Times New Roman" w:eastAsia="Times New Roman" w:cs="Times New Roman"/>
        <w:w w:val="100"/>
        <w:sz w:val="22"/>
        <w:szCs w:val="22"/>
        <w:lang w:val="en-us" w:eastAsia="en-us" w:bidi="en-us"/>
      </w:rPr>
    </w:lvl>
    <w:lvl w:ilvl="1">
      <w:start w:val="0"/>
      <w:numFmt w:val="bullet"/>
      <w:lvlText w:val="•"/>
      <w:lvlJc w:val="left"/>
      <w:pPr>
        <w:ind w:left="981" w:hanging="361"/>
      </w:pPr>
      <w:rPr>
        <w:rFonts w:hint="default"/>
        <w:lang w:val="en-us" w:eastAsia="en-us" w:bidi="en-us"/>
      </w:rPr>
    </w:lvl>
    <w:lvl w:ilvl="2">
      <w:start w:val="0"/>
      <w:numFmt w:val="bullet"/>
      <w:lvlText w:val="•"/>
      <w:lvlJc w:val="left"/>
      <w:pPr>
        <w:ind w:left="1402" w:hanging="361"/>
      </w:pPr>
      <w:rPr>
        <w:rFonts w:hint="default"/>
        <w:lang w:val="en-us" w:eastAsia="en-us" w:bidi="en-us"/>
      </w:rPr>
    </w:lvl>
    <w:lvl w:ilvl="3">
      <w:start w:val="0"/>
      <w:numFmt w:val="bullet"/>
      <w:lvlText w:val="•"/>
      <w:lvlJc w:val="left"/>
      <w:pPr>
        <w:ind w:left="1823" w:hanging="361"/>
      </w:pPr>
      <w:rPr>
        <w:rFonts w:hint="default"/>
        <w:lang w:val="en-us" w:eastAsia="en-us" w:bidi="en-us"/>
      </w:rPr>
    </w:lvl>
    <w:lvl w:ilvl="4">
      <w:start w:val="0"/>
      <w:numFmt w:val="bullet"/>
      <w:lvlText w:val="•"/>
      <w:lvlJc w:val="left"/>
      <w:pPr>
        <w:ind w:left="2245" w:hanging="361"/>
      </w:pPr>
      <w:rPr>
        <w:rFonts w:hint="default"/>
        <w:lang w:val="en-us" w:eastAsia="en-us" w:bidi="en-us"/>
      </w:rPr>
    </w:lvl>
    <w:lvl w:ilvl="5">
      <w:start w:val="0"/>
      <w:numFmt w:val="bullet"/>
      <w:lvlText w:val="•"/>
      <w:lvlJc w:val="left"/>
      <w:pPr>
        <w:ind w:left="2666" w:hanging="361"/>
      </w:pPr>
      <w:rPr>
        <w:rFonts w:hint="default"/>
        <w:lang w:val="en-us" w:eastAsia="en-us" w:bidi="en-us"/>
      </w:rPr>
    </w:lvl>
    <w:lvl w:ilvl="6">
      <w:start w:val="0"/>
      <w:numFmt w:val="bullet"/>
      <w:lvlText w:val="•"/>
      <w:lvlJc w:val="left"/>
      <w:pPr>
        <w:ind w:left="3087" w:hanging="361"/>
      </w:pPr>
      <w:rPr>
        <w:rFonts w:hint="default"/>
        <w:lang w:val="en-us" w:eastAsia="en-us" w:bidi="en-us"/>
      </w:rPr>
    </w:lvl>
    <w:lvl w:ilvl="7">
      <w:start w:val="0"/>
      <w:numFmt w:val="bullet"/>
      <w:lvlText w:val="•"/>
      <w:lvlJc w:val="left"/>
      <w:pPr>
        <w:ind w:left="3509" w:hanging="361"/>
      </w:pPr>
      <w:rPr>
        <w:rFonts w:hint="default"/>
        <w:lang w:val="en-us" w:eastAsia="en-us" w:bidi="en-us"/>
      </w:rPr>
    </w:lvl>
    <w:lvl w:ilvl="8">
      <w:start w:val="0"/>
      <w:numFmt w:val="bullet"/>
      <w:lvlText w:val="•"/>
      <w:lvlJc w:val="left"/>
      <w:pPr>
        <w:ind w:left="3930" w:hanging="361"/>
      </w:pPr>
      <w:rPr>
        <w:rFonts w:hint="default"/>
        <w:lang w:val="en-us" w:eastAsia="en-us" w:bidi="en-us"/>
      </w:rPr>
    </w:lvl>
  </w:abstract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en-us"/>
    </w:rPr>
  </w:style>
  <w:style w:styleId="TOC1" w:type="paragraph">
    <w:name w:val="TOC 1"/>
    <w:basedOn w:val="Normal"/>
    <w:uiPriority w:val="1"/>
    <w:qFormat/>
    <w:pPr>
      <w:spacing w:before="120"/>
      <w:ind w:left="699"/>
    </w:pPr>
    <w:rPr>
      <w:rFonts w:ascii="Times New Roman" w:hAnsi="Times New Roman" w:eastAsia="Times New Roman" w:cs="Times New Roman"/>
      <w:b/>
      <w:bCs/>
      <w:sz w:val="20"/>
      <w:szCs w:val="20"/>
      <w:lang w:val="en-us" w:eastAsia="en-us" w:bidi="en-us"/>
    </w:rPr>
  </w:style>
  <w:style w:styleId="TOC2" w:type="paragraph">
    <w:name w:val="TOC 2"/>
    <w:basedOn w:val="Normal"/>
    <w:uiPriority w:val="1"/>
    <w:qFormat/>
    <w:pPr>
      <w:spacing w:before="116"/>
      <w:ind w:left="699"/>
    </w:pPr>
    <w:rPr>
      <w:rFonts w:ascii="Times New Roman" w:hAnsi="Times New Roman" w:eastAsia="Times New Roman" w:cs="Times New Roman"/>
      <w:sz w:val="20"/>
      <w:szCs w:val="20"/>
      <w:lang w:val="en-us" w:eastAsia="en-us" w:bidi="en-us"/>
    </w:rPr>
  </w:style>
  <w:style w:styleId="TOC3" w:type="paragraph">
    <w:name w:val="TOC 3"/>
    <w:basedOn w:val="Normal"/>
    <w:uiPriority w:val="1"/>
    <w:qFormat/>
    <w:pPr>
      <w:spacing w:before="111"/>
      <w:ind w:left="1060"/>
    </w:pPr>
    <w:rPr>
      <w:rFonts w:ascii="Times New Roman" w:hAnsi="Times New Roman" w:eastAsia="Times New Roman" w:cs="Times New Roman"/>
      <w:b/>
      <w:bCs/>
      <w:sz w:val="20"/>
      <w:szCs w:val="20"/>
      <w:lang w:val="en-us" w:eastAsia="en-us" w:bidi="en-us"/>
    </w:rPr>
  </w:style>
  <w:style w:styleId="TOC4" w:type="paragraph">
    <w:name w:val="TOC 4"/>
    <w:basedOn w:val="Normal"/>
    <w:uiPriority w:val="1"/>
    <w:qFormat/>
    <w:pPr>
      <w:spacing w:before="116"/>
      <w:ind w:left="1060"/>
    </w:pPr>
    <w:rPr>
      <w:rFonts w:ascii="Times New Roman" w:hAnsi="Times New Roman" w:eastAsia="Times New Roman" w:cs="Times New Roman"/>
      <w:sz w:val="20"/>
      <w:szCs w:val="20"/>
      <w:lang w:val="en-us" w:eastAsia="en-us" w:bidi="en-us"/>
    </w:rPr>
  </w:style>
  <w:style w:styleId="TOC5" w:type="paragraph">
    <w:name w:val="TOC 5"/>
    <w:basedOn w:val="Normal"/>
    <w:uiPriority w:val="1"/>
    <w:qFormat/>
    <w:pPr>
      <w:spacing w:before="111"/>
      <w:ind w:left="1420"/>
    </w:pPr>
    <w:rPr>
      <w:rFonts w:ascii="Times New Roman" w:hAnsi="Times New Roman" w:eastAsia="Times New Roman" w:cs="Times New Roman"/>
      <w:sz w:val="20"/>
      <w:szCs w:val="20"/>
      <w:lang w:val="en-us" w:eastAsia="en-us" w:bidi="en-us"/>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en-us"/>
    </w:rPr>
  </w:style>
  <w:style w:styleId="Heading1" w:type="paragraph">
    <w:name w:val="Heading 1"/>
    <w:basedOn w:val="Normal"/>
    <w:uiPriority w:val="1"/>
    <w:qFormat/>
    <w:pPr>
      <w:spacing w:before="85"/>
      <w:ind w:left="557" w:right="457"/>
      <w:jc w:val="center"/>
      <w:outlineLvl w:val="1"/>
    </w:pPr>
    <w:rPr>
      <w:rFonts w:ascii="Times New Roman" w:hAnsi="Times New Roman" w:eastAsia="Times New Roman" w:cs="Times New Roman"/>
      <w:b/>
      <w:bCs/>
      <w:sz w:val="36"/>
      <w:szCs w:val="36"/>
      <w:lang w:val="en-us" w:eastAsia="en-us" w:bidi="en-us"/>
    </w:rPr>
  </w:style>
  <w:style w:styleId="Heading2" w:type="paragraph">
    <w:name w:val="Heading 2"/>
    <w:basedOn w:val="Normal"/>
    <w:uiPriority w:val="1"/>
    <w:qFormat/>
    <w:pPr>
      <w:spacing w:before="88"/>
      <w:ind w:left="825"/>
      <w:jc w:val="center"/>
      <w:outlineLvl w:val="2"/>
    </w:pPr>
    <w:rPr>
      <w:rFonts w:ascii="Times New Roman" w:hAnsi="Times New Roman" w:eastAsia="Times New Roman" w:cs="Times New Roman"/>
      <w:b/>
      <w:bCs/>
      <w:sz w:val="32"/>
      <w:szCs w:val="32"/>
      <w:lang w:val="en-us" w:eastAsia="en-us" w:bidi="en-us"/>
    </w:rPr>
  </w:style>
  <w:style w:styleId="Heading3" w:type="paragraph">
    <w:name w:val="Heading 3"/>
    <w:basedOn w:val="Normal"/>
    <w:uiPriority w:val="1"/>
    <w:qFormat/>
    <w:pPr>
      <w:spacing w:before="87"/>
      <w:ind w:left="825"/>
      <w:jc w:val="center"/>
      <w:outlineLvl w:val="3"/>
    </w:pPr>
    <w:rPr>
      <w:rFonts w:ascii="Times New Roman" w:hAnsi="Times New Roman" w:eastAsia="Times New Roman" w:cs="Times New Roman"/>
      <w:b/>
      <w:bCs/>
      <w:sz w:val="28"/>
      <w:szCs w:val="28"/>
      <w:lang w:val="en-us" w:eastAsia="en-us" w:bidi="en-us"/>
    </w:rPr>
  </w:style>
  <w:style w:styleId="Heading4" w:type="paragraph">
    <w:name w:val="Heading 4"/>
    <w:basedOn w:val="Normal"/>
    <w:uiPriority w:val="1"/>
    <w:qFormat/>
    <w:pPr>
      <w:spacing w:before="6"/>
      <w:ind w:left="20"/>
      <w:outlineLvl w:val="4"/>
    </w:pPr>
    <w:rPr>
      <w:rFonts w:ascii="Times New Roman" w:hAnsi="Times New Roman" w:eastAsia="Times New Roman" w:cs="Times New Roman"/>
      <w:sz w:val="28"/>
      <w:szCs w:val="28"/>
      <w:lang w:val="en-us" w:eastAsia="en-us" w:bidi="en-us"/>
    </w:rPr>
  </w:style>
  <w:style w:styleId="Heading5" w:type="paragraph">
    <w:name w:val="Heading 5"/>
    <w:basedOn w:val="Normal"/>
    <w:uiPriority w:val="1"/>
    <w:qFormat/>
    <w:pPr>
      <w:ind w:left="1420" w:hanging="361"/>
      <w:jc w:val="both"/>
      <w:outlineLvl w:val="5"/>
    </w:pPr>
    <w:rPr>
      <w:rFonts w:ascii="Times New Roman" w:hAnsi="Times New Roman" w:eastAsia="Times New Roman" w:cs="Times New Roman"/>
      <w:b/>
      <w:bCs/>
      <w:sz w:val="24"/>
      <w:szCs w:val="24"/>
      <w:lang w:val="en-us" w:eastAsia="en-us" w:bidi="en-us"/>
    </w:rPr>
  </w:style>
  <w:style w:styleId="ListParagraph" w:type="paragraph">
    <w:name w:val="List Paragraph"/>
    <w:basedOn w:val="Normal"/>
    <w:uiPriority w:val="1"/>
    <w:qFormat/>
    <w:pPr>
      <w:ind w:left="1420" w:hanging="361"/>
    </w:pPr>
    <w:rPr>
      <w:rFonts w:ascii="Times New Roman" w:hAnsi="Times New Roman" w:eastAsia="Times New Roman" w:cs="Times New Roman"/>
      <w:lang w:val="en-us" w:eastAsia="en-us" w:bidi="en-us"/>
    </w:rPr>
  </w:style>
  <w:style w:styleId="TableParagraph" w:type="paragraph">
    <w:name w:val="Table Paragraph"/>
    <w:basedOn w:val="Normal"/>
    <w:uiPriority w:val="1"/>
    <w:qFormat/>
    <w:pPr>
      <w:jc w:val="center"/>
    </w:pPr>
    <w:rPr>
      <w:rFonts w:ascii="Times New Roman" w:hAnsi="Times New Roman" w:eastAsia="Times New Roman" w:cs="Times New Roman"/>
      <w:lang w:val="en-us" w:eastAsia="en-us" w:bidi="en-u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4.xml"/><Relationship Id="rId9" Type="http://schemas.openxmlformats.org/officeDocument/2006/relationships/header" Target="header5.xml"/><Relationship Id="rId10" Type="http://schemas.openxmlformats.org/officeDocument/2006/relationships/header" Target="header6.xml"/><Relationship Id="rId11" Type="http://schemas.openxmlformats.org/officeDocument/2006/relationships/header" Target="header7.xml"/><Relationship Id="rId12" Type="http://schemas.openxmlformats.org/officeDocument/2006/relationships/header" Target="header8.xml"/><Relationship Id="rId13" Type="http://schemas.openxmlformats.org/officeDocument/2006/relationships/header" Target="header9.xml"/><Relationship Id="rId14" Type="http://schemas.openxmlformats.org/officeDocument/2006/relationships/header" Target="header10.xml"/><Relationship Id="rId15" Type="http://schemas.openxmlformats.org/officeDocument/2006/relationships/header" Target="header11.xml"/><Relationship Id="rId16" Type="http://schemas.openxmlformats.org/officeDocument/2006/relationships/header" Target="header12.xml"/><Relationship Id="rId17" Type="http://schemas.openxmlformats.org/officeDocument/2006/relationships/header" Target="header13.xml"/><Relationship Id="rId18" Type="http://schemas.openxmlformats.org/officeDocument/2006/relationships/header" Target="header14.xml"/><Relationship Id="rId19" Type="http://schemas.openxmlformats.org/officeDocument/2006/relationships/header" Target="header15.xml"/><Relationship Id="rId20" Type="http://schemas.openxmlformats.org/officeDocument/2006/relationships/footer" Target="footer1.xml"/><Relationship Id="rId21" Type="http://schemas.openxmlformats.org/officeDocument/2006/relationships/footer" Target="footer2.xml"/><Relationship Id="rId22" Type="http://schemas.openxmlformats.org/officeDocument/2006/relationships/header" Target="header16.xml"/><Relationship Id="rId23" Type="http://schemas.openxmlformats.org/officeDocument/2006/relationships/header" Target="header17.xml"/><Relationship Id="rId24" Type="http://schemas.openxmlformats.org/officeDocument/2006/relationships/footer" Target="footer3.xml"/><Relationship Id="rId25" Type="http://schemas.openxmlformats.org/officeDocument/2006/relationships/footer" Target="footer4.xml"/><Relationship Id="rId26" Type="http://schemas.openxmlformats.org/officeDocument/2006/relationships/hyperlink" Target="https://histoire.bnpparibas/lhistoire-des-paiements-en-18-dates" TargetMode="External"/><Relationship Id="rId27" Type="http://schemas.openxmlformats.org/officeDocument/2006/relationships/hyperlink" Target="https://commerce.orisha.com/fr/blog/evolution-moyen-paiement" TargetMode="External"/><Relationship Id="rId28" Type="http://schemas.openxmlformats.org/officeDocument/2006/relationships/hyperlink" Target="https://www.banque-france.fr/fr/publications-et-statistiques/publications/les-moyens-de-paiements" TargetMode="External"/><Relationship Id="rId29" Type="http://schemas.openxmlformats.org/officeDocument/2006/relationships/hyperlink" Target="https://www.imf.org/en/Topics/digital-payments-and-finance" TargetMode="External"/><Relationship Id="rId30" Type="http://schemas.openxmlformats.org/officeDocument/2006/relationships/hyperlink" Target="https://imagina.com/fr/blog/article/paiement-en-ligne/" TargetMode="External"/><Relationship Id="rId31" Type="http://schemas.openxmlformats.org/officeDocument/2006/relationships/hyperlink" Target="https://market-pay.com/blog/paiement-a-distance-quelles-solutions-proposees-quels-avantages-et-inconvenients" TargetMode="External"/><Relationship Id="rId32" Type="http://schemas.openxmlformats.org/officeDocument/2006/relationships/hyperlink" Target="https://www.payplug.com/fr/blog/differents-moyens-paiement-avantages-inconvenients/" TargetMode="External"/><Relationship Id="rId33" Type="http://schemas.openxmlformats.org/officeDocument/2006/relationships/hyperlink" Target="https://www.asjp.cerist.dz/en/PresentationRevue/417" TargetMode="External"/><Relationship Id="rId34" Type="http://schemas.openxmlformats.org/officeDocument/2006/relationships/hyperlink" Target="https://www.mahaal.app/fr/blog/" TargetMode="External"/><Relationship Id="rId35" Type="http://schemas.openxmlformats.org/officeDocument/2006/relationships/hyperlink" Target="https://blog.smart-tribune.com/fr/satisfaction-client" TargetMode="External"/><Relationship Id="rId36" Type="http://schemas.openxmlformats.org/officeDocument/2006/relationships/hyperlink" Target="https://www.guest-suite.com/blog/satisfaction-client" TargetMode="External"/><Relationship Id="rId37" Type="http://schemas.openxmlformats.org/officeDocument/2006/relationships/hyperlink" Target="https://www.qualtrics.com/fr/gestion-de-l-experience/client/satisfaction-client" TargetMode="External"/><Relationship Id="rId38" Type="http://schemas.openxmlformats.org/officeDocument/2006/relationships/hyperlink" Target="https://www.lyon-metropole.cci.fr/notre-blog/satisfaction-client-comment-la-mesurer-et-avec-quels-outils" TargetMode="External"/><Relationship Id="rId39" Type="http://schemas.openxmlformats.org/officeDocument/2006/relationships/hyperlink" Target="https://www.cartelis.com/blog/mesurer-satisfaction-client/#alternatives-questionnaires-satisfaction" TargetMode="External"/><Relationship Id="rId40" Type="http://schemas.openxmlformats.org/officeDocument/2006/relationships/header" Target="header18.xml"/><Relationship Id="rId41" Type="http://schemas.openxmlformats.org/officeDocument/2006/relationships/header" Target="header19.xml"/><Relationship Id="rId42" Type="http://schemas.openxmlformats.org/officeDocument/2006/relationships/footer" Target="footer5.xml"/><Relationship Id="rId43" Type="http://schemas.openxmlformats.org/officeDocument/2006/relationships/footer" Target="footer6.xml"/><Relationship Id="rId44" Type="http://schemas.openxmlformats.org/officeDocument/2006/relationships/hyperlink" Target="https://www.poste.dz/page/historique" TargetMode="External"/><Relationship Id="rId45" Type="http://schemas.openxmlformats.org/officeDocument/2006/relationships/hyperlink" Target="https://www.poste.dz/page/presentation" TargetMode="External"/><Relationship Id="rId46" Type="http://schemas.openxmlformats.org/officeDocument/2006/relationships/image" Target="media/image3.png"/><Relationship Id="rId47" Type="http://schemas.openxmlformats.org/officeDocument/2006/relationships/hyperlink" Target="https://www.poste.dz/services/corporate/cor-services" TargetMode="External"/><Relationship Id="rId48" Type="http://schemas.openxmlformats.org/officeDocument/2006/relationships/hyperlink" Target="https://www.poste.dz/services/particular/carte" TargetMode="External"/><Relationship Id="rId49" Type="http://schemas.openxmlformats.org/officeDocument/2006/relationships/hyperlink" Target="https://www.poste.dz/services/particular/info-carte" TargetMode="External"/><Relationship Id="rId50" Type="http://schemas.openxmlformats.org/officeDocument/2006/relationships/hyperlink" Target="https://www.poste.dz/services/particular/conseil-carte" TargetMode="External"/><Relationship Id="rId51" Type="http://schemas.openxmlformats.org/officeDocument/2006/relationships/hyperlink" Target="https://www.poste.dz/services/particular/cardless" TargetMode="External"/><Relationship Id="rId52" Type="http://schemas.openxmlformats.org/officeDocument/2006/relationships/hyperlink" Target="https://www.poste.dz/services/particular/premium" TargetMode="External"/><Relationship Id="rId53" Type="http://schemas.openxmlformats.org/officeDocument/2006/relationships/hyperlink" Target="https://www.poste.dz/services/corporate/cor-postaux" TargetMode="External"/><Relationship Id="rId54" Type="http://schemas.openxmlformats.org/officeDocument/2006/relationships/hyperlink" Target="https://www.poste.dz/services/professional/service-proximite" TargetMode="External"/><Relationship Id="rId55" Type="http://schemas.openxmlformats.org/officeDocument/2006/relationships/hyperlink" Target="https://www.poste.dz/services/corporate/Baridi_pay_cor" TargetMode="External"/><Relationship Id="rId56" Type="http://schemas.openxmlformats.org/officeDocument/2006/relationships/hyperlink" Target="https://edcarte.poste.dz/fr/etapel.php" TargetMode="External"/><Relationship Id="rId57" Type="http://schemas.openxmlformats.org/officeDocument/2006/relationships/hyperlink" Target="https://www.poste.dz/services/professional/baridimobweb%2C%5bconsult&#195;&#169;" TargetMode="External"/><Relationship Id="rId58" Type="http://schemas.openxmlformats.org/officeDocument/2006/relationships/image" Target="media/image4.jpeg"/><Relationship Id="rId59" Type="http://schemas.openxmlformats.org/officeDocument/2006/relationships/image" Target="media/image5.png"/><Relationship Id="rId60" Type="http://schemas.openxmlformats.org/officeDocument/2006/relationships/image" Target="media/image6.png"/><Relationship Id="rId61" Type="http://schemas.openxmlformats.org/officeDocument/2006/relationships/image" Target="media/image7.png"/><Relationship Id="rId62" Type="http://schemas.openxmlformats.org/officeDocument/2006/relationships/image" Target="media/image8.png"/><Relationship Id="rId63" Type="http://schemas.openxmlformats.org/officeDocument/2006/relationships/image" Target="media/image9.jpeg"/><Relationship Id="rId64" Type="http://schemas.openxmlformats.org/officeDocument/2006/relationships/image" Target="media/image10.jpeg"/><Relationship Id="rId65" Type="http://schemas.openxmlformats.org/officeDocument/2006/relationships/image" Target="media/image11.png"/><Relationship Id="rId66" Type="http://schemas.openxmlformats.org/officeDocument/2006/relationships/image" Target="media/image12.jpeg"/><Relationship Id="rId67" Type="http://schemas.openxmlformats.org/officeDocument/2006/relationships/image" Target="media/image13.png"/><Relationship Id="rId68" Type="http://schemas.openxmlformats.org/officeDocument/2006/relationships/image" Target="media/image14.png"/><Relationship Id="rId69" Type="http://schemas.openxmlformats.org/officeDocument/2006/relationships/image" Target="media/image15.png"/><Relationship Id="rId70" Type="http://schemas.openxmlformats.org/officeDocument/2006/relationships/image" Target="media/image16.png"/><Relationship Id="rId71" Type="http://schemas.openxmlformats.org/officeDocument/2006/relationships/image" Target="media/image17.png"/><Relationship Id="rId72" Type="http://schemas.openxmlformats.org/officeDocument/2006/relationships/image" Target="media/image18.png"/><Relationship Id="rId73" Type="http://schemas.openxmlformats.org/officeDocument/2006/relationships/image" Target="media/image19.png"/><Relationship Id="rId74" Type="http://schemas.openxmlformats.org/officeDocument/2006/relationships/image" Target="media/image20.png"/><Relationship Id="rId75" Type="http://schemas.openxmlformats.org/officeDocument/2006/relationships/image" Target="media/image21.png"/><Relationship Id="rId76" Type="http://schemas.openxmlformats.org/officeDocument/2006/relationships/image" Target="media/image22.png"/><Relationship Id="rId77" Type="http://schemas.openxmlformats.org/officeDocument/2006/relationships/image" Target="media/image23.png"/><Relationship Id="rId78" Type="http://schemas.openxmlformats.org/officeDocument/2006/relationships/image" Target="media/image24.png"/><Relationship Id="rId79" Type="http://schemas.openxmlformats.org/officeDocument/2006/relationships/image" Target="media/image25.jpeg"/><Relationship Id="rId80" Type="http://schemas.openxmlformats.org/officeDocument/2006/relationships/image" Target="media/image26.png"/><Relationship Id="rId81" Type="http://schemas.openxmlformats.org/officeDocument/2006/relationships/image" Target="media/image27.png"/><Relationship Id="rId82" Type="http://schemas.openxmlformats.org/officeDocument/2006/relationships/image" Target="media/image28.png"/><Relationship Id="rId83" Type="http://schemas.openxmlformats.org/officeDocument/2006/relationships/image" Target="media/image29.png"/><Relationship Id="rId84" Type="http://schemas.openxmlformats.org/officeDocument/2006/relationships/image" Target="media/image30.png"/><Relationship Id="rId85" Type="http://schemas.openxmlformats.org/officeDocument/2006/relationships/image" Target="media/image31.png"/><Relationship Id="rId86" Type="http://schemas.openxmlformats.org/officeDocument/2006/relationships/image" Target="media/image32.png"/><Relationship Id="rId87" Type="http://schemas.openxmlformats.org/officeDocument/2006/relationships/image" Target="media/image33.png"/><Relationship Id="rId88" Type="http://schemas.openxmlformats.org/officeDocument/2006/relationships/image" Target="media/image34.png"/><Relationship Id="rId89" Type="http://schemas.openxmlformats.org/officeDocument/2006/relationships/image" Target="media/image35.jpeg"/><Relationship Id="rId90" Type="http://schemas.openxmlformats.org/officeDocument/2006/relationships/image" Target="media/image36.png"/><Relationship Id="rId91" Type="http://schemas.openxmlformats.org/officeDocument/2006/relationships/image" Target="media/image37.png"/><Relationship Id="rId92" Type="http://schemas.openxmlformats.org/officeDocument/2006/relationships/image" Target="media/image38.jpeg"/><Relationship Id="rId93" Type="http://schemas.openxmlformats.org/officeDocument/2006/relationships/image" Target="media/image39.png"/><Relationship Id="rId94" Type="http://schemas.openxmlformats.org/officeDocument/2006/relationships/image" Target="media/image40.png"/><Relationship Id="rId95" Type="http://schemas.openxmlformats.org/officeDocument/2006/relationships/image" Target="media/image41.jpeg"/><Relationship Id="rId96" Type="http://schemas.openxmlformats.org/officeDocument/2006/relationships/image" Target="media/image42.png"/><Relationship Id="rId97" Type="http://schemas.openxmlformats.org/officeDocument/2006/relationships/image" Target="media/image43.png"/><Relationship Id="rId98" Type="http://schemas.openxmlformats.org/officeDocument/2006/relationships/image" Target="media/image44.png"/><Relationship Id="rId99" Type="http://schemas.openxmlformats.org/officeDocument/2006/relationships/image" Target="media/image45.png"/><Relationship Id="rId100" Type="http://schemas.openxmlformats.org/officeDocument/2006/relationships/image" Target="media/image46.png"/><Relationship Id="rId101" Type="http://schemas.openxmlformats.org/officeDocument/2006/relationships/image" Target="media/image47.png"/><Relationship Id="rId102" Type="http://schemas.openxmlformats.org/officeDocument/2006/relationships/image" Target="media/image48.png"/><Relationship Id="rId103" Type="http://schemas.openxmlformats.org/officeDocument/2006/relationships/header" Target="header20.xml"/><Relationship Id="rId104" Type="http://schemas.openxmlformats.org/officeDocument/2006/relationships/header" Target="header21.xml"/><Relationship Id="rId105" Type="http://schemas.openxmlformats.org/officeDocument/2006/relationships/footer" Target="footer7.xml"/><Relationship Id="rId106" Type="http://schemas.openxmlformats.org/officeDocument/2006/relationships/footer" Target="footer8.xml"/><Relationship Id="rId107" Type="http://schemas.openxmlformats.org/officeDocument/2006/relationships/header" Target="header22.xml"/><Relationship Id="rId108" Type="http://schemas.openxmlformats.org/officeDocument/2006/relationships/header" Target="header23.xml"/><Relationship Id="rId109" Type="http://schemas.openxmlformats.org/officeDocument/2006/relationships/footer" Target="footer9.xml"/><Relationship Id="rId110" Type="http://schemas.openxmlformats.org/officeDocument/2006/relationships/hyperlink" Target="http://www.guest-suite.com/blog/satisfaction-client" TargetMode="External"/><Relationship Id="rId111" Type="http://schemas.openxmlformats.org/officeDocument/2006/relationships/hyperlink" Target="http://www.banque-france.fr/fr/publications-et-statistiques/publications/les-moyens-de-" TargetMode="External"/><Relationship Id="rId112" Type="http://schemas.openxmlformats.org/officeDocument/2006/relationships/header" Target="header24.xml"/><Relationship Id="rId113" Type="http://schemas.openxmlformats.org/officeDocument/2006/relationships/header" Target="header25.xml"/><Relationship Id="rId114" Type="http://schemas.openxmlformats.org/officeDocument/2006/relationships/footer" Target="footer10.xml"/><Relationship Id="rId115" Type="http://schemas.openxmlformats.org/officeDocument/2006/relationships/hyperlink" Target="https://economie.fgov.be/fr/themes/ventes/politique-desprix/paiements/quels-sont-les-avantages-de" TargetMode="External"/><Relationship Id="rId116" Type="http://schemas.openxmlformats.org/officeDocument/2006/relationships/hyperlink" Target="https://www.payplug.com/fr/blog/differents-moyens-paiement-avantages%20inconvenients/" TargetMode="External"/><Relationship Id="rId117" Type="http://schemas.openxmlformats.org/officeDocument/2006/relationships/hyperlink" Target="https://www.digitalvirgo.com/fr/blog/7-benefits-consolidated-alternative-payment-method-digital-era/" TargetMode="External"/><Relationship Id="rId118" Type="http://schemas.openxmlformats.org/officeDocument/2006/relationships/hyperlink" Target="http://www.poste.dz/services/particular/info-carte" TargetMode="External"/><Relationship Id="rId119" Type="http://schemas.openxmlformats.org/officeDocument/2006/relationships/hyperlink" Target="http://www.poste.dz/services/particular/premium" TargetMode="External"/><Relationship Id="rId120" Type="http://schemas.openxmlformats.org/officeDocument/2006/relationships/hyperlink" Target="http://www.poste.dz/services/professional/service-proximite" TargetMode="External"/><Relationship Id="rId121" Type="http://schemas.openxmlformats.org/officeDocument/2006/relationships/hyperlink" Target="https://www.poste.dz/services/professional/baridimobweb" TargetMode="External"/><Relationship Id="rId122" Type="http://schemas.openxmlformats.org/officeDocument/2006/relationships/header" Target="header26.xml"/><Relationship Id="rId123" Type="http://schemas.openxmlformats.org/officeDocument/2006/relationships/header" Target="header27.xml"/><Relationship Id="rId124" Type="http://schemas.openxmlformats.org/officeDocument/2006/relationships/footer" Target="footer11.xml"/><Relationship Id="rId125" Type="http://schemas.openxmlformats.org/officeDocument/2006/relationships/image" Target="media/image49.jpeg"/><Relationship Id="rId126" Type="http://schemas.openxmlformats.org/officeDocument/2006/relationships/image" Target="media/image50.jpeg"/><Relationship Id="rId127" Type="http://schemas.openxmlformats.org/officeDocument/2006/relationships/header" Target="header28.xml"/><Relationship Id="rId128" Type="http://schemas.openxmlformats.org/officeDocument/2006/relationships/header" Target="header29.xml"/><Relationship Id="rId129" Type="http://schemas.openxmlformats.org/officeDocument/2006/relationships/footer" Target="footer12.xml"/><Relationship Id="rId130" Type="http://schemas.openxmlformats.org/officeDocument/2006/relationships/image" Target="media/image51.jpeg"/><Relationship Id="rId131" Type="http://schemas.openxmlformats.org/officeDocument/2006/relationships/header" Target="header30.xml"/><Relationship Id="rId132" Type="http://schemas.openxmlformats.org/officeDocument/2006/relationships/header" Target="header31.xml"/><Relationship Id="rId133" Type="http://schemas.openxmlformats.org/officeDocument/2006/relationships/footer" Target="footer13.xml"/><Relationship Id="rId134" Type="http://schemas.openxmlformats.org/officeDocument/2006/relationships/image" Target="media/image52.jpeg"/><Relationship Id="rId135" Type="http://schemas.openxmlformats.org/officeDocument/2006/relationships/header" Target="header32.xml"/><Relationship Id="rId136" Type="http://schemas.openxmlformats.org/officeDocument/2006/relationships/header" Target="header33.xml"/><Relationship Id="rId137" Type="http://schemas.openxmlformats.org/officeDocument/2006/relationships/footer" Target="footer14.xml"/><Relationship Id="rId138" Type="http://schemas.openxmlformats.org/officeDocument/2006/relationships/image" Target="media/image53.jpeg"/><Relationship Id="rId139" Type="http://schemas.openxmlformats.org/officeDocument/2006/relationships/header" Target="header34.xml"/><Relationship Id="rId140" Type="http://schemas.openxmlformats.org/officeDocument/2006/relationships/header" Target="header35.xml"/><Relationship Id="rId141" Type="http://schemas.openxmlformats.org/officeDocument/2006/relationships/footer" Target="footer15.xml"/><Relationship Id="rId142" Type="http://schemas.openxmlformats.org/officeDocument/2006/relationships/image" Target="media/image54.jpeg"/><Relationship Id="rId143" Type="http://schemas.openxmlformats.org/officeDocument/2006/relationships/header" Target="header36.xml"/><Relationship Id="rId144" Type="http://schemas.openxmlformats.org/officeDocument/2006/relationships/header" Target="header37.xml"/><Relationship Id="rId145" Type="http://schemas.openxmlformats.org/officeDocument/2006/relationships/footer" Target="footer16.xml"/><Relationship Id="rId146" Type="http://schemas.openxmlformats.org/officeDocument/2006/relationships/image" Target="media/image55.jpeg"/><Relationship Id="rId147" Type="http://schemas.openxmlformats.org/officeDocument/2006/relationships/header" Target="header38.xml"/><Relationship Id="rId148" Type="http://schemas.openxmlformats.org/officeDocument/2006/relationships/footer" Target="footer17.xml"/><Relationship Id="rId149" Type="http://schemas.openxmlformats.org/officeDocument/2006/relationships/image" Target="media/image56.jpeg"/><Relationship Id="rId150"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2025-06-28T10:52:41Z</dcterms:created>
  <dcterms:modified xsi:type="dcterms:W3CDTF">2025-06-28T10:52:41Z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2025-06-28T00:00:00Z</vt:filetime>
  </property>
</Properties>
</file>