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77A760" w14:textId="59E94011" w:rsidR="00E86AC0" w:rsidRPr="009132A6" w:rsidRDefault="00E86AC0" w:rsidP="00AE3850">
      <w:pPr>
        <w:spacing w:line="360" w:lineRule="auto"/>
        <w:jc w:val="both"/>
        <w:rPr>
          <w:rFonts w:asciiTheme="majorBidi" w:hAnsiTheme="majorBidi" w:cstheme="majorBidi"/>
          <w:noProof/>
        </w:rPr>
      </w:pPr>
      <w:r w:rsidRPr="009132A6">
        <w:rPr>
          <w:rFonts w:asciiTheme="majorBidi" w:hAnsiTheme="majorBidi" w:cstheme="majorBidi"/>
          <w:noProof/>
          <w:lang w:eastAsia="fr-FR"/>
        </w:rPr>
        <w:drawing>
          <wp:inline distT="0" distB="0" distL="0" distR="0" wp14:anchorId="6194F2A6" wp14:editId="5A62CCA0">
            <wp:extent cx="5760085" cy="1403350"/>
            <wp:effectExtent l="0" t="0" r="0" b="6350"/>
            <wp:docPr id="1" name="Image 1" descr="Une image contenant texte, capture d’écran, Police, carte de visit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 capture d’écran, Police, carte de visite&#10;&#10;Le contenu généré par l’IA peut être incorrect."/>
                    <pic:cNvPicPr/>
                  </pic:nvPicPr>
                  <pic:blipFill>
                    <a:blip r:embed="rId9">
                      <a:extLst>
                        <a:ext uri="{28A0092B-C50C-407E-A947-70E740481C1C}">
                          <a14:useLocalDpi xmlns:a14="http://schemas.microsoft.com/office/drawing/2010/main" val="0"/>
                        </a:ext>
                      </a:extLst>
                    </a:blip>
                    <a:stretch>
                      <a:fillRect/>
                    </a:stretch>
                  </pic:blipFill>
                  <pic:spPr>
                    <a:xfrm>
                      <a:off x="0" y="0"/>
                      <a:ext cx="5760085" cy="1403350"/>
                    </a:xfrm>
                    <a:prstGeom prst="rect">
                      <a:avLst/>
                    </a:prstGeom>
                  </pic:spPr>
                </pic:pic>
              </a:graphicData>
            </a:graphic>
          </wp:inline>
        </w:drawing>
      </w:r>
    </w:p>
    <w:p w14:paraId="72AC93DA" w14:textId="71484CF5" w:rsidR="00727425" w:rsidRPr="009132A6" w:rsidRDefault="00E86AC0" w:rsidP="00EB3204">
      <w:pPr>
        <w:tabs>
          <w:tab w:val="left" w:pos="2770"/>
        </w:tabs>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Mémoire de fin de cycle en vue de l’obtention du diplôme de</w:t>
      </w:r>
    </w:p>
    <w:p w14:paraId="60BFA8F0" w14:textId="7DBD5081" w:rsidR="00727425" w:rsidRPr="009132A6" w:rsidRDefault="00E86AC0" w:rsidP="00EB3204">
      <w:pPr>
        <w:tabs>
          <w:tab w:val="left" w:pos="2770"/>
        </w:tabs>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Master</w:t>
      </w:r>
    </w:p>
    <w:p w14:paraId="0BD0AAFF" w14:textId="12D9D54B" w:rsidR="00727425" w:rsidRPr="009132A6" w:rsidRDefault="00E86AC0" w:rsidP="00EB3204">
      <w:pPr>
        <w:tabs>
          <w:tab w:val="left" w:pos="2770"/>
        </w:tabs>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 xml:space="preserve">Spécialité : </w:t>
      </w:r>
      <w:r w:rsidR="00250103">
        <w:rPr>
          <w:rFonts w:asciiTheme="majorBidi" w:hAnsiTheme="majorBidi" w:cstheme="majorBidi"/>
          <w:b/>
          <w:bCs/>
          <w:sz w:val="28"/>
          <w:szCs w:val="28"/>
        </w:rPr>
        <w:t>Audit et Contrôle de Gestion</w:t>
      </w:r>
    </w:p>
    <w:p w14:paraId="5EB8ABD5" w14:textId="77777777" w:rsidR="00385617" w:rsidRPr="009132A6" w:rsidRDefault="00385617" w:rsidP="00EB3204">
      <w:pPr>
        <w:tabs>
          <w:tab w:val="left" w:pos="2770"/>
        </w:tabs>
        <w:spacing w:line="360" w:lineRule="auto"/>
        <w:jc w:val="center"/>
        <w:rPr>
          <w:rFonts w:asciiTheme="majorBidi" w:hAnsiTheme="majorBidi" w:cstheme="majorBidi"/>
          <w:b/>
          <w:bCs/>
          <w:sz w:val="28"/>
          <w:szCs w:val="28"/>
        </w:rPr>
      </w:pPr>
    </w:p>
    <w:p w14:paraId="5CB7553C" w14:textId="795ABD31" w:rsidR="00727425" w:rsidRPr="009132A6" w:rsidRDefault="00E86AC0" w:rsidP="00EB3204">
      <w:pPr>
        <w:tabs>
          <w:tab w:val="left" w:pos="2770"/>
        </w:tabs>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THEME :</w:t>
      </w:r>
    </w:p>
    <w:p w14:paraId="4232458F" w14:textId="2918EE0C" w:rsidR="00727425" w:rsidRPr="009132A6" w:rsidRDefault="00385617" w:rsidP="00AE3850">
      <w:pPr>
        <w:spacing w:line="360" w:lineRule="auto"/>
        <w:jc w:val="both"/>
        <w:rPr>
          <w:rFonts w:asciiTheme="majorBidi" w:hAnsiTheme="majorBidi" w:cstheme="majorBidi"/>
          <w:sz w:val="28"/>
          <w:szCs w:val="28"/>
        </w:rPr>
      </w:pPr>
      <w:r w:rsidRPr="009132A6">
        <w:rPr>
          <w:rFonts w:asciiTheme="majorBidi" w:hAnsiTheme="majorBidi" w:cstheme="majorBidi"/>
          <w:b/>
          <w:bCs/>
          <w:noProof/>
          <w:sz w:val="28"/>
          <w:szCs w:val="28"/>
          <w:lang w:eastAsia="fr-FR"/>
        </w:rPr>
        <mc:AlternateContent>
          <mc:Choice Requires="wps">
            <w:drawing>
              <wp:anchor distT="0" distB="0" distL="114300" distR="114300" simplePos="0" relativeHeight="251659264" behindDoc="0" locked="0" layoutInCell="1" allowOverlap="1" wp14:anchorId="707400ED" wp14:editId="3C7115E8">
                <wp:simplePos x="0" y="0"/>
                <wp:positionH relativeFrom="margin">
                  <wp:align>center</wp:align>
                </wp:positionH>
                <wp:positionV relativeFrom="paragraph">
                  <wp:posOffset>78740</wp:posOffset>
                </wp:positionV>
                <wp:extent cx="5638800" cy="161925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5638800" cy="16192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52F78D2A" w14:textId="77777777" w:rsidR="00AB34B8" w:rsidRDefault="00AB34B8" w:rsidP="006F55C8">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sidRPr="00173F8D">
                              <w:rPr>
                                <w:rFonts w:asciiTheme="majorBidi" w:eastAsia="Times New Roman" w:hAnsiTheme="majorBidi" w:cstheme="majorBidi"/>
                                <w:b/>
                                <w:bCs/>
                                <w:color w:val="222222"/>
                                <w:kern w:val="0"/>
                                <w:sz w:val="32"/>
                                <w:szCs w:val="32"/>
                                <w14:ligatures w14:val="none"/>
                              </w:rPr>
                              <w:t>La gestion budgétaire, un levier clé du contrôle de gestion</w:t>
                            </w:r>
                          </w:p>
                          <w:p w14:paraId="745EB69E" w14:textId="77777777" w:rsidR="00AB34B8" w:rsidRDefault="00AB34B8" w:rsidP="001A350E">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sidRPr="006F55C8">
                              <w:rPr>
                                <w:rFonts w:asciiTheme="majorBidi" w:eastAsia="Times New Roman" w:hAnsiTheme="majorBidi" w:cstheme="majorBidi"/>
                                <w:b/>
                                <w:bCs/>
                                <w:color w:val="222222"/>
                                <w:kern w:val="0"/>
                                <w:sz w:val="32"/>
                                <w:szCs w:val="32"/>
                                <w14:ligatures w14:val="none"/>
                              </w:rPr>
                              <w:t xml:space="preserve">Cas : </w:t>
                            </w:r>
                            <w:r>
                              <w:rPr>
                                <w:rFonts w:asciiTheme="majorBidi" w:eastAsia="Times New Roman" w:hAnsiTheme="majorBidi" w:cstheme="majorBidi"/>
                                <w:b/>
                                <w:bCs/>
                                <w:color w:val="222222"/>
                                <w:kern w:val="0"/>
                                <w:sz w:val="32"/>
                                <w:szCs w:val="32"/>
                                <w14:ligatures w14:val="none"/>
                              </w:rPr>
                              <w:t xml:space="preserve">La Direction Opérationnel de Télécommunications </w:t>
                            </w:r>
                          </w:p>
                          <w:p w14:paraId="4D3477B4" w14:textId="014FD8CB" w:rsidR="00AB34B8" w:rsidRPr="006F55C8" w:rsidRDefault="00AB34B8" w:rsidP="001A350E">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Pr>
                                <w:rFonts w:asciiTheme="majorBidi" w:eastAsia="Times New Roman" w:hAnsiTheme="majorBidi" w:cstheme="majorBidi"/>
                                <w:b/>
                                <w:bCs/>
                                <w:color w:val="222222"/>
                                <w:kern w:val="0"/>
                                <w:sz w:val="32"/>
                                <w:szCs w:val="32"/>
                                <w14:ligatures w14:val="none"/>
                              </w:rPr>
                              <w:t>-Beni Messous-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ect w14:anchorId="707400ED" id="Rectangle 2" o:spid="_x0000_s1026" style="position:absolute;left:0;text-align:left;margin-left:0;margin-top:6.2pt;width:444pt;height:127.5pt;z-index:25165926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" fillcolor="white [3201]" strokecolor="black [3213]" strokeweight="1pt">
                <v:textbox>
                  <w:txbxContent>
                    <w:p w14:paraId="52F78D2A" w14:textId="77777777" w:rsidR="00771E97" w:rsidRDefault="00771E97" w:rsidP="006F55C8">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sidRPr="00173F8D">
                        <w:rPr>
                          <w:rFonts w:asciiTheme="majorBidi" w:eastAsia="Times New Roman" w:hAnsiTheme="majorBidi" w:cstheme="majorBidi"/>
                          <w:b/>
                          <w:bCs/>
                          <w:color w:val="222222"/>
                          <w:kern w:val="0"/>
                          <w:sz w:val="32"/>
                          <w:szCs w:val="32"/>
                          <w14:ligatures w14:val="none"/>
                        </w:rPr>
                        <w:t>La gestion budgétaire, un levier clé du contrôle de gestion</w:t>
                      </w:r>
                    </w:p>
                    <w:p w14:paraId="745EB69E" w14:textId="77777777" w:rsidR="00771E97" w:rsidRDefault="00771E97" w:rsidP="001A350E">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sidRPr="006F55C8">
                        <w:rPr>
                          <w:rFonts w:asciiTheme="majorBidi" w:eastAsia="Times New Roman" w:hAnsiTheme="majorBidi" w:cstheme="majorBidi"/>
                          <w:b/>
                          <w:bCs/>
                          <w:color w:val="222222"/>
                          <w:kern w:val="0"/>
                          <w:sz w:val="32"/>
                          <w:szCs w:val="32"/>
                          <w14:ligatures w14:val="none"/>
                        </w:rPr>
                        <w:t xml:space="preserve">Cas : </w:t>
                      </w:r>
                      <w:r>
                        <w:rPr>
                          <w:rFonts w:asciiTheme="majorBidi" w:eastAsia="Times New Roman" w:hAnsiTheme="majorBidi" w:cstheme="majorBidi"/>
                          <w:b/>
                          <w:bCs/>
                          <w:color w:val="222222"/>
                          <w:kern w:val="0"/>
                          <w:sz w:val="32"/>
                          <w:szCs w:val="32"/>
                          <w14:ligatures w14:val="none"/>
                        </w:rPr>
                        <w:t xml:space="preserve">La Direction Opérationnel de Télécommunications </w:t>
                      </w:r>
                    </w:p>
                    <w:p w14:paraId="4D3477B4" w14:textId="014FD8CB" w:rsidR="00771E97" w:rsidRPr="006F55C8" w:rsidRDefault="00771E97" w:rsidP="001A350E">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Pr>
                          <w:rFonts w:asciiTheme="majorBidi" w:eastAsia="Times New Roman" w:hAnsiTheme="majorBidi" w:cstheme="majorBidi"/>
                          <w:b/>
                          <w:bCs/>
                          <w:color w:val="222222"/>
                          <w:kern w:val="0"/>
                          <w:sz w:val="32"/>
                          <w:szCs w:val="32"/>
                          <w14:ligatures w14:val="none"/>
                        </w:rPr>
                        <w:t>-Beni Messous-</w:t>
                      </w:r>
                    </w:p>
                  </w:txbxContent>
                </v:textbox>
                <w10:wrap anchorx="margin"/>
              </v:rect>
            </w:pict>
          </mc:Fallback>
        </mc:AlternateContent>
      </w:r>
    </w:p>
    <w:p w14:paraId="1C3C3858" w14:textId="4A9EBCEB" w:rsidR="00727425" w:rsidRPr="009132A6" w:rsidRDefault="00727425" w:rsidP="00AE3850">
      <w:pPr>
        <w:spacing w:line="360" w:lineRule="auto"/>
        <w:jc w:val="both"/>
        <w:rPr>
          <w:rFonts w:asciiTheme="majorBidi" w:hAnsiTheme="majorBidi" w:cstheme="majorBidi"/>
          <w:sz w:val="28"/>
          <w:szCs w:val="28"/>
        </w:rPr>
      </w:pPr>
    </w:p>
    <w:p w14:paraId="35080861" w14:textId="77777777" w:rsidR="00727425" w:rsidRPr="009132A6" w:rsidRDefault="00727425" w:rsidP="00AE3850">
      <w:pPr>
        <w:spacing w:line="360" w:lineRule="auto"/>
        <w:jc w:val="both"/>
        <w:rPr>
          <w:rFonts w:asciiTheme="majorBidi" w:hAnsiTheme="majorBidi" w:cstheme="majorBidi"/>
          <w:sz w:val="28"/>
          <w:szCs w:val="28"/>
        </w:rPr>
      </w:pPr>
    </w:p>
    <w:p w14:paraId="0BA0AA53" w14:textId="77777777" w:rsidR="00727425" w:rsidRPr="009132A6" w:rsidRDefault="00727425" w:rsidP="00AE3850">
      <w:pPr>
        <w:spacing w:line="360" w:lineRule="auto"/>
        <w:jc w:val="both"/>
        <w:rPr>
          <w:rFonts w:asciiTheme="majorBidi" w:hAnsiTheme="majorBidi" w:cstheme="majorBidi"/>
          <w:sz w:val="28"/>
          <w:szCs w:val="28"/>
        </w:rPr>
      </w:pPr>
    </w:p>
    <w:p w14:paraId="429069A0" w14:textId="77777777" w:rsidR="00727425" w:rsidRPr="009132A6" w:rsidRDefault="00727425" w:rsidP="00AE3850">
      <w:pPr>
        <w:spacing w:line="360" w:lineRule="auto"/>
        <w:jc w:val="both"/>
        <w:rPr>
          <w:rFonts w:asciiTheme="majorBidi" w:hAnsiTheme="majorBidi" w:cstheme="majorBidi"/>
          <w:sz w:val="28"/>
          <w:szCs w:val="28"/>
        </w:rPr>
      </w:pPr>
    </w:p>
    <w:p w14:paraId="2508872B" w14:textId="3AE35D3A" w:rsidR="00727425" w:rsidRPr="009132A6" w:rsidRDefault="00727425" w:rsidP="00AE3850">
      <w:pPr>
        <w:spacing w:line="360" w:lineRule="auto"/>
        <w:jc w:val="both"/>
        <w:rPr>
          <w:rFonts w:asciiTheme="majorBidi" w:hAnsiTheme="majorBidi" w:cstheme="majorBidi"/>
          <w:b/>
          <w:bCs/>
          <w:sz w:val="28"/>
          <w:szCs w:val="28"/>
        </w:rPr>
      </w:pPr>
      <w:r w:rsidRPr="009132A6">
        <w:rPr>
          <w:rFonts w:asciiTheme="majorBidi" w:hAnsiTheme="majorBidi" w:cstheme="majorBidi"/>
          <w:b/>
          <w:bCs/>
          <w:sz w:val="28"/>
          <w:szCs w:val="28"/>
        </w:rPr>
        <w:t>Présenté par :                                               Encadrées par :</w:t>
      </w:r>
    </w:p>
    <w:p w14:paraId="60F42B59" w14:textId="40A07FC3" w:rsidR="00727425" w:rsidRPr="0024426C" w:rsidRDefault="0024426C" w:rsidP="00AE3850">
      <w:pPr>
        <w:spacing w:line="360" w:lineRule="auto"/>
        <w:jc w:val="both"/>
        <w:rPr>
          <w:rFonts w:asciiTheme="majorBidi" w:hAnsiTheme="majorBidi" w:cstheme="majorBidi"/>
          <w:sz w:val="28"/>
          <w:szCs w:val="28"/>
        </w:rPr>
      </w:pPr>
      <w:r w:rsidRPr="0024426C">
        <w:rPr>
          <w:rFonts w:asciiTheme="majorBidi" w:hAnsiTheme="majorBidi" w:cstheme="majorBidi"/>
          <w:sz w:val="28"/>
          <w:szCs w:val="28"/>
        </w:rPr>
        <w:t>Mme</w:t>
      </w:r>
      <w:r w:rsidR="005E6429" w:rsidRPr="0024426C">
        <w:rPr>
          <w:rFonts w:asciiTheme="majorBidi" w:hAnsiTheme="majorBidi" w:cstheme="majorBidi"/>
          <w:sz w:val="28"/>
          <w:szCs w:val="28"/>
        </w:rPr>
        <w:t>,</w:t>
      </w:r>
      <w:r>
        <w:rPr>
          <w:rFonts w:asciiTheme="majorBidi" w:hAnsiTheme="majorBidi" w:cstheme="majorBidi"/>
          <w:sz w:val="28"/>
          <w:szCs w:val="28"/>
        </w:rPr>
        <w:t xml:space="preserve"> </w:t>
      </w:r>
      <w:r w:rsidR="001228C7" w:rsidRPr="0024426C">
        <w:rPr>
          <w:rFonts w:asciiTheme="majorBidi" w:hAnsiTheme="majorBidi" w:cstheme="majorBidi"/>
          <w:sz w:val="28"/>
          <w:szCs w:val="28"/>
        </w:rPr>
        <w:t xml:space="preserve">DJOUADI Besma </w:t>
      </w:r>
      <w:r w:rsidR="00023A4B">
        <w:rPr>
          <w:rFonts w:asciiTheme="majorBidi" w:hAnsiTheme="majorBidi" w:cstheme="majorBidi" w:hint="cs"/>
          <w:sz w:val="28"/>
          <w:szCs w:val="28"/>
          <w:rtl/>
        </w:rPr>
        <w:t xml:space="preserve">               </w:t>
      </w:r>
      <w:r w:rsidR="008C2C55">
        <w:rPr>
          <w:rFonts w:asciiTheme="majorBidi" w:hAnsiTheme="majorBidi" w:cstheme="majorBidi"/>
          <w:sz w:val="28"/>
          <w:szCs w:val="28"/>
        </w:rPr>
        <w:t xml:space="preserve">     </w:t>
      </w:r>
      <w:r w:rsidR="00CA42FB" w:rsidRPr="0024426C">
        <w:rPr>
          <w:rFonts w:asciiTheme="majorBidi" w:hAnsiTheme="majorBidi" w:cstheme="majorBidi"/>
          <w:sz w:val="28"/>
          <w:szCs w:val="28"/>
        </w:rPr>
        <w:t xml:space="preserve">     </w:t>
      </w:r>
      <w:r w:rsidR="00173F8D" w:rsidRPr="0024426C">
        <w:rPr>
          <w:rFonts w:asciiTheme="majorBidi" w:hAnsiTheme="majorBidi" w:cstheme="majorBidi"/>
          <w:sz w:val="28"/>
          <w:szCs w:val="28"/>
        </w:rPr>
        <w:t xml:space="preserve">  </w:t>
      </w:r>
      <w:r w:rsidR="00CA42FB" w:rsidRPr="0024426C">
        <w:rPr>
          <w:rFonts w:asciiTheme="majorBidi" w:hAnsiTheme="majorBidi" w:cstheme="majorBidi"/>
          <w:sz w:val="28"/>
          <w:szCs w:val="28"/>
        </w:rPr>
        <w:t xml:space="preserve"> </w:t>
      </w:r>
      <w:r w:rsidR="00173F8D" w:rsidRPr="0024426C">
        <w:rPr>
          <w:rFonts w:asciiTheme="majorBidi" w:hAnsiTheme="majorBidi" w:cstheme="majorBidi"/>
          <w:sz w:val="28"/>
          <w:szCs w:val="28"/>
        </w:rPr>
        <w:t xml:space="preserve">  D</w:t>
      </w:r>
      <w:r w:rsidR="006D1565" w:rsidRPr="0024426C">
        <w:rPr>
          <w:rFonts w:asciiTheme="majorBidi" w:hAnsiTheme="majorBidi" w:cstheme="majorBidi"/>
          <w:sz w:val="28"/>
          <w:szCs w:val="28"/>
        </w:rPr>
        <w:t>r</w:t>
      </w:r>
      <w:r w:rsidR="00023A4B" w:rsidRPr="0024426C">
        <w:rPr>
          <w:rFonts w:asciiTheme="majorBidi" w:hAnsiTheme="majorBidi" w:cstheme="majorBidi"/>
          <w:sz w:val="28"/>
          <w:szCs w:val="28"/>
        </w:rPr>
        <w:t xml:space="preserve"> </w:t>
      </w:r>
      <w:r w:rsidR="006D1565" w:rsidRPr="0024426C">
        <w:rPr>
          <w:rFonts w:asciiTheme="majorBidi" w:hAnsiTheme="majorBidi" w:cstheme="majorBidi"/>
          <w:sz w:val="28"/>
          <w:szCs w:val="28"/>
        </w:rPr>
        <w:t>DERAHMOUN Hilal</w:t>
      </w:r>
      <w:r w:rsidR="00173F8D" w:rsidRPr="0024426C">
        <w:rPr>
          <w:rFonts w:asciiTheme="majorBidi" w:hAnsiTheme="majorBidi" w:cstheme="majorBidi"/>
          <w:sz w:val="28"/>
          <w:szCs w:val="28"/>
        </w:rPr>
        <w:t xml:space="preserve">  </w:t>
      </w:r>
    </w:p>
    <w:p w14:paraId="1416E8B0" w14:textId="5EF2D57A" w:rsidR="00A345B0" w:rsidRPr="005E6429" w:rsidRDefault="005E6429" w:rsidP="00AE3850">
      <w:pPr>
        <w:spacing w:line="360" w:lineRule="auto"/>
        <w:jc w:val="both"/>
        <w:rPr>
          <w:rFonts w:asciiTheme="majorBidi" w:hAnsiTheme="majorBidi" w:cstheme="majorBidi"/>
          <w:sz w:val="28"/>
          <w:szCs w:val="28"/>
        </w:rPr>
      </w:pPr>
      <w:r>
        <w:rPr>
          <w:rFonts w:asciiTheme="majorBidi" w:hAnsiTheme="majorBidi" w:cstheme="majorBidi"/>
          <w:sz w:val="28"/>
          <w:szCs w:val="28"/>
        </w:rPr>
        <w:t>Mme,</w:t>
      </w:r>
      <w:r w:rsidR="0024426C">
        <w:rPr>
          <w:rFonts w:asciiTheme="majorBidi" w:hAnsiTheme="majorBidi" w:cstheme="majorBidi"/>
          <w:sz w:val="28"/>
          <w:szCs w:val="28"/>
        </w:rPr>
        <w:t xml:space="preserve"> </w:t>
      </w:r>
      <w:r w:rsidR="00023A4B" w:rsidRPr="005E6429">
        <w:rPr>
          <w:rFonts w:asciiTheme="majorBidi" w:hAnsiTheme="majorBidi" w:cstheme="majorBidi"/>
          <w:sz w:val="28"/>
          <w:szCs w:val="28"/>
        </w:rPr>
        <w:t xml:space="preserve">DJAILEB Mariane </w:t>
      </w:r>
      <w:r w:rsidR="00A345B0" w:rsidRPr="005E6429">
        <w:rPr>
          <w:rFonts w:asciiTheme="majorBidi" w:hAnsiTheme="majorBidi" w:cstheme="majorBidi"/>
          <w:sz w:val="28"/>
          <w:szCs w:val="28"/>
        </w:rPr>
        <w:t xml:space="preserve">               </w:t>
      </w:r>
      <w:r w:rsidR="00CA42FB" w:rsidRPr="005E6429">
        <w:rPr>
          <w:rFonts w:asciiTheme="majorBidi" w:hAnsiTheme="majorBidi" w:cstheme="majorBidi"/>
          <w:sz w:val="28"/>
          <w:szCs w:val="28"/>
        </w:rPr>
        <w:t xml:space="preserve">       </w:t>
      </w:r>
      <w:r w:rsidR="008C2C55">
        <w:rPr>
          <w:rFonts w:asciiTheme="majorBidi" w:hAnsiTheme="majorBidi" w:cstheme="majorBidi"/>
          <w:sz w:val="28"/>
          <w:szCs w:val="28"/>
        </w:rPr>
        <w:t xml:space="preserve">    </w:t>
      </w:r>
      <w:r w:rsidR="00A345B0" w:rsidRPr="005E6429">
        <w:rPr>
          <w:rFonts w:asciiTheme="majorBidi" w:hAnsiTheme="majorBidi" w:cstheme="majorBidi"/>
          <w:sz w:val="28"/>
          <w:szCs w:val="28"/>
        </w:rPr>
        <w:t xml:space="preserve">   </w:t>
      </w:r>
      <w:r w:rsidR="00873E6F" w:rsidRPr="005E6429">
        <w:rPr>
          <w:rFonts w:asciiTheme="majorBidi" w:hAnsiTheme="majorBidi" w:cstheme="majorBidi"/>
          <w:sz w:val="28"/>
          <w:szCs w:val="28"/>
        </w:rPr>
        <w:t>Professeur</w:t>
      </w:r>
    </w:p>
    <w:p w14:paraId="4DE96860" w14:textId="0EA0DC15" w:rsidR="00A345B0" w:rsidRPr="009132A6" w:rsidRDefault="00A345B0" w:rsidP="00AE3850">
      <w:pPr>
        <w:spacing w:line="360" w:lineRule="auto"/>
        <w:jc w:val="both"/>
        <w:rPr>
          <w:rFonts w:asciiTheme="majorBidi" w:hAnsiTheme="majorBidi" w:cstheme="majorBidi"/>
          <w:sz w:val="28"/>
          <w:szCs w:val="28"/>
        </w:rPr>
      </w:pPr>
      <w:r w:rsidRPr="005E6429">
        <w:rPr>
          <w:rFonts w:asciiTheme="majorBidi" w:hAnsiTheme="majorBidi" w:cstheme="majorBidi"/>
          <w:sz w:val="28"/>
          <w:szCs w:val="28"/>
        </w:rPr>
        <w:t xml:space="preserve">                                        </w:t>
      </w:r>
      <w:r w:rsidR="00873E6F" w:rsidRPr="005E6429">
        <w:rPr>
          <w:rFonts w:asciiTheme="majorBidi" w:hAnsiTheme="majorBidi" w:cstheme="majorBidi"/>
          <w:sz w:val="28"/>
          <w:szCs w:val="28"/>
        </w:rPr>
        <w:t xml:space="preserve">                               </w:t>
      </w:r>
    </w:p>
    <w:p w14:paraId="73F82665" w14:textId="77777777" w:rsidR="00727425" w:rsidRPr="009132A6" w:rsidRDefault="00727425" w:rsidP="00AE3850">
      <w:pPr>
        <w:spacing w:line="360" w:lineRule="auto"/>
        <w:jc w:val="both"/>
        <w:rPr>
          <w:rFonts w:asciiTheme="majorBidi" w:hAnsiTheme="majorBidi" w:cstheme="majorBidi"/>
          <w:sz w:val="28"/>
          <w:szCs w:val="28"/>
        </w:rPr>
      </w:pPr>
    </w:p>
    <w:p w14:paraId="5D11B5BB" w14:textId="4FB0D6FA" w:rsidR="00727425" w:rsidRPr="009132A6" w:rsidRDefault="00727425" w:rsidP="00EB3204">
      <w:pPr>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Année universitaire : 2024/2025</w:t>
      </w:r>
    </w:p>
    <w:p w14:paraId="24136BFE" w14:textId="77777777" w:rsidR="0046585F" w:rsidRPr="009132A6" w:rsidRDefault="0046585F" w:rsidP="00AE3850">
      <w:pPr>
        <w:spacing w:line="360" w:lineRule="auto"/>
        <w:jc w:val="both"/>
        <w:rPr>
          <w:rFonts w:asciiTheme="majorBidi" w:hAnsiTheme="majorBidi" w:cstheme="majorBidi"/>
          <w:b/>
          <w:bCs/>
          <w:sz w:val="28"/>
          <w:szCs w:val="28"/>
        </w:rPr>
      </w:pPr>
    </w:p>
    <w:p w14:paraId="1991B7A1" w14:textId="77777777" w:rsidR="002672A7" w:rsidRPr="009132A6" w:rsidRDefault="002672A7" w:rsidP="00AE3850">
      <w:pPr>
        <w:spacing w:line="360" w:lineRule="auto"/>
        <w:jc w:val="both"/>
        <w:rPr>
          <w:rFonts w:asciiTheme="majorBidi" w:hAnsiTheme="majorBidi" w:cstheme="majorBidi"/>
          <w:b/>
          <w:bCs/>
          <w:sz w:val="28"/>
          <w:szCs w:val="28"/>
        </w:rPr>
      </w:pPr>
    </w:p>
    <w:p w14:paraId="3312380D" w14:textId="77777777" w:rsidR="002672A7" w:rsidRPr="009132A6" w:rsidRDefault="002672A7" w:rsidP="00AE3850">
      <w:pPr>
        <w:spacing w:line="360" w:lineRule="auto"/>
        <w:jc w:val="both"/>
        <w:rPr>
          <w:rFonts w:asciiTheme="majorBidi" w:hAnsiTheme="majorBidi" w:cstheme="majorBidi"/>
          <w:b/>
          <w:bCs/>
          <w:sz w:val="28"/>
          <w:szCs w:val="28"/>
        </w:rPr>
        <w:sectPr w:rsidR="002672A7" w:rsidRPr="009132A6" w:rsidSect="00CD54D1">
          <w:footerReference w:type="first" r:id="rId10"/>
          <w:pgSz w:w="11906" w:h="16838"/>
          <w:pgMar w:top="1418" w:right="1134" w:bottom="1418" w:left="1701" w:header="709" w:footer="709" w:gutter="0"/>
          <w:cols w:space="708"/>
          <w:docGrid w:linePitch="360"/>
        </w:sectPr>
      </w:pPr>
    </w:p>
    <w:p w14:paraId="2936E16D" w14:textId="77777777" w:rsidR="00847B1C" w:rsidRPr="009132A6" w:rsidRDefault="00847B1C" w:rsidP="00AE3850">
      <w:pPr>
        <w:spacing w:line="360" w:lineRule="auto"/>
        <w:jc w:val="both"/>
        <w:rPr>
          <w:rFonts w:asciiTheme="majorBidi" w:hAnsiTheme="majorBidi" w:cstheme="majorBidi"/>
          <w:b/>
          <w:bCs/>
          <w:sz w:val="28"/>
          <w:szCs w:val="28"/>
        </w:rPr>
        <w:sectPr w:rsidR="00847B1C" w:rsidRPr="009132A6" w:rsidSect="00D81013">
          <w:pgSz w:w="11906" w:h="16838"/>
          <w:pgMar w:top="1418" w:right="1134" w:bottom="1418" w:left="1701" w:header="709" w:footer="709" w:gutter="0"/>
          <w:cols w:space="708"/>
          <w:docGrid w:linePitch="360"/>
        </w:sectPr>
      </w:pPr>
    </w:p>
    <w:p w14:paraId="56D3D913" w14:textId="4AA93F2B" w:rsidR="00847B1C" w:rsidRPr="009132A6" w:rsidRDefault="00847B1C" w:rsidP="00AE3850">
      <w:pPr>
        <w:spacing w:line="360" w:lineRule="auto"/>
        <w:jc w:val="both"/>
        <w:rPr>
          <w:rFonts w:asciiTheme="majorBidi" w:hAnsiTheme="majorBidi" w:cstheme="majorBidi"/>
          <w:noProof/>
        </w:rPr>
      </w:pPr>
      <w:r w:rsidRPr="009132A6">
        <w:rPr>
          <w:rFonts w:asciiTheme="majorBidi" w:hAnsiTheme="majorBidi" w:cstheme="majorBidi"/>
          <w:noProof/>
          <w:lang w:eastAsia="fr-FR"/>
        </w:rPr>
        <w:lastRenderedPageBreak/>
        <w:drawing>
          <wp:inline distT="0" distB="0" distL="0" distR="0" wp14:anchorId="0956F1B2" wp14:editId="6782E173">
            <wp:extent cx="5760085" cy="1403350"/>
            <wp:effectExtent l="0" t="0" r="0" b="6350"/>
            <wp:docPr id="4" name="Image 4" descr="Une image contenant texte, capture d’écran, Police, carte de visit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 capture d’écran, Police, carte de visite&#10;&#10;Le contenu généré par l’IA peut être incorrect."/>
                    <pic:cNvPicPr/>
                  </pic:nvPicPr>
                  <pic:blipFill>
                    <a:blip r:embed="rId9">
                      <a:extLst>
                        <a:ext uri="{28A0092B-C50C-407E-A947-70E740481C1C}">
                          <a14:useLocalDpi xmlns:a14="http://schemas.microsoft.com/office/drawing/2010/main" val="0"/>
                        </a:ext>
                      </a:extLst>
                    </a:blip>
                    <a:stretch>
                      <a:fillRect/>
                    </a:stretch>
                  </pic:blipFill>
                  <pic:spPr>
                    <a:xfrm>
                      <a:off x="0" y="0"/>
                      <a:ext cx="5760085" cy="1403350"/>
                    </a:xfrm>
                    <a:prstGeom prst="rect">
                      <a:avLst/>
                    </a:prstGeom>
                  </pic:spPr>
                </pic:pic>
              </a:graphicData>
            </a:graphic>
          </wp:inline>
        </w:drawing>
      </w:r>
    </w:p>
    <w:p w14:paraId="183B96CE" w14:textId="77777777" w:rsidR="00847B1C" w:rsidRPr="009132A6" w:rsidRDefault="00847B1C" w:rsidP="00EB3204">
      <w:pPr>
        <w:tabs>
          <w:tab w:val="left" w:pos="2770"/>
        </w:tabs>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Mémoire de fin de cycle en vue de l’obtention du diplôme de</w:t>
      </w:r>
    </w:p>
    <w:p w14:paraId="41151BB3" w14:textId="77777777" w:rsidR="00847B1C" w:rsidRPr="009132A6" w:rsidRDefault="00847B1C" w:rsidP="00EB3204">
      <w:pPr>
        <w:tabs>
          <w:tab w:val="left" w:pos="2770"/>
        </w:tabs>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Master</w:t>
      </w:r>
    </w:p>
    <w:p w14:paraId="5CCD7CD4" w14:textId="3D0D2A8C" w:rsidR="00385617" w:rsidRPr="009132A6" w:rsidRDefault="00847B1C" w:rsidP="00EB3204">
      <w:pPr>
        <w:tabs>
          <w:tab w:val="left" w:pos="2770"/>
        </w:tabs>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 xml:space="preserve">Spécialité : </w:t>
      </w:r>
      <w:r w:rsidR="00250103">
        <w:rPr>
          <w:rFonts w:asciiTheme="majorBidi" w:hAnsiTheme="majorBidi" w:cstheme="majorBidi"/>
          <w:b/>
          <w:bCs/>
          <w:sz w:val="28"/>
          <w:szCs w:val="28"/>
        </w:rPr>
        <w:t>Audit et Contrôle de Gestion</w:t>
      </w:r>
    </w:p>
    <w:p w14:paraId="3794ABFC" w14:textId="78319017" w:rsidR="00847B1C" w:rsidRPr="009132A6" w:rsidRDefault="00847B1C" w:rsidP="00EB3204">
      <w:pPr>
        <w:tabs>
          <w:tab w:val="left" w:pos="2770"/>
        </w:tabs>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THEME :</w:t>
      </w:r>
    </w:p>
    <w:p w14:paraId="5D96B019" w14:textId="2071AB7B" w:rsidR="00847B1C" w:rsidRPr="009132A6" w:rsidRDefault="00385617" w:rsidP="00AE3850">
      <w:pPr>
        <w:spacing w:line="360" w:lineRule="auto"/>
        <w:jc w:val="both"/>
        <w:rPr>
          <w:rFonts w:asciiTheme="majorBidi" w:hAnsiTheme="majorBidi" w:cstheme="majorBidi"/>
          <w:sz w:val="28"/>
          <w:szCs w:val="28"/>
        </w:rPr>
      </w:pPr>
      <w:r w:rsidRPr="009132A6">
        <w:rPr>
          <w:rFonts w:asciiTheme="majorBidi" w:hAnsiTheme="majorBidi" w:cstheme="majorBidi"/>
          <w:b/>
          <w:bCs/>
          <w:noProof/>
          <w:sz w:val="28"/>
          <w:szCs w:val="28"/>
          <w:lang w:eastAsia="fr-FR"/>
        </w:rPr>
        <mc:AlternateContent>
          <mc:Choice Requires="wps">
            <w:drawing>
              <wp:anchor distT="0" distB="0" distL="114300" distR="114300" simplePos="0" relativeHeight="251661312" behindDoc="0" locked="0" layoutInCell="1" allowOverlap="1" wp14:anchorId="230FE3ED" wp14:editId="6A41A0BF">
                <wp:simplePos x="0" y="0"/>
                <wp:positionH relativeFrom="margin">
                  <wp:align>center</wp:align>
                </wp:positionH>
                <wp:positionV relativeFrom="paragraph">
                  <wp:posOffset>78740</wp:posOffset>
                </wp:positionV>
                <wp:extent cx="5638800" cy="1619250"/>
                <wp:effectExtent l="0" t="0" r="19050" b="19050"/>
                <wp:wrapNone/>
                <wp:docPr id="3" name="Rectangle 3"/>
                <wp:cNvGraphicFramePr/>
                <a:graphic xmlns:a="http://schemas.openxmlformats.org/drawingml/2006/main">
                  <a:graphicData uri="http://schemas.microsoft.com/office/word/2010/wordprocessingShape">
                    <wps:wsp>
                      <wps:cNvSpPr/>
                      <wps:spPr>
                        <a:xfrm>
                          <a:off x="0" y="0"/>
                          <a:ext cx="5638800" cy="16192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7B930239" w14:textId="77777777" w:rsidR="00AB34B8" w:rsidRDefault="00AB34B8" w:rsidP="006F55C8">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sidRPr="00E8542C">
                              <w:rPr>
                                <w:rFonts w:asciiTheme="majorBidi" w:eastAsia="Times New Roman" w:hAnsiTheme="majorBidi" w:cstheme="majorBidi"/>
                                <w:b/>
                                <w:bCs/>
                                <w:color w:val="222222"/>
                                <w:kern w:val="0"/>
                                <w:sz w:val="32"/>
                                <w:szCs w:val="32"/>
                                <w14:ligatures w14:val="none"/>
                              </w:rPr>
                              <w:t>La gestion budgétaire, un levier clé du contrôle de gestion</w:t>
                            </w:r>
                          </w:p>
                          <w:p w14:paraId="293382AA" w14:textId="4C2A5E31" w:rsidR="00AB34B8" w:rsidRDefault="00AB34B8" w:rsidP="006F55C8">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sidRPr="006F55C8">
                              <w:rPr>
                                <w:rFonts w:asciiTheme="majorBidi" w:eastAsia="Times New Roman" w:hAnsiTheme="majorBidi" w:cstheme="majorBidi"/>
                                <w:b/>
                                <w:bCs/>
                                <w:color w:val="222222"/>
                                <w:kern w:val="0"/>
                                <w:sz w:val="32"/>
                                <w:szCs w:val="32"/>
                                <w14:ligatures w14:val="none"/>
                              </w:rPr>
                              <w:t xml:space="preserve">Cas : </w:t>
                            </w:r>
                            <w:r>
                              <w:rPr>
                                <w:rFonts w:asciiTheme="majorBidi" w:eastAsia="Times New Roman" w:hAnsiTheme="majorBidi" w:cstheme="majorBidi"/>
                                <w:b/>
                                <w:bCs/>
                                <w:color w:val="222222"/>
                                <w:kern w:val="0"/>
                                <w:sz w:val="32"/>
                                <w:szCs w:val="32"/>
                                <w14:ligatures w14:val="none"/>
                              </w:rPr>
                              <w:t xml:space="preserve">La Direction Opérationnel de Télécommunications </w:t>
                            </w:r>
                          </w:p>
                          <w:p w14:paraId="3081AD26" w14:textId="6ACBD83D" w:rsidR="00AB34B8" w:rsidRPr="006F55C8" w:rsidRDefault="00AB34B8" w:rsidP="006F55C8">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Pr>
                                <w:rFonts w:asciiTheme="majorBidi" w:eastAsia="Times New Roman" w:hAnsiTheme="majorBidi" w:cstheme="majorBidi"/>
                                <w:b/>
                                <w:bCs/>
                                <w:color w:val="222222"/>
                                <w:kern w:val="0"/>
                                <w:sz w:val="32"/>
                                <w:szCs w:val="32"/>
                                <w14:ligatures w14:val="none"/>
                              </w:rPr>
                              <w:t>-Beni Messous-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ect w14:anchorId="230FE3ED" id="Rectangle 3" o:spid="_x0000_s1027" style="position:absolute;left:0;text-align:left;margin-left:0;margin-top:6.2pt;width:444pt;height:127.5pt;z-index:25166131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" fillcolor="white [3201]" strokecolor="black [3213]" strokeweight="1pt">
                <v:textbox>
                  <w:txbxContent>
                    <w:p w14:paraId="7B930239" w14:textId="77777777" w:rsidR="00771E97" w:rsidRDefault="00771E97" w:rsidP="006F55C8">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sidRPr="00E8542C">
                        <w:rPr>
                          <w:rFonts w:asciiTheme="majorBidi" w:eastAsia="Times New Roman" w:hAnsiTheme="majorBidi" w:cstheme="majorBidi"/>
                          <w:b/>
                          <w:bCs/>
                          <w:color w:val="222222"/>
                          <w:kern w:val="0"/>
                          <w:sz w:val="32"/>
                          <w:szCs w:val="32"/>
                          <w14:ligatures w14:val="none"/>
                        </w:rPr>
                        <w:t>La gestion budgétaire, un levier clé du contrôle de gestion</w:t>
                      </w:r>
                    </w:p>
                    <w:p w14:paraId="293382AA" w14:textId="4C2A5E31" w:rsidR="00771E97" w:rsidRDefault="00771E97" w:rsidP="006F55C8">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sidRPr="006F55C8">
                        <w:rPr>
                          <w:rFonts w:asciiTheme="majorBidi" w:eastAsia="Times New Roman" w:hAnsiTheme="majorBidi" w:cstheme="majorBidi"/>
                          <w:b/>
                          <w:bCs/>
                          <w:color w:val="222222"/>
                          <w:kern w:val="0"/>
                          <w:sz w:val="32"/>
                          <w:szCs w:val="32"/>
                          <w14:ligatures w14:val="none"/>
                        </w:rPr>
                        <w:t xml:space="preserve">Cas : </w:t>
                      </w:r>
                      <w:r>
                        <w:rPr>
                          <w:rFonts w:asciiTheme="majorBidi" w:eastAsia="Times New Roman" w:hAnsiTheme="majorBidi" w:cstheme="majorBidi"/>
                          <w:b/>
                          <w:bCs/>
                          <w:color w:val="222222"/>
                          <w:kern w:val="0"/>
                          <w:sz w:val="32"/>
                          <w:szCs w:val="32"/>
                          <w14:ligatures w14:val="none"/>
                        </w:rPr>
                        <w:t xml:space="preserve">La Direction Opérationnel de Télécommunications </w:t>
                      </w:r>
                    </w:p>
                    <w:p w14:paraId="3081AD26" w14:textId="6ACBD83D" w:rsidR="00771E97" w:rsidRPr="006F55C8" w:rsidRDefault="00771E97" w:rsidP="006F55C8">
                      <w:pPr>
                        <w:shd w:val="clear" w:color="auto" w:fill="FFFFFF"/>
                        <w:spacing w:after="0" w:line="240" w:lineRule="auto"/>
                        <w:jc w:val="center"/>
                        <w:rPr>
                          <w:rFonts w:asciiTheme="majorBidi" w:eastAsia="Times New Roman" w:hAnsiTheme="majorBidi" w:cstheme="majorBidi"/>
                          <w:b/>
                          <w:bCs/>
                          <w:color w:val="222222"/>
                          <w:kern w:val="0"/>
                          <w:sz w:val="32"/>
                          <w:szCs w:val="32"/>
                          <w14:ligatures w14:val="none"/>
                        </w:rPr>
                      </w:pPr>
                      <w:r>
                        <w:rPr>
                          <w:rFonts w:asciiTheme="majorBidi" w:eastAsia="Times New Roman" w:hAnsiTheme="majorBidi" w:cstheme="majorBidi"/>
                          <w:b/>
                          <w:bCs/>
                          <w:color w:val="222222"/>
                          <w:kern w:val="0"/>
                          <w:sz w:val="32"/>
                          <w:szCs w:val="32"/>
                          <w14:ligatures w14:val="none"/>
                        </w:rPr>
                        <w:t>-Beni Messous-</w:t>
                      </w:r>
                    </w:p>
                  </w:txbxContent>
                </v:textbox>
                <w10:wrap anchorx="margin"/>
              </v:rect>
            </w:pict>
          </mc:Fallback>
        </mc:AlternateContent>
      </w:r>
    </w:p>
    <w:p w14:paraId="78EE88D8" w14:textId="5878D32C" w:rsidR="00847B1C" w:rsidRPr="009132A6" w:rsidRDefault="00847B1C" w:rsidP="00AE3850">
      <w:pPr>
        <w:spacing w:line="360" w:lineRule="auto"/>
        <w:jc w:val="both"/>
        <w:rPr>
          <w:rFonts w:asciiTheme="majorBidi" w:hAnsiTheme="majorBidi" w:cstheme="majorBidi"/>
          <w:sz w:val="28"/>
          <w:szCs w:val="28"/>
        </w:rPr>
      </w:pPr>
    </w:p>
    <w:p w14:paraId="7204B788" w14:textId="77777777" w:rsidR="00847B1C" w:rsidRPr="009132A6" w:rsidRDefault="00847B1C" w:rsidP="00AE3850">
      <w:pPr>
        <w:spacing w:line="360" w:lineRule="auto"/>
        <w:jc w:val="both"/>
        <w:rPr>
          <w:rFonts w:asciiTheme="majorBidi" w:hAnsiTheme="majorBidi" w:cstheme="majorBidi"/>
          <w:sz w:val="28"/>
          <w:szCs w:val="28"/>
        </w:rPr>
      </w:pPr>
    </w:p>
    <w:p w14:paraId="3A01E05B" w14:textId="77777777" w:rsidR="00847B1C" w:rsidRPr="009132A6" w:rsidRDefault="00847B1C" w:rsidP="00AE3850">
      <w:pPr>
        <w:spacing w:line="360" w:lineRule="auto"/>
        <w:jc w:val="both"/>
        <w:rPr>
          <w:rFonts w:asciiTheme="majorBidi" w:hAnsiTheme="majorBidi" w:cstheme="majorBidi"/>
          <w:sz w:val="28"/>
          <w:szCs w:val="28"/>
        </w:rPr>
      </w:pPr>
    </w:p>
    <w:p w14:paraId="6F517DC2" w14:textId="77777777" w:rsidR="00847B1C" w:rsidRPr="009132A6" w:rsidRDefault="00847B1C" w:rsidP="00AE3850">
      <w:pPr>
        <w:spacing w:line="360" w:lineRule="auto"/>
        <w:jc w:val="both"/>
        <w:rPr>
          <w:rFonts w:asciiTheme="majorBidi" w:hAnsiTheme="majorBidi" w:cstheme="majorBidi"/>
          <w:b/>
          <w:bCs/>
          <w:sz w:val="28"/>
          <w:szCs w:val="28"/>
        </w:rPr>
      </w:pPr>
    </w:p>
    <w:p w14:paraId="5F0EBAB5" w14:textId="77777777" w:rsidR="00E8542C" w:rsidRPr="009132A6" w:rsidRDefault="00E8542C" w:rsidP="00AE3850">
      <w:pPr>
        <w:spacing w:line="360" w:lineRule="auto"/>
        <w:jc w:val="both"/>
        <w:rPr>
          <w:rFonts w:asciiTheme="majorBidi" w:hAnsiTheme="majorBidi" w:cstheme="majorBidi"/>
          <w:b/>
          <w:bCs/>
          <w:sz w:val="28"/>
          <w:szCs w:val="28"/>
        </w:rPr>
      </w:pPr>
      <w:r w:rsidRPr="009132A6">
        <w:rPr>
          <w:rFonts w:asciiTheme="majorBidi" w:hAnsiTheme="majorBidi" w:cstheme="majorBidi"/>
          <w:b/>
          <w:bCs/>
          <w:sz w:val="28"/>
          <w:szCs w:val="28"/>
        </w:rPr>
        <w:t>Présenté par :                                                Encadrées par :</w:t>
      </w:r>
    </w:p>
    <w:p w14:paraId="531DA6A4" w14:textId="503BAF5E" w:rsidR="00E8542C" w:rsidRPr="008C2C55" w:rsidRDefault="008C2C55" w:rsidP="00AE3850">
      <w:pPr>
        <w:spacing w:line="360" w:lineRule="auto"/>
        <w:jc w:val="both"/>
        <w:rPr>
          <w:rFonts w:asciiTheme="majorBidi" w:hAnsiTheme="majorBidi" w:cstheme="majorBidi"/>
          <w:sz w:val="28"/>
          <w:szCs w:val="28"/>
        </w:rPr>
      </w:pPr>
      <w:r w:rsidRPr="008C2C55">
        <w:rPr>
          <w:rFonts w:asciiTheme="majorBidi" w:hAnsiTheme="majorBidi" w:cstheme="majorBidi"/>
          <w:sz w:val="28"/>
          <w:szCs w:val="28"/>
        </w:rPr>
        <w:t xml:space="preserve">Mme, </w:t>
      </w:r>
      <w:r w:rsidR="00E8542C" w:rsidRPr="008C2C55">
        <w:rPr>
          <w:rFonts w:asciiTheme="majorBidi" w:hAnsiTheme="majorBidi" w:cstheme="majorBidi"/>
          <w:sz w:val="28"/>
          <w:szCs w:val="28"/>
        </w:rPr>
        <w:t xml:space="preserve">DJOUADI Besma </w:t>
      </w:r>
      <w:r w:rsidR="00E8542C">
        <w:rPr>
          <w:rFonts w:asciiTheme="majorBidi" w:hAnsiTheme="majorBidi" w:cstheme="majorBidi" w:hint="cs"/>
          <w:sz w:val="28"/>
          <w:szCs w:val="28"/>
          <w:rtl/>
        </w:rPr>
        <w:t xml:space="preserve">               </w:t>
      </w:r>
      <w:r w:rsidR="00E8542C" w:rsidRPr="008C2C55">
        <w:rPr>
          <w:rFonts w:asciiTheme="majorBidi" w:hAnsiTheme="majorBidi" w:cstheme="majorBidi"/>
          <w:sz w:val="28"/>
          <w:szCs w:val="28"/>
        </w:rPr>
        <w:t xml:space="preserve">  </w:t>
      </w:r>
      <w:r w:rsidR="0081454F" w:rsidRPr="008C2C55">
        <w:rPr>
          <w:rFonts w:asciiTheme="majorBidi" w:hAnsiTheme="majorBidi" w:cstheme="majorBidi"/>
          <w:sz w:val="28"/>
          <w:szCs w:val="28"/>
        </w:rPr>
        <w:t xml:space="preserve">         </w:t>
      </w:r>
      <w:r w:rsidR="00AD2F5D">
        <w:rPr>
          <w:rFonts w:asciiTheme="majorBidi" w:hAnsiTheme="majorBidi" w:cstheme="majorBidi"/>
          <w:sz w:val="28"/>
          <w:szCs w:val="28"/>
        </w:rPr>
        <w:t xml:space="preserve">    </w:t>
      </w:r>
      <w:r w:rsidR="00E8542C" w:rsidRPr="008C2C55">
        <w:rPr>
          <w:rFonts w:asciiTheme="majorBidi" w:hAnsiTheme="majorBidi" w:cstheme="majorBidi"/>
          <w:sz w:val="28"/>
          <w:szCs w:val="28"/>
        </w:rPr>
        <w:t xml:space="preserve">  </w:t>
      </w:r>
      <w:r w:rsidR="006D1565" w:rsidRPr="008C2C55">
        <w:rPr>
          <w:rFonts w:asciiTheme="majorBidi" w:hAnsiTheme="majorBidi" w:cstheme="majorBidi"/>
          <w:sz w:val="28"/>
          <w:szCs w:val="28"/>
        </w:rPr>
        <w:t xml:space="preserve">Dr DERAHMOUN Hilal  </w:t>
      </w:r>
    </w:p>
    <w:p w14:paraId="4129A024" w14:textId="306BC9E6" w:rsidR="008C2C55" w:rsidRPr="005E6429" w:rsidRDefault="00D36A64" w:rsidP="008C2C55">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Mme, </w:t>
      </w:r>
      <w:r w:rsidR="00E8542C" w:rsidRPr="008C2C55">
        <w:rPr>
          <w:rFonts w:asciiTheme="majorBidi" w:hAnsiTheme="majorBidi" w:cstheme="majorBidi"/>
          <w:sz w:val="28"/>
          <w:szCs w:val="28"/>
        </w:rPr>
        <w:t xml:space="preserve">DJAILEB Mariane </w:t>
      </w:r>
      <w:r w:rsidR="00A345B0" w:rsidRPr="008C2C55">
        <w:rPr>
          <w:rFonts w:asciiTheme="majorBidi" w:hAnsiTheme="majorBidi" w:cstheme="majorBidi"/>
          <w:sz w:val="28"/>
          <w:szCs w:val="28"/>
        </w:rPr>
        <w:t xml:space="preserve">                    </w:t>
      </w:r>
      <w:r w:rsidR="0081454F" w:rsidRPr="008C2C55">
        <w:rPr>
          <w:rFonts w:asciiTheme="majorBidi" w:hAnsiTheme="majorBidi" w:cstheme="majorBidi"/>
          <w:sz w:val="28"/>
          <w:szCs w:val="28"/>
        </w:rPr>
        <w:t xml:space="preserve">         </w:t>
      </w:r>
      <w:r w:rsidR="00A345B0" w:rsidRPr="008C2C55">
        <w:rPr>
          <w:rFonts w:asciiTheme="majorBidi" w:hAnsiTheme="majorBidi" w:cstheme="majorBidi"/>
          <w:sz w:val="28"/>
          <w:szCs w:val="28"/>
        </w:rPr>
        <w:t xml:space="preserve">  </w:t>
      </w:r>
      <w:r w:rsidR="008C2C55" w:rsidRPr="005E6429">
        <w:rPr>
          <w:rFonts w:asciiTheme="majorBidi" w:hAnsiTheme="majorBidi" w:cstheme="majorBidi"/>
          <w:sz w:val="28"/>
          <w:szCs w:val="28"/>
        </w:rPr>
        <w:t>Professeur</w:t>
      </w:r>
    </w:p>
    <w:p w14:paraId="08DE22C2" w14:textId="5671E9DF" w:rsidR="00A345B0" w:rsidRPr="008C2C55" w:rsidRDefault="00A345B0" w:rsidP="008C2C55">
      <w:pPr>
        <w:spacing w:line="360" w:lineRule="auto"/>
        <w:jc w:val="both"/>
        <w:rPr>
          <w:rFonts w:asciiTheme="majorBidi" w:hAnsiTheme="majorBidi" w:cstheme="majorBidi"/>
          <w:b/>
          <w:bCs/>
          <w:sz w:val="28"/>
          <w:szCs w:val="28"/>
        </w:rPr>
      </w:pPr>
    </w:p>
    <w:p w14:paraId="07C9B1C0" w14:textId="77777777" w:rsidR="00E8542C" w:rsidRPr="009132A6" w:rsidRDefault="00E8542C" w:rsidP="00AE3850">
      <w:pPr>
        <w:spacing w:line="360" w:lineRule="auto"/>
        <w:jc w:val="both"/>
        <w:rPr>
          <w:rFonts w:asciiTheme="majorBidi" w:hAnsiTheme="majorBidi" w:cstheme="majorBidi"/>
          <w:sz w:val="28"/>
          <w:szCs w:val="28"/>
        </w:rPr>
      </w:pPr>
    </w:p>
    <w:p w14:paraId="5FB4CEC4" w14:textId="77777777" w:rsidR="00E8542C" w:rsidRPr="009132A6" w:rsidRDefault="00E8542C" w:rsidP="00EB3204">
      <w:pPr>
        <w:spacing w:line="360" w:lineRule="auto"/>
        <w:jc w:val="center"/>
        <w:rPr>
          <w:rFonts w:asciiTheme="majorBidi" w:hAnsiTheme="majorBidi" w:cstheme="majorBidi"/>
          <w:b/>
          <w:bCs/>
          <w:sz w:val="28"/>
          <w:szCs w:val="28"/>
        </w:rPr>
      </w:pPr>
      <w:r w:rsidRPr="009132A6">
        <w:rPr>
          <w:rFonts w:asciiTheme="majorBidi" w:hAnsiTheme="majorBidi" w:cstheme="majorBidi"/>
          <w:b/>
          <w:bCs/>
          <w:sz w:val="28"/>
          <w:szCs w:val="28"/>
        </w:rPr>
        <w:t>Année universitaire : 2024/2025</w:t>
      </w:r>
    </w:p>
    <w:p w14:paraId="3366C9C2" w14:textId="77777777" w:rsidR="00847B1C" w:rsidRPr="009132A6" w:rsidRDefault="00847B1C" w:rsidP="00AE3850">
      <w:pPr>
        <w:spacing w:line="360" w:lineRule="auto"/>
        <w:jc w:val="both"/>
        <w:rPr>
          <w:rFonts w:asciiTheme="majorBidi" w:hAnsiTheme="majorBidi" w:cstheme="majorBidi"/>
          <w:b/>
          <w:bCs/>
          <w:sz w:val="28"/>
          <w:szCs w:val="28"/>
        </w:rPr>
      </w:pPr>
    </w:p>
    <w:p w14:paraId="472B1DAC" w14:textId="77777777" w:rsidR="00847B1C" w:rsidRPr="009132A6" w:rsidRDefault="00847B1C" w:rsidP="00AE3850">
      <w:pPr>
        <w:spacing w:line="360" w:lineRule="auto"/>
        <w:jc w:val="both"/>
        <w:rPr>
          <w:rFonts w:asciiTheme="majorBidi" w:hAnsiTheme="majorBidi" w:cstheme="majorBidi"/>
          <w:b/>
          <w:bCs/>
          <w:sz w:val="28"/>
          <w:szCs w:val="28"/>
        </w:rPr>
        <w:sectPr w:rsidR="00847B1C" w:rsidRPr="009132A6" w:rsidSect="00CD54D1">
          <w:pgSz w:w="11906" w:h="16838"/>
          <w:pgMar w:top="1418" w:right="1134" w:bottom="1418" w:left="1701" w:header="709" w:footer="709" w:gutter="0"/>
          <w:cols w:space="708"/>
          <w:docGrid w:linePitch="360"/>
        </w:sectPr>
      </w:pPr>
    </w:p>
    <w:p w14:paraId="21A431AB" w14:textId="15E27A67" w:rsidR="002672A7" w:rsidRPr="00AA1F2E" w:rsidRDefault="00693153" w:rsidP="00AE3850">
      <w:pPr>
        <w:pStyle w:val="Titre1"/>
        <w:spacing w:line="360" w:lineRule="auto"/>
        <w:jc w:val="both"/>
        <w:rPr>
          <w:rFonts w:asciiTheme="majorBidi" w:hAnsiTheme="majorBidi"/>
          <w:b/>
          <w:bCs/>
          <w:color w:val="auto"/>
          <w:sz w:val="32"/>
          <w:szCs w:val="32"/>
          <w:u w:val="single"/>
        </w:rPr>
      </w:pPr>
      <w:bookmarkStart w:id="0" w:name="_Toc199314356"/>
      <w:bookmarkStart w:id="1" w:name="_Toc199314560"/>
      <w:r w:rsidRPr="00AA1F2E">
        <w:rPr>
          <w:rFonts w:asciiTheme="majorBidi" w:hAnsiTheme="majorBidi"/>
          <w:b/>
          <w:bCs/>
          <w:color w:val="auto"/>
          <w:sz w:val="32"/>
          <w:szCs w:val="32"/>
          <w:u w:val="single"/>
        </w:rPr>
        <w:lastRenderedPageBreak/>
        <w:t>Sommaire</w:t>
      </w:r>
      <w:r>
        <w:rPr>
          <w:rFonts w:asciiTheme="majorBidi" w:hAnsiTheme="majorBidi"/>
          <w:b/>
          <w:bCs/>
          <w:color w:val="auto"/>
          <w:sz w:val="32"/>
          <w:szCs w:val="32"/>
          <w:u w:val="single"/>
        </w:rPr>
        <w:t xml:space="preserve"> :</w:t>
      </w:r>
      <w:bookmarkEnd w:id="0"/>
      <w:bookmarkEnd w:id="1"/>
    </w:p>
    <w:p w14:paraId="5D91FF55" w14:textId="3058289E" w:rsidR="00080724" w:rsidRPr="00080724" w:rsidRDefault="0020321F" w:rsidP="00AE3850">
      <w:pPr>
        <w:pStyle w:val="TM1"/>
        <w:rPr>
          <w:rFonts w:asciiTheme="majorBidi" w:hAnsiTheme="majorBidi" w:cstheme="majorBidi"/>
          <w:noProof/>
        </w:rPr>
      </w:pPr>
      <w:r w:rsidRPr="009132A6">
        <w:fldChar w:fldCharType="begin"/>
      </w:r>
      <w:r w:rsidRPr="009132A6">
        <w:instrText xml:space="preserve"> TOC \o "1-2" \h \z \u </w:instrText>
      </w:r>
      <w:r w:rsidRPr="009132A6">
        <w:fldChar w:fldCharType="separate"/>
      </w:r>
    </w:p>
    <w:p w14:paraId="6035C2BC" w14:textId="26BBA704" w:rsidR="00080724" w:rsidRPr="00080724" w:rsidRDefault="00AB34B8" w:rsidP="00AE3850">
      <w:pPr>
        <w:pStyle w:val="TM1"/>
        <w:rPr>
          <w:rFonts w:asciiTheme="majorBidi" w:hAnsiTheme="majorBidi" w:cstheme="majorBidi"/>
          <w:noProof/>
        </w:rPr>
      </w:pPr>
      <w:hyperlink w:anchor="_Toc199314569" w:history="1">
        <w:r w:rsidR="00080724" w:rsidRPr="00080724">
          <w:rPr>
            <w:rStyle w:val="Lienhypertexte"/>
            <w:rFonts w:asciiTheme="majorBidi" w:hAnsiTheme="majorBidi" w:cstheme="majorBidi"/>
            <w:b/>
            <w:bCs/>
            <w:noProof/>
          </w:rPr>
          <w:t>INTRODUCTION GENERALE</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_Toc199314569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1</w:t>
        </w:r>
        <w:r w:rsidR="00080724" w:rsidRPr="00080724">
          <w:rPr>
            <w:rFonts w:asciiTheme="majorBidi" w:hAnsiTheme="majorBidi" w:cstheme="majorBidi"/>
            <w:noProof/>
            <w:webHidden/>
          </w:rPr>
          <w:fldChar w:fldCharType="end"/>
        </w:r>
      </w:hyperlink>
    </w:p>
    <w:p w14:paraId="52579AD3" w14:textId="5BE453E6" w:rsidR="00080724" w:rsidRPr="00080724" w:rsidRDefault="00AB34B8" w:rsidP="00AE3850">
      <w:pPr>
        <w:pStyle w:val="TM1"/>
        <w:rPr>
          <w:rFonts w:asciiTheme="majorBidi" w:hAnsiTheme="majorBidi" w:cstheme="majorBidi"/>
          <w:noProof/>
        </w:rPr>
      </w:pPr>
      <w:hyperlink w:anchor="_Toc199314578" w:history="1">
        <w:r w:rsidR="00080724" w:rsidRPr="00080724">
          <w:rPr>
            <w:rStyle w:val="Lienhypertexte"/>
            <w:rFonts w:asciiTheme="majorBidi" w:hAnsiTheme="majorBidi" w:cstheme="majorBidi"/>
            <w:b/>
            <w:bCs/>
            <w:noProof/>
          </w:rPr>
          <w:t>CHAPITRE 01 : Les concepts fondamentaux du contrôle de gestion et de la gestion budgétaire</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_Toc199314578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8</w:t>
        </w:r>
        <w:r w:rsidR="00080724" w:rsidRPr="00080724">
          <w:rPr>
            <w:rFonts w:asciiTheme="majorBidi" w:hAnsiTheme="majorBidi" w:cstheme="majorBidi"/>
            <w:noProof/>
            <w:webHidden/>
          </w:rPr>
          <w:fldChar w:fldCharType="end"/>
        </w:r>
      </w:hyperlink>
    </w:p>
    <w:p w14:paraId="05DB6793" w14:textId="268544DD" w:rsidR="00080724" w:rsidRPr="00080724" w:rsidRDefault="00AB34B8" w:rsidP="00AE3850">
      <w:pPr>
        <w:pStyle w:val="TM1"/>
        <w:rPr>
          <w:rFonts w:asciiTheme="majorBidi" w:hAnsiTheme="majorBidi" w:cstheme="majorBidi"/>
          <w:noProof/>
        </w:rPr>
      </w:pPr>
      <w:hyperlink w:anchor="_Toc199314579" w:history="1">
        <w:r w:rsidR="00080724" w:rsidRPr="00080724">
          <w:rPr>
            <w:rStyle w:val="Lienhypertexte"/>
            <w:rFonts w:asciiTheme="majorBidi" w:hAnsiTheme="majorBidi" w:cstheme="majorBidi"/>
            <w:b/>
            <w:bCs/>
            <w:noProof/>
            <w:lang w:eastAsia="fr-FR"/>
          </w:rPr>
          <w:t>Introduction du chapitre 01 :</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_Toc199314579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9</w:t>
        </w:r>
        <w:r w:rsidR="00080724" w:rsidRPr="00080724">
          <w:rPr>
            <w:rFonts w:asciiTheme="majorBidi" w:hAnsiTheme="majorBidi" w:cstheme="majorBidi"/>
            <w:noProof/>
            <w:webHidden/>
          </w:rPr>
          <w:fldChar w:fldCharType="end"/>
        </w:r>
      </w:hyperlink>
    </w:p>
    <w:p w14:paraId="4D211A7D" w14:textId="2A06A956" w:rsidR="00080724" w:rsidRPr="00080724" w:rsidRDefault="00AB34B8" w:rsidP="00AE3850">
      <w:pPr>
        <w:pStyle w:val="TM2"/>
        <w:tabs>
          <w:tab w:val="right" w:leader="dot" w:pos="9061"/>
        </w:tabs>
        <w:spacing w:line="360" w:lineRule="auto"/>
        <w:jc w:val="both"/>
        <w:rPr>
          <w:rFonts w:asciiTheme="majorBidi" w:hAnsiTheme="majorBidi" w:cstheme="majorBidi"/>
          <w:noProof/>
        </w:rPr>
      </w:pPr>
      <w:hyperlink w:anchor="_Toc199314580" w:history="1">
        <w:r w:rsidR="00080724" w:rsidRPr="00080724">
          <w:rPr>
            <w:rStyle w:val="Lienhypertexte"/>
            <w:rFonts w:asciiTheme="majorBidi" w:hAnsiTheme="majorBidi" w:cstheme="majorBidi"/>
            <w:b/>
            <w:bCs/>
            <w:noProof/>
            <w:lang w:eastAsia="fr-FR"/>
          </w:rPr>
          <w:t>Section01 :</w:t>
        </w:r>
        <w:r w:rsidR="00080724" w:rsidRPr="00080724">
          <w:rPr>
            <w:rStyle w:val="Lienhypertexte"/>
            <w:rFonts w:asciiTheme="majorBidi" w:hAnsiTheme="majorBidi" w:cstheme="majorBidi"/>
            <w:b/>
            <w:bCs/>
            <w:noProof/>
          </w:rPr>
          <w:t xml:space="preserve"> </w:t>
        </w:r>
        <w:r w:rsidR="00080724" w:rsidRPr="00080724">
          <w:rPr>
            <w:rStyle w:val="Lienhypertexte"/>
            <w:rFonts w:asciiTheme="majorBidi" w:hAnsiTheme="majorBidi" w:cstheme="majorBidi"/>
            <w:b/>
            <w:bCs/>
            <w:noProof/>
            <w:lang w:eastAsia="fr-FR"/>
          </w:rPr>
          <w:t>Notions de base sur le contrôle de gestion</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_Toc199314580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10</w:t>
        </w:r>
        <w:r w:rsidR="00080724" w:rsidRPr="00080724">
          <w:rPr>
            <w:rFonts w:asciiTheme="majorBidi" w:hAnsiTheme="majorBidi" w:cstheme="majorBidi"/>
            <w:noProof/>
            <w:webHidden/>
          </w:rPr>
          <w:fldChar w:fldCharType="end"/>
        </w:r>
      </w:hyperlink>
    </w:p>
    <w:p w14:paraId="0A020E12" w14:textId="427DBF15" w:rsidR="00080724" w:rsidRPr="00080724" w:rsidRDefault="00AB34B8" w:rsidP="00AE3850">
      <w:pPr>
        <w:pStyle w:val="TM2"/>
        <w:tabs>
          <w:tab w:val="right" w:leader="dot" w:pos="9061"/>
        </w:tabs>
        <w:spacing w:line="360" w:lineRule="auto"/>
        <w:jc w:val="both"/>
        <w:rPr>
          <w:rFonts w:asciiTheme="majorBidi" w:hAnsiTheme="majorBidi" w:cstheme="majorBidi"/>
          <w:noProof/>
        </w:rPr>
      </w:pPr>
      <w:hyperlink w:anchor="_Toc199314581" w:history="1">
        <w:r w:rsidR="00080724" w:rsidRPr="00080724">
          <w:rPr>
            <w:rStyle w:val="Lienhypertexte"/>
            <w:rFonts w:asciiTheme="majorBidi" w:hAnsiTheme="majorBidi" w:cstheme="majorBidi"/>
            <w:b/>
            <w:bCs/>
            <w:noProof/>
            <w:lang w:eastAsia="fr-FR"/>
          </w:rPr>
          <w:t>Section 02 : Concepts clés de la gestion budgétaire</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_Toc199314581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22</w:t>
        </w:r>
        <w:r w:rsidR="00080724" w:rsidRPr="00080724">
          <w:rPr>
            <w:rFonts w:asciiTheme="majorBidi" w:hAnsiTheme="majorBidi" w:cstheme="majorBidi"/>
            <w:noProof/>
            <w:webHidden/>
          </w:rPr>
          <w:fldChar w:fldCharType="end"/>
        </w:r>
      </w:hyperlink>
    </w:p>
    <w:p w14:paraId="0BE28828" w14:textId="5B9D663B" w:rsidR="00080724" w:rsidRPr="00080724" w:rsidRDefault="00AB34B8" w:rsidP="00AE3850">
      <w:pPr>
        <w:pStyle w:val="TM2"/>
        <w:tabs>
          <w:tab w:val="right" w:leader="dot" w:pos="9061"/>
        </w:tabs>
        <w:spacing w:line="360" w:lineRule="auto"/>
        <w:jc w:val="both"/>
        <w:rPr>
          <w:rFonts w:asciiTheme="majorBidi" w:hAnsiTheme="majorBidi" w:cstheme="majorBidi"/>
          <w:noProof/>
        </w:rPr>
      </w:pPr>
      <w:hyperlink w:anchor="_Toc199314582" w:history="1">
        <w:r w:rsidR="00080724" w:rsidRPr="00080724">
          <w:rPr>
            <w:rStyle w:val="Lienhypertexte"/>
            <w:rFonts w:asciiTheme="majorBidi" w:hAnsiTheme="majorBidi" w:cstheme="majorBidi"/>
            <w:b/>
            <w:bCs/>
            <w:noProof/>
          </w:rPr>
          <w:t>Section 03 : Le contrôle budgétaire</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_Toc199314582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35</w:t>
        </w:r>
        <w:r w:rsidR="00080724" w:rsidRPr="00080724">
          <w:rPr>
            <w:rFonts w:asciiTheme="majorBidi" w:hAnsiTheme="majorBidi" w:cstheme="majorBidi"/>
            <w:noProof/>
            <w:webHidden/>
          </w:rPr>
          <w:fldChar w:fldCharType="end"/>
        </w:r>
      </w:hyperlink>
    </w:p>
    <w:p w14:paraId="0C8E222D" w14:textId="67E5294E" w:rsidR="00080724" w:rsidRPr="00080724" w:rsidRDefault="00AB34B8" w:rsidP="00AE3850">
      <w:pPr>
        <w:pStyle w:val="TM1"/>
        <w:rPr>
          <w:rFonts w:asciiTheme="majorBidi" w:hAnsiTheme="majorBidi" w:cstheme="majorBidi"/>
          <w:noProof/>
        </w:rPr>
      </w:pPr>
      <w:hyperlink w:anchor="_Toc199314583" w:history="1">
        <w:r w:rsidR="00080724" w:rsidRPr="00080724">
          <w:rPr>
            <w:rStyle w:val="Lienhypertexte"/>
            <w:rFonts w:asciiTheme="majorBidi" w:hAnsiTheme="majorBidi" w:cstheme="majorBidi"/>
            <w:b/>
            <w:bCs/>
            <w:noProof/>
          </w:rPr>
          <w:t>Conclusion du chapitre 01 :</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_Toc199314583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43</w:t>
        </w:r>
        <w:r w:rsidR="00080724" w:rsidRPr="00080724">
          <w:rPr>
            <w:rFonts w:asciiTheme="majorBidi" w:hAnsiTheme="majorBidi" w:cstheme="majorBidi"/>
            <w:noProof/>
            <w:webHidden/>
          </w:rPr>
          <w:fldChar w:fldCharType="end"/>
        </w:r>
      </w:hyperlink>
    </w:p>
    <w:p w14:paraId="43C1E24D" w14:textId="7499F5C1" w:rsidR="00080724" w:rsidRPr="00080724" w:rsidRDefault="00AB34B8" w:rsidP="00AE3850">
      <w:pPr>
        <w:pStyle w:val="TM1"/>
        <w:rPr>
          <w:rFonts w:asciiTheme="majorBidi" w:hAnsiTheme="majorBidi" w:cstheme="majorBidi"/>
          <w:noProof/>
        </w:rPr>
      </w:pPr>
      <w:hyperlink w:anchor="_Toc199314584" w:history="1">
        <w:r w:rsidR="00080724" w:rsidRPr="00080724">
          <w:rPr>
            <w:rStyle w:val="Lienhypertexte"/>
            <w:rFonts w:asciiTheme="majorBidi" w:hAnsiTheme="majorBidi" w:cstheme="majorBidi"/>
            <w:b/>
            <w:bCs/>
            <w:noProof/>
          </w:rPr>
          <w:t>CHAPITRE 02 :</w:t>
        </w:r>
        <w:r w:rsidR="006C0C5E" w:rsidRPr="006C0C5E">
          <w:rPr>
            <w:noProof/>
          </w:rPr>
          <w:t xml:space="preserve"> </w:t>
        </w:r>
        <w:r w:rsidR="006C0C5E" w:rsidRPr="006C0C5E">
          <w:rPr>
            <w:rStyle w:val="Lienhypertexte"/>
            <w:rFonts w:asciiTheme="majorBidi" w:hAnsiTheme="majorBidi" w:cstheme="majorBidi"/>
            <w:b/>
            <w:bCs/>
            <w:noProof/>
          </w:rPr>
          <w:t>Le processus budgétaire au sein de l’entreprise Algérie Telecom</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_Toc199314584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44</w:t>
        </w:r>
        <w:r w:rsidR="00080724" w:rsidRPr="00080724">
          <w:rPr>
            <w:rFonts w:asciiTheme="majorBidi" w:hAnsiTheme="majorBidi" w:cstheme="majorBidi"/>
            <w:noProof/>
            <w:webHidden/>
          </w:rPr>
          <w:fldChar w:fldCharType="end"/>
        </w:r>
      </w:hyperlink>
    </w:p>
    <w:p w14:paraId="00138888" w14:textId="309D3686" w:rsidR="00080724" w:rsidRPr="00080724" w:rsidRDefault="00AB34B8" w:rsidP="00AE3850">
      <w:pPr>
        <w:pStyle w:val="TM1"/>
        <w:rPr>
          <w:rFonts w:asciiTheme="majorBidi" w:hAnsiTheme="majorBidi" w:cstheme="majorBidi"/>
          <w:noProof/>
        </w:rPr>
      </w:pPr>
      <w:hyperlink w:anchor="_Toc199314585" w:history="1">
        <w:r w:rsidR="00080724" w:rsidRPr="00080724">
          <w:rPr>
            <w:rStyle w:val="Lienhypertexte"/>
            <w:rFonts w:asciiTheme="majorBidi" w:hAnsiTheme="majorBidi" w:cstheme="majorBidi"/>
            <w:b/>
            <w:bCs/>
            <w:noProof/>
          </w:rPr>
          <w:t>Introduction du chapitre 02 :</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_Toc199314585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45</w:t>
        </w:r>
        <w:r w:rsidR="00080724" w:rsidRPr="00080724">
          <w:rPr>
            <w:rFonts w:asciiTheme="majorBidi" w:hAnsiTheme="majorBidi" w:cstheme="majorBidi"/>
            <w:noProof/>
            <w:webHidden/>
          </w:rPr>
          <w:fldChar w:fldCharType="end"/>
        </w:r>
      </w:hyperlink>
    </w:p>
    <w:p w14:paraId="086973BF" w14:textId="5DE9D0CF" w:rsidR="00080724" w:rsidRPr="00080724" w:rsidRDefault="00AB34B8" w:rsidP="00AE3850">
      <w:pPr>
        <w:pStyle w:val="TM2"/>
        <w:tabs>
          <w:tab w:val="right" w:leader="dot" w:pos="9061"/>
        </w:tabs>
        <w:spacing w:line="360" w:lineRule="auto"/>
        <w:jc w:val="both"/>
        <w:rPr>
          <w:rFonts w:asciiTheme="majorBidi" w:hAnsiTheme="majorBidi" w:cstheme="majorBidi"/>
          <w:noProof/>
        </w:rPr>
      </w:pPr>
      <w:hyperlink w:anchor="_Toc199314586" w:history="1">
        <w:r w:rsidR="00080724" w:rsidRPr="00080724">
          <w:rPr>
            <w:rStyle w:val="Lienhypertexte"/>
            <w:rFonts w:asciiTheme="majorBidi" w:hAnsiTheme="majorBidi" w:cstheme="majorBidi"/>
            <w:b/>
            <w:bCs/>
            <w:noProof/>
          </w:rPr>
          <w:t>Section 01 : Présentation de l’organisme d’accueil</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_Toc199314586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46</w:t>
        </w:r>
        <w:r w:rsidR="00080724" w:rsidRPr="00080724">
          <w:rPr>
            <w:rFonts w:asciiTheme="majorBidi" w:hAnsiTheme="majorBidi" w:cstheme="majorBidi"/>
            <w:noProof/>
            <w:webHidden/>
          </w:rPr>
          <w:fldChar w:fldCharType="end"/>
        </w:r>
      </w:hyperlink>
    </w:p>
    <w:p w14:paraId="508A0B8D" w14:textId="09DD718E" w:rsidR="00080724" w:rsidRPr="00080724" w:rsidRDefault="00AB34B8" w:rsidP="00AE3850">
      <w:pPr>
        <w:pStyle w:val="TM2"/>
        <w:tabs>
          <w:tab w:val="right" w:leader="dot" w:pos="9061"/>
        </w:tabs>
        <w:spacing w:line="360" w:lineRule="auto"/>
        <w:jc w:val="both"/>
        <w:rPr>
          <w:rFonts w:asciiTheme="majorBidi" w:hAnsiTheme="majorBidi" w:cstheme="majorBidi"/>
          <w:noProof/>
        </w:rPr>
      </w:pPr>
      <w:hyperlink w:anchor="_Toc199314587" w:history="1">
        <w:r w:rsidR="00080724" w:rsidRPr="00080724">
          <w:rPr>
            <w:rStyle w:val="Lienhypertexte"/>
            <w:rFonts w:asciiTheme="majorBidi" w:hAnsiTheme="majorBidi" w:cstheme="majorBidi"/>
            <w:b/>
            <w:bCs/>
            <w:noProof/>
          </w:rPr>
          <w:t>Section 02 : Le processus budgétaire à la DOT de Beni Messous</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_Toc199314587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61</w:t>
        </w:r>
        <w:r w:rsidR="00080724" w:rsidRPr="00080724">
          <w:rPr>
            <w:rFonts w:asciiTheme="majorBidi" w:hAnsiTheme="majorBidi" w:cstheme="majorBidi"/>
            <w:noProof/>
            <w:webHidden/>
          </w:rPr>
          <w:fldChar w:fldCharType="end"/>
        </w:r>
      </w:hyperlink>
    </w:p>
    <w:p w14:paraId="5AEA0B50" w14:textId="0E558412" w:rsidR="00080724" w:rsidRPr="00080724" w:rsidRDefault="00AB34B8" w:rsidP="00AE3850">
      <w:pPr>
        <w:pStyle w:val="TM2"/>
        <w:tabs>
          <w:tab w:val="right" w:leader="dot" w:pos="9061"/>
        </w:tabs>
        <w:spacing w:line="360" w:lineRule="auto"/>
        <w:jc w:val="both"/>
        <w:rPr>
          <w:rFonts w:asciiTheme="majorBidi" w:hAnsiTheme="majorBidi" w:cstheme="majorBidi"/>
          <w:noProof/>
        </w:rPr>
      </w:pPr>
      <w:hyperlink w:anchor="_Toc199314588" w:history="1">
        <w:r w:rsidR="00080724" w:rsidRPr="00080724">
          <w:rPr>
            <w:rStyle w:val="Lienhypertexte"/>
            <w:rFonts w:asciiTheme="majorBidi" w:hAnsiTheme="majorBidi" w:cstheme="majorBidi"/>
            <w:b/>
            <w:bCs/>
            <w:noProof/>
          </w:rPr>
          <w:t>Section 03 : Étude critique du processus budgétaire</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_Toc199314588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84</w:t>
        </w:r>
        <w:r w:rsidR="00080724" w:rsidRPr="00080724">
          <w:rPr>
            <w:rFonts w:asciiTheme="majorBidi" w:hAnsiTheme="majorBidi" w:cstheme="majorBidi"/>
            <w:noProof/>
            <w:webHidden/>
          </w:rPr>
          <w:fldChar w:fldCharType="end"/>
        </w:r>
      </w:hyperlink>
    </w:p>
    <w:p w14:paraId="5FC0E3B0" w14:textId="199E4EE7" w:rsidR="00080724" w:rsidRPr="00080724" w:rsidRDefault="00AB34B8" w:rsidP="00AE3850">
      <w:pPr>
        <w:pStyle w:val="TM1"/>
        <w:rPr>
          <w:rFonts w:asciiTheme="majorBidi" w:hAnsiTheme="majorBidi" w:cstheme="majorBidi"/>
          <w:noProof/>
        </w:rPr>
      </w:pPr>
      <w:hyperlink w:anchor="_Toc199314589" w:history="1">
        <w:r w:rsidR="00080724" w:rsidRPr="00080724">
          <w:rPr>
            <w:rStyle w:val="Lienhypertexte"/>
            <w:rFonts w:asciiTheme="majorBidi" w:hAnsiTheme="majorBidi" w:cstheme="majorBidi"/>
            <w:b/>
            <w:bCs/>
            <w:noProof/>
          </w:rPr>
          <w:t>Conclusion du chapitre 02 :</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_Toc199314589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91</w:t>
        </w:r>
        <w:r w:rsidR="00080724" w:rsidRPr="00080724">
          <w:rPr>
            <w:rFonts w:asciiTheme="majorBidi" w:hAnsiTheme="majorBidi" w:cstheme="majorBidi"/>
            <w:noProof/>
            <w:webHidden/>
          </w:rPr>
          <w:fldChar w:fldCharType="end"/>
        </w:r>
      </w:hyperlink>
    </w:p>
    <w:p w14:paraId="05EBB8CC" w14:textId="3130AAFD" w:rsidR="00080724" w:rsidRDefault="00AB34B8" w:rsidP="00AE3850">
      <w:pPr>
        <w:pStyle w:val="TM1"/>
        <w:rPr>
          <w:noProof/>
        </w:rPr>
      </w:pPr>
      <w:hyperlink w:anchor="_Toc199314590" w:history="1">
        <w:r w:rsidR="00080724" w:rsidRPr="00080724">
          <w:rPr>
            <w:rStyle w:val="Lienhypertexte"/>
            <w:rFonts w:asciiTheme="majorBidi" w:hAnsiTheme="majorBidi" w:cstheme="majorBidi"/>
            <w:b/>
            <w:bCs/>
            <w:noProof/>
          </w:rPr>
          <w:t>CONCLUSION GENERALE</w:t>
        </w:r>
        <w:r w:rsidR="00080724" w:rsidRPr="00080724">
          <w:rPr>
            <w:rFonts w:asciiTheme="majorBidi" w:hAnsiTheme="majorBidi" w:cstheme="majorBidi"/>
            <w:noProof/>
            <w:webHidden/>
          </w:rPr>
          <w:tab/>
        </w:r>
        <w:r w:rsidR="00080724" w:rsidRPr="00080724">
          <w:rPr>
            <w:rFonts w:asciiTheme="majorBidi" w:hAnsiTheme="majorBidi" w:cstheme="majorBidi"/>
            <w:noProof/>
            <w:webHidden/>
          </w:rPr>
          <w:fldChar w:fldCharType="begin"/>
        </w:r>
        <w:r w:rsidR="00080724" w:rsidRPr="00080724">
          <w:rPr>
            <w:rFonts w:asciiTheme="majorBidi" w:hAnsiTheme="majorBidi" w:cstheme="majorBidi"/>
            <w:noProof/>
            <w:webHidden/>
          </w:rPr>
          <w:instrText xml:space="preserve"> PAGEREF _Toc199314590 \h </w:instrText>
        </w:r>
        <w:r w:rsidR="00080724" w:rsidRPr="00080724">
          <w:rPr>
            <w:rFonts w:asciiTheme="majorBidi" w:hAnsiTheme="majorBidi" w:cstheme="majorBidi"/>
            <w:noProof/>
            <w:webHidden/>
          </w:rPr>
        </w:r>
        <w:r w:rsidR="00080724" w:rsidRPr="00080724">
          <w:rPr>
            <w:rFonts w:asciiTheme="majorBidi" w:hAnsiTheme="majorBidi" w:cstheme="majorBidi"/>
            <w:noProof/>
            <w:webHidden/>
          </w:rPr>
          <w:fldChar w:fldCharType="separate"/>
        </w:r>
        <w:r w:rsidR="00F45A16">
          <w:rPr>
            <w:rFonts w:asciiTheme="majorBidi" w:hAnsiTheme="majorBidi" w:cstheme="majorBidi"/>
            <w:noProof/>
            <w:webHidden/>
          </w:rPr>
          <w:t>92</w:t>
        </w:r>
        <w:r w:rsidR="00080724" w:rsidRPr="00080724">
          <w:rPr>
            <w:rFonts w:asciiTheme="majorBidi" w:hAnsiTheme="majorBidi" w:cstheme="majorBidi"/>
            <w:noProof/>
            <w:webHidden/>
          </w:rPr>
          <w:fldChar w:fldCharType="end"/>
        </w:r>
      </w:hyperlink>
    </w:p>
    <w:p w14:paraId="0BA083C2" w14:textId="3379B6A5" w:rsidR="0020321F" w:rsidRPr="009132A6" w:rsidRDefault="0020321F" w:rsidP="00AE3850">
      <w:pPr>
        <w:spacing w:line="360" w:lineRule="auto"/>
        <w:jc w:val="both"/>
        <w:rPr>
          <w:rFonts w:asciiTheme="majorBidi" w:hAnsiTheme="majorBidi" w:cstheme="majorBidi"/>
          <w:b/>
          <w:bCs/>
          <w:sz w:val="28"/>
          <w:szCs w:val="28"/>
        </w:rPr>
      </w:pPr>
      <w:r w:rsidRPr="009132A6">
        <w:rPr>
          <w:rFonts w:asciiTheme="majorBidi" w:hAnsiTheme="majorBidi" w:cstheme="majorBidi"/>
          <w:b/>
          <w:bCs/>
          <w:sz w:val="28"/>
          <w:szCs w:val="28"/>
        </w:rPr>
        <w:fldChar w:fldCharType="end"/>
      </w:r>
    </w:p>
    <w:p w14:paraId="1BD6F724" w14:textId="6E781114" w:rsidR="002B1F0B" w:rsidRPr="009132A6" w:rsidRDefault="002B1F0B" w:rsidP="00AE3850">
      <w:pPr>
        <w:spacing w:line="360" w:lineRule="auto"/>
        <w:jc w:val="both"/>
        <w:rPr>
          <w:rFonts w:asciiTheme="majorBidi" w:hAnsiTheme="majorBidi" w:cstheme="majorBidi"/>
          <w:b/>
          <w:bCs/>
          <w:sz w:val="28"/>
          <w:szCs w:val="28"/>
        </w:rPr>
      </w:pPr>
      <w:r w:rsidRPr="009132A6">
        <w:rPr>
          <w:rFonts w:asciiTheme="majorBidi" w:hAnsiTheme="majorBidi" w:cstheme="majorBidi"/>
          <w:b/>
          <w:bCs/>
          <w:sz w:val="28"/>
          <w:szCs w:val="28"/>
        </w:rPr>
        <w:br w:type="page"/>
      </w:r>
    </w:p>
    <w:p w14:paraId="2A91D14C" w14:textId="1CDC5367" w:rsidR="008A1356" w:rsidRPr="00A27879" w:rsidRDefault="00210976" w:rsidP="00EB3204">
      <w:pPr>
        <w:pStyle w:val="Titre1"/>
        <w:spacing w:line="360" w:lineRule="auto"/>
        <w:jc w:val="center"/>
        <w:rPr>
          <w:rFonts w:asciiTheme="majorBidi" w:hAnsiTheme="majorBidi"/>
          <w:b/>
          <w:bCs/>
          <w:i/>
          <w:iCs/>
          <w:color w:val="auto"/>
          <w:sz w:val="32"/>
          <w:szCs w:val="32"/>
          <w:u w:val="single"/>
        </w:rPr>
      </w:pPr>
      <w:bookmarkStart w:id="2" w:name="_Toc199314357"/>
      <w:bookmarkStart w:id="3" w:name="_Toc199314561"/>
      <w:r w:rsidRPr="00A27879">
        <w:rPr>
          <w:rFonts w:asciiTheme="majorBidi" w:hAnsiTheme="majorBidi"/>
          <w:b/>
          <w:bCs/>
          <w:i/>
          <w:iCs/>
          <w:color w:val="auto"/>
          <w:sz w:val="32"/>
          <w:szCs w:val="32"/>
          <w:u w:val="single"/>
        </w:rPr>
        <w:lastRenderedPageBreak/>
        <w:t>Dédicaces</w:t>
      </w:r>
      <w:bookmarkEnd w:id="2"/>
      <w:bookmarkEnd w:id="3"/>
    </w:p>
    <w:p w14:paraId="73D86885" w14:textId="77777777" w:rsidR="008B524C" w:rsidRPr="00A27879" w:rsidRDefault="008B524C" w:rsidP="00EB3204">
      <w:pPr>
        <w:spacing w:before="100" w:beforeAutospacing="1" w:after="100" w:afterAutospacing="1" w:line="360" w:lineRule="auto"/>
        <w:jc w:val="center"/>
        <w:rPr>
          <w:rFonts w:ascii="Times New Roman" w:eastAsia="Times New Roman" w:hAnsi="Times New Roman" w:cs="Times New Roman"/>
          <w:i/>
          <w:iCs/>
          <w:lang w:eastAsia="fr-FR"/>
        </w:rPr>
      </w:pPr>
      <w:r w:rsidRPr="00A27879">
        <w:rPr>
          <w:rFonts w:ascii="Times New Roman" w:eastAsia="Times New Roman" w:hAnsi="Times New Roman" w:cs="Times New Roman"/>
          <w:i/>
          <w:iCs/>
          <w:lang w:eastAsia="fr-FR"/>
        </w:rPr>
        <w:t>Je dédie ce travail, avec tout mon amour et ma reconnaissance, à celles et ceux qui occupent une place précieuse dans ma vie, et dont le soutien m’a permis d’atteindre ce jalon important de mon parcours.</w:t>
      </w:r>
    </w:p>
    <w:p w14:paraId="5DC49235" w14:textId="3A1F6FA4" w:rsidR="009B2F6F" w:rsidRPr="00A27879" w:rsidRDefault="009B2F6F" w:rsidP="00EB3204">
      <w:pPr>
        <w:spacing w:before="100" w:beforeAutospacing="1" w:after="100" w:afterAutospacing="1" w:line="360" w:lineRule="auto"/>
        <w:jc w:val="center"/>
        <w:rPr>
          <w:rFonts w:ascii="Times New Roman" w:eastAsia="Times New Roman" w:hAnsi="Times New Roman" w:cs="Times New Roman"/>
          <w:i/>
          <w:iCs/>
          <w:lang w:eastAsia="fr-FR"/>
        </w:rPr>
      </w:pPr>
      <w:r w:rsidRPr="00A27879">
        <w:rPr>
          <w:rFonts w:ascii="Times New Roman" w:eastAsia="Times New Roman" w:hAnsi="Times New Roman" w:cs="Times New Roman"/>
          <w:i/>
          <w:iCs/>
          <w:lang w:eastAsia="fr-FR"/>
        </w:rPr>
        <w:t xml:space="preserve">À </w:t>
      </w:r>
      <w:r w:rsidRPr="00A27879">
        <w:rPr>
          <w:rFonts w:ascii="Times New Roman" w:eastAsia="Times New Roman" w:hAnsi="Times New Roman" w:cs="Times New Roman"/>
          <w:b/>
          <w:bCs/>
          <w:i/>
          <w:iCs/>
          <w:lang w:eastAsia="fr-FR"/>
        </w:rPr>
        <w:t>ma mère</w:t>
      </w:r>
      <w:r w:rsidRPr="00A27879">
        <w:rPr>
          <w:rFonts w:ascii="Times New Roman" w:eastAsia="Times New Roman" w:hAnsi="Times New Roman" w:cs="Times New Roman"/>
          <w:i/>
          <w:iCs/>
          <w:lang w:eastAsia="fr-FR"/>
        </w:rPr>
        <w:t>, source inépuisable d’amour, et de force, merci pour ta patience, ta bienveillance qui m’ont aidée à persévérer malgré les obstacles.</w:t>
      </w:r>
    </w:p>
    <w:p w14:paraId="53A61377" w14:textId="174BAFA3" w:rsidR="009B2F6F" w:rsidRPr="00A27879" w:rsidRDefault="009B2F6F" w:rsidP="00EB3204">
      <w:pPr>
        <w:spacing w:before="100" w:beforeAutospacing="1" w:after="100" w:afterAutospacing="1" w:line="360" w:lineRule="auto"/>
        <w:jc w:val="center"/>
        <w:rPr>
          <w:rFonts w:ascii="Times New Roman" w:eastAsia="Times New Roman" w:hAnsi="Times New Roman" w:cs="Times New Roman"/>
          <w:i/>
          <w:iCs/>
          <w:lang w:eastAsia="fr-FR"/>
        </w:rPr>
      </w:pPr>
      <w:r w:rsidRPr="00A27879">
        <w:rPr>
          <w:rFonts w:ascii="Times New Roman" w:eastAsia="Times New Roman" w:hAnsi="Times New Roman" w:cs="Times New Roman"/>
          <w:i/>
          <w:iCs/>
          <w:lang w:eastAsia="fr-FR"/>
        </w:rPr>
        <w:t xml:space="preserve">À </w:t>
      </w:r>
      <w:r w:rsidRPr="00A27879">
        <w:rPr>
          <w:rFonts w:ascii="Times New Roman" w:eastAsia="Times New Roman" w:hAnsi="Times New Roman" w:cs="Times New Roman"/>
          <w:b/>
          <w:bCs/>
          <w:i/>
          <w:iCs/>
          <w:lang w:eastAsia="fr-FR"/>
        </w:rPr>
        <w:t>mon père</w:t>
      </w:r>
      <w:r w:rsidRPr="00A27879">
        <w:rPr>
          <w:rFonts w:ascii="Times New Roman" w:eastAsia="Times New Roman" w:hAnsi="Times New Roman" w:cs="Times New Roman"/>
          <w:i/>
          <w:iCs/>
          <w:lang w:eastAsia="fr-FR"/>
        </w:rPr>
        <w:t>, pour son soutien constant, son amour et sa présence rassurante. Que Dieu vous protège tous les deux et vous comble de bonheur.</w:t>
      </w:r>
    </w:p>
    <w:p w14:paraId="47544260" w14:textId="38E8BCF7" w:rsidR="008B524C" w:rsidRPr="00A27879" w:rsidRDefault="008B524C" w:rsidP="00EB3204">
      <w:pPr>
        <w:spacing w:before="100" w:beforeAutospacing="1" w:after="100" w:afterAutospacing="1" w:line="360" w:lineRule="auto"/>
        <w:jc w:val="center"/>
        <w:rPr>
          <w:rFonts w:ascii="Times New Roman" w:eastAsia="Times New Roman" w:hAnsi="Times New Roman" w:cs="Times New Roman"/>
          <w:i/>
          <w:iCs/>
          <w:lang w:eastAsia="fr-FR"/>
        </w:rPr>
      </w:pPr>
      <w:r w:rsidRPr="00A27879">
        <w:rPr>
          <w:rFonts w:ascii="Times New Roman" w:eastAsia="Times New Roman" w:hAnsi="Times New Roman" w:cs="Times New Roman"/>
          <w:i/>
          <w:iCs/>
          <w:lang w:eastAsia="fr-FR"/>
        </w:rPr>
        <w:t>À ma douce petite sœur</w:t>
      </w:r>
      <w:r w:rsidRPr="00A27879">
        <w:rPr>
          <w:rFonts w:ascii="Times New Roman" w:eastAsia="Times New Roman" w:hAnsi="Times New Roman" w:cs="Times New Roman"/>
          <w:b/>
          <w:bCs/>
          <w:i/>
          <w:iCs/>
          <w:lang w:eastAsia="fr-FR"/>
        </w:rPr>
        <w:t xml:space="preserve"> Nihel</w:t>
      </w:r>
      <w:r w:rsidRPr="00A27879">
        <w:rPr>
          <w:rFonts w:ascii="Times New Roman" w:eastAsia="Times New Roman" w:hAnsi="Times New Roman" w:cs="Times New Roman"/>
          <w:i/>
          <w:iCs/>
          <w:lang w:eastAsia="fr-FR"/>
        </w:rPr>
        <w:t>, rayon de soleil de ma vie, ton innocence et ta tendresse sont une source de joie et d’inspiration au quotidien.</w:t>
      </w:r>
    </w:p>
    <w:p w14:paraId="3477CF42" w14:textId="765462D9" w:rsidR="00583358" w:rsidRPr="00A27879" w:rsidRDefault="00583358" w:rsidP="00EB3204">
      <w:pPr>
        <w:spacing w:before="100" w:beforeAutospacing="1" w:after="100" w:afterAutospacing="1" w:line="360" w:lineRule="auto"/>
        <w:jc w:val="center"/>
        <w:rPr>
          <w:rFonts w:ascii="Times New Roman" w:eastAsia="Times New Roman" w:hAnsi="Times New Roman" w:cs="Times New Roman"/>
          <w:i/>
          <w:iCs/>
          <w:lang w:eastAsia="fr-FR"/>
        </w:rPr>
      </w:pPr>
      <w:r w:rsidRPr="00A27879">
        <w:rPr>
          <w:rFonts w:ascii="Times New Roman" w:eastAsia="Times New Roman" w:hAnsi="Times New Roman" w:cs="Times New Roman"/>
          <w:i/>
          <w:iCs/>
          <w:lang w:eastAsia="fr-FR"/>
        </w:rPr>
        <w:t xml:space="preserve">À ma sœur </w:t>
      </w:r>
      <w:r w:rsidRPr="00A27879">
        <w:rPr>
          <w:rFonts w:ascii="Times New Roman" w:eastAsia="Times New Roman" w:hAnsi="Times New Roman" w:cs="Times New Roman"/>
          <w:b/>
          <w:bCs/>
          <w:i/>
          <w:iCs/>
          <w:lang w:eastAsia="fr-FR"/>
        </w:rPr>
        <w:t>Naila</w:t>
      </w:r>
      <w:r w:rsidRPr="00A27879">
        <w:rPr>
          <w:rFonts w:ascii="Times New Roman" w:eastAsia="Times New Roman" w:hAnsi="Times New Roman" w:cs="Times New Roman"/>
          <w:i/>
          <w:iCs/>
          <w:lang w:eastAsia="fr-FR"/>
        </w:rPr>
        <w:t>, partie trop tôt mais toujours présente dans mon cœur, je dédie ce travail à ta mémoire lumineuse.</w:t>
      </w:r>
    </w:p>
    <w:p w14:paraId="67590B01" w14:textId="1E61246E" w:rsidR="00583358" w:rsidRPr="00A27879" w:rsidRDefault="00583358" w:rsidP="00EB3204">
      <w:pPr>
        <w:spacing w:before="100" w:beforeAutospacing="1" w:after="100" w:afterAutospacing="1" w:line="360" w:lineRule="auto"/>
        <w:jc w:val="center"/>
        <w:rPr>
          <w:rFonts w:ascii="Times New Roman" w:eastAsia="Times New Roman" w:hAnsi="Times New Roman" w:cs="Times New Roman"/>
          <w:i/>
          <w:iCs/>
          <w:lang w:eastAsia="fr-FR"/>
        </w:rPr>
      </w:pPr>
      <w:r w:rsidRPr="00A27879">
        <w:rPr>
          <w:rFonts w:ascii="Times New Roman" w:eastAsia="Times New Roman" w:hAnsi="Times New Roman" w:cs="Times New Roman"/>
          <w:i/>
          <w:iCs/>
          <w:lang w:eastAsia="fr-FR"/>
        </w:rPr>
        <w:t xml:space="preserve">À </w:t>
      </w:r>
      <w:r w:rsidRPr="00A27879">
        <w:rPr>
          <w:rFonts w:ascii="Times New Roman" w:eastAsia="Times New Roman" w:hAnsi="Times New Roman" w:cs="Times New Roman"/>
          <w:b/>
          <w:bCs/>
          <w:i/>
          <w:iCs/>
          <w:lang w:eastAsia="fr-FR"/>
        </w:rPr>
        <w:t>Nada</w:t>
      </w:r>
      <w:r w:rsidRPr="00A27879">
        <w:rPr>
          <w:rFonts w:ascii="Times New Roman" w:eastAsia="Times New Roman" w:hAnsi="Times New Roman" w:cs="Times New Roman"/>
          <w:i/>
          <w:iCs/>
          <w:lang w:eastAsia="fr-FR"/>
        </w:rPr>
        <w:t>, ma meilleure amie et complice durant ces cinq années d’université, merci pour ta présence chaleureuse, ton soutien constant et la joie que tu as apportée à mon parcours.</w:t>
      </w:r>
    </w:p>
    <w:p w14:paraId="5506BDB8" w14:textId="5E080FD6" w:rsidR="00583358" w:rsidRPr="00A27879" w:rsidRDefault="00583358" w:rsidP="00EB3204">
      <w:pPr>
        <w:spacing w:before="100" w:beforeAutospacing="1" w:after="100" w:afterAutospacing="1" w:line="360" w:lineRule="auto"/>
        <w:jc w:val="center"/>
        <w:rPr>
          <w:rFonts w:ascii="Times New Roman" w:eastAsia="Times New Roman" w:hAnsi="Times New Roman" w:cs="Times New Roman"/>
          <w:i/>
          <w:iCs/>
          <w:lang w:eastAsia="fr-FR"/>
        </w:rPr>
      </w:pPr>
      <w:r w:rsidRPr="00A27879">
        <w:rPr>
          <w:rFonts w:ascii="Times New Roman" w:eastAsia="Times New Roman" w:hAnsi="Times New Roman" w:cs="Times New Roman"/>
          <w:i/>
          <w:iCs/>
          <w:lang w:eastAsia="fr-FR"/>
        </w:rPr>
        <w:t xml:space="preserve">À </w:t>
      </w:r>
      <w:r w:rsidRPr="00A27879">
        <w:rPr>
          <w:rFonts w:ascii="Times New Roman" w:eastAsia="Times New Roman" w:hAnsi="Times New Roman" w:cs="Times New Roman"/>
          <w:b/>
          <w:bCs/>
          <w:i/>
          <w:iCs/>
          <w:lang w:eastAsia="fr-FR"/>
        </w:rPr>
        <w:t>Khadidja</w:t>
      </w:r>
      <w:r w:rsidRPr="00A27879">
        <w:rPr>
          <w:rFonts w:ascii="Times New Roman" w:eastAsia="Times New Roman" w:hAnsi="Times New Roman" w:cs="Times New Roman"/>
          <w:i/>
          <w:iCs/>
          <w:lang w:eastAsia="fr-FR"/>
        </w:rPr>
        <w:t>, mon amie d’enfance, témoin fidèle de mes rêves et de mes doutes, ton amitié sincère est un trésor que je chéris profondément.</w:t>
      </w:r>
    </w:p>
    <w:p w14:paraId="350D1506" w14:textId="3C8737F0" w:rsidR="008B524C" w:rsidRPr="00A27879" w:rsidRDefault="008B524C" w:rsidP="00EB3204">
      <w:pPr>
        <w:spacing w:before="100" w:beforeAutospacing="1" w:after="100" w:afterAutospacing="1" w:line="360" w:lineRule="auto"/>
        <w:jc w:val="center"/>
        <w:rPr>
          <w:rFonts w:ascii="Times New Roman" w:eastAsia="Times New Roman" w:hAnsi="Times New Roman" w:cs="Times New Roman"/>
          <w:i/>
          <w:iCs/>
          <w:lang w:eastAsia="fr-FR"/>
        </w:rPr>
      </w:pPr>
      <w:r w:rsidRPr="00A27879">
        <w:rPr>
          <w:rFonts w:ascii="Times New Roman" w:eastAsia="Times New Roman" w:hAnsi="Times New Roman" w:cs="Times New Roman"/>
          <w:i/>
          <w:iCs/>
          <w:lang w:eastAsia="fr-FR"/>
        </w:rPr>
        <w:t xml:space="preserve">À </w:t>
      </w:r>
      <w:r w:rsidRPr="00A27879">
        <w:rPr>
          <w:rFonts w:ascii="Times New Roman" w:eastAsia="Times New Roman" w:hAnsi="Times New Roman" w:cs="Times New Roman"/>
          <w:b/>
          <w:bCs/>
          <w:i/>
          <w:iCs/>
          <w:lang w:eastAsia="fr-FR"/>
        </w:rPr>
        <w:t>ma grand-mère</w:t>
      </w:r>
      <w:r w:rsidRPr="00A27879">
        <w:rPr>
          <w:rFonts w:ascii="Times New Roman" w:eastAsia="Times New Roman" w:hAnsi="Times New Roman" w:cs="Times New Roman"/>
          <w:i/>
          <w:iCs/>
          <w:lang w:eastAsia="fr-FR"/>
        </w:rPr>
        <w:t xml:space="preserve"> adorée, à </w:t>
      </w:r>
      <w:r w:rsidRPr="00A27879">
        <w:rPr>
          <w:rFonts w:ascii="Times New Roman" w:eastAsia="Times New Roman" w:hAnsi="Times New Roman" w:cs="Times New Roman"/>
          <w:b/>
          <w:bCs/>
          <w:i/>
          <w:iCs/>
          <w:lang w:eastAsia="fr-FR"/>
        </w:rPr>
        <w:t>mes tantes</w:t>
      </w:r>
      <w:r w:rsidRPr="00A27879">
        <w:rPr>
          <w:rFonts w:ascii="Times New Roman" w:eastAsia="Times New Roman" w:hAnsi="Times New Roman" w:cs="Times New Roman"/>
          <w:i/>
          <w:iCs/>
          <w:lang w:eastAsia="fr-FR"/>
        </w:rPr>
        <w:t xml:space="preserve"> et à </w:t>
      </w:r>
      <w:r w:rsidRPr="00A27879">
        <w:rPr>
          <w:rFonts w:ascii="Times New Roman" w:eastAsia="Times New Roman" w:hAnsi="Times New Roman" w:cs="Times New Roman"/>
          <w:b/>
          <w:bCs/>
          <w:i/>
          <w:iCs/>
          <w:lang w:eastAsia="fr-FR"/>
        </w:rPr>
        <w:t>mon oncle</w:t>
      </w:r>
      <w:r w:rsidRPr="00A27879">
        <w:rPr>
          <w:rFonts w:ascii="Times New Roman" w:eastAsia="Times New Roman" w:hAnsi="Times New Roman" w:cs="Times New Roman"/>
          <w:i/>
          <w:iCs/>
          <w:lang w:eastAsia="fr-FR"/>
        </w:rPr>
        <w:t>, pour leur affection indéfectible, leurs prières et leurs encouragements qui m’ont portée durant tout ce parcours.</w:t>
      </w:r>
      <w:r w:rsidR="00774DD6" w:rsidRPr="00A27879">
        <w:rPr>
          <w:rFonts w:ascii="Times New Roman" w:eastAsia="Times New Roman" w:hAnsi="Times New Roman" w:cs="Times New Roman"/>
          <w:i/>
          <w:iCs/>
          <w:lang w:eastAsia="fr-FR"/>
        </w:rPr>
        <w:t xml:space="preserve"> </w:t>
      </w:r>
      <w:r w:rsidR="00583358" w:rsidRPr="00A27879">
        <w:rPr>
          <w:rFonts w:ascii="Times New Roman" w:eastAsia="Times New Roman" w:hAnsi="Times New Roman" w:cs="Times New Roman"/>
          <w:i/>
          <w:iCs/>
          <w:lang w:eastAsia="fr-FR"/>
        </w:rPr>
        <w:t xml:space="preserve"> </w:t>
      </w:r>
      <w:r w:rsidRPr="00A27879">
        <w:rPr>
          <w:rFonts w:ascii="Times New Roman" w:eastAsia="Times New Roman" w:hAnsi="Times New Roman" w:cs="Times New Roman"/>
          <w:i/>
          <w:iCs/>
          <w:lang w:eastAsia="fr-FR"/>
        </w:rPr>
        <w:t xml:space="preserve">À mes chers cousins </w:t>
      </w:r>
      <w:r w:rsidRPr="00A27879">
        <w:rPr>
          <w:rFonts w:ascii="Times New Roman" w:eastAsia="Times New Roman" w:hAnsi="Times New Roman" w:cs="Times New Roman"/>
          <w:b/>
          <w:bCs/>
          <w:i/>
          <w:iCs/>
          <w:lang w:eastAsia="fr-FR"/>
        </w:rPr>
        <w:t>Ania, Mehdi, Amine et Wassim</w:t>
      </w:r>
      <w:r w:rsidRPr="00A27879">
        <w:rPr>
          <w:rFonts w:ascii="Times New Roman" w:eastAsia="Times New Roman" w:hAnsi="Times New Roman" w:cs="Times New Roman"/>
          <w:i/>
          <w:iCs/>
          <w:lang w:eastAsia="fr-FR"/>
        </w:rPr>
        <w:t>, pour leur complicité, leur tendresse et leur énergie positive, qui ont été pour moi un soutien précieux à chaque étape.</w:t>
      </w:r>
    </w:p>
    <w:p w14:paraId="51EC5EEC" w14:textId="6BB7DFD5" w:rsidR="008B524C" w:rsidRPr="00A27879" w:rsidRDefault="008B524C" w:rsidP="00EB3204">
      <w:pPr>
        <w:spacing w:before="100" w:beforeAutospacing="1" w:after="100" w:afterAutospacing="1" w:line="360" w:lineRule="auto"/>
        <w:jc w:val="center"/>
        <w:rPr>
          <w:rFonts w:asciiTheme="majorBidi" w:eastAsia="Times New Roman" w:hAnsiTheme="majorBidi" w:cstheme="majorBidi"/>
          <w:i/>
          <w:iCs/>
          <w:sz w:val="28"/>
          <w:szCs w:val="28"/>
          <w:lang w:eastAsia="fr-FR"/>
        </w:rPr>
      </w:pPr>
      <w:r w:rsidRPr="00A27879">
        <w:rPr>
          <w:rFonts w:asciiTheme="majorBidi" w:hAnsiTheme="majorBidi" w:cstheme="majorBidi"/>
          <w:i/>
          <w:iCs/>
        </w:rPr>
        <w:t xml:space="preserve">À </w:t>
      </w:r>
      <w:r w:rsidRPr="00A27879">
        <w:rPr>
          <w:rStyle w:val="lev"/>
          <w:rFonts w:asciiTheme="majorBidi" w:hAnsiTheme="majorBidi"/>
          <w:i/>
          <w:iCs/>
        </w:rPr>
        <w:t>Mariane</w:t>
      </w:r>
      <w:r w:rsidRPr="00A27879">
        <w:rPr>
          <w:rFonts w:asciiTheme="majorBidi" w:hAnsiTheme="majorBidi" w:cstheme="majorBidi"/>
          <w:i/>
          <w:iCs/>
        </w:rPr>
        <w:t>, mon binôme, avec qui j’ai eu le plaisir de collaborer dans ce projet. Merci pour ton implication, ton sérieux et cette belle expérience partagée. Je suis reconnaissante pour ce chemin parcouru ensemble.</w:t>
      </w:r>
    </w:p>
    <w:p w14:paraId="1814D5DD" w14:textId="77777777" w:rsidR="008B524C" w:rsidRPr="00A27879" w:rsidRDefault="008B524C" w:rsidP="00EB3204">
      <w:pPr>
        <w:spacing w:before="100" w:beforeAutospacing="1" w:after="100" w:afterAutospacing="1" w:line="360" w:lineRule="auto"/>
        <w:jc w:val="center"/>
        <w:rPr>
          <w:rFonts w:ascii="Times New Roman" w:eastAsia="Times New Roman" w:hAnsi="Times New Roman" w:cs="Times New Roman"/>
          <w:i/>
          <w:iCs/>
          <w:lang w:eastAsia="fr-FR"/>
        </w:rPr>
      </w:pPr>
      <w:r w:rsidRPr="00A27879">
        <w:rPr>
          <w:rFonts w:ascii="Times New Roman" w:eastAsia="Times New Roman" w:hAnsi="Times New Roman" w:cs="Times New Roman"/>
          <w:i/>
          <w:iCs/>
          <w:lang w:eastAsia="fr-FR"/>
        </w:rPr>
        <w:t>À toutes les personnes qui me sont chères, et qui, de près ou de loin, ont contribué à la réalisation de ce mémoire. Que cette réussite soit aussi la vôtre.</w:t>
      </w:r>
    </w:p>
    <w:p w14:paraId="0B2C854C" w14:textId="19CC977E" w:rsidR="002B1F0B" w:rsidRPr="00583358" w:rsidRDefault="00583358" w:rsidP="00EB3204">
      <w:pPr>
        <w:spacing w:before="100" w:beforeAutospacing="1" w:after="100" w:afterAutospacing="1" w:line="360" w:lineRule="auto"/>
        <w:jc w:val="right"/>
        <w:rPr>
          <w:rFonts w:asciiTheme="majorBidi" w:hAnsiTheme="majorBidi" w:cstheme="majorBidi"/>
          <w:i/>
          <w:iCs/>
        </w:rPr>
      </w:pPr>
      <w:r w:rsidRPr="00583358">
        <w:rPr>
          <w:rFonts w:ascii="Times New Roman" w:eastAsia="Times New Roman" w:hAnsi="Times New Roman" w:cs="Times New Roman"/>
          <w:b/>
          <w:bCs/>
          <w:i/>
          <w:iCs/>
          <w:lang w:eastAsia="fr-FR"/>
        </w:rPr>
        <w:t>Besma</w:t>
      </w:r>
      <w:r w:rsidR="002B1F0B" w:rsidRPr="00583358">
        <w:rPr>
          <w:rFonts w:asciiTheme="majorBidi" w:hAnsiTheme="majorBidi" w:cstheme="majorBidi"/>
          <w:b/>
          <w:bCs/>
          <w:i/>
          <w:iCs/>
          <w:sz w:val="28"/>
          <w:szCs w:val="28"/>
        </w:rPr>
        <w:br w:type="page"/>
      </w:r>
    </w:p>
    <w:p w14:paraId="60C941F5" w14:textId="651015D0" w:rsidR="002B1F0B" w:rsidRPr="00A27879" w:rsidRDefault="00B2459B" w:rsidP="00EB3204">
      <w:pPr>
        <w:spacing w:line="360" w:lineRule="auto"/>
        <w:jc w:val="center"/>
        <w:rPr>
          <w:rFonts w:asciiTheme="majorBidi" w:hAnsiTheme="majorBidi" w:cstheme="majorBidi"/>
          <w:b/>
          <w:bCs/>
          <w:i/>
          <w:iCs/>
          <w:sz w:val="32"/>
          <w:szCs w:val="32"/>
          <w:u w:val="single"/>
        </w:rPr>
      </w:pPr>
      <w:r w:rsidRPr="00A27879">
        <w:rPr>
          <w:rFonts w:asciiTheme="majorBidi" w:hAnsiTheme="majorBidi" w:cstheme="majorBidi"/>
          <w:b/>
          <w:bCs/>
          <w:i/>
          <w:iCs/>
          <w:sz w:val="32"/>
          <w:szCs w:val="32"/>
          <w:u w:val="single"/>
        </w:rPr>
        <w:lastRenderedPageBreak/>
        <w:t>Dédicaces</w:t>
      </w:r>
    </w:p>
    <w:p w14:paraId="08DEC084" w14:textId="77777777" w:rsidR="00756747" w:rsidRPr="00A27879" w:rsidRDefault="00756747" w:rsidP="00EB3204">
      <w:pPr>
        <w:spacing w:line="360" w:lineRule="auto"/>
        <w:jc w:val="center"/>
        <w:rPr>
          <w:rFonts w:asciiTheme="majorBidi" w:hAnsiTheme="majorBidi" w:cstheme="majorBidi"/>
          <w:i/>
          <w:iCs/>
        </w:rPr>
      </w:pPr>
      <w:r w:rsidRPr="00A27879">
        <w:rPr>
          <w:rFonts w:asciiTheme="majorBidi" w:hAnsiTheme="majorBidi" w:cstheme="majorBidi"/>
          <w:i/>
          <w:iCs/>
        </w:rPr>
        <w:t>À mes chers parents,</w:t>
      </w:r>
      <w:r w:rsidRPr="00A27879">
        <w:rPr>
          <w:rFonts w:asciiTheme="majorBidi" w:hAnsiTheme="majorBidi" w:cstheme="majorBidi"/>
          <w:i/>
          <w:iCs/>
        </w:rPr>
        <w:br/>
        <w:t>je vous dédie ce travail avec toute ma gratitude et mon amour. Vous avez toujours cru en moi, même dans les moments de doute. Votre patience, vos sacrifices et votre soutien moral ont été les fondations de mon parcours. Sans vous, rien de cela n’aurait été possible.</w:t>
      </w:r>
    </w:p>
    <w:p w14:paraId="648C3E0D" w14:textId="77777777" w:rsidR="00756747" w:rsidRPr="00A27879" w:rsidRDefault="00756747" w:rsidP="00EB3204">
      <w:pPr>
        <w:spacing w:line="360" w:lineRule="auto"/>
        <w:jc w:val="center"/>
        <w:rPr>
          <w:rFonts w:asciiTheme="majorBidi" w:hAnsiTheme="majorBidi" w:cstheme="majorBidi"/>
          <w:i/>
          <w:iCs/>
        </w:rPr>
      </w:pPr>
      <w:r w:rsidRPr="00A27879">
        <w:rPr>
          <w:rFonts w:asciiTheme="majorBidi" w:hAnsiTheme="majorBidi" w:cstheme="majorBidi"/>
          <w:b/>
          <w:bCs/>
          <w:i/>
          <w:iCs/>
        </w:rPr>
        <w:t>À mes grands-parents</w:t>
      </w:r>
      <w:r w:rsidRPr="00A27879">
        <w:rPr>
          <w:rFonts w:asciiTheme="majorBidi" w:hAnsiTheme="majorBidi" w:cstheme="majorBidi"/>
          <w:i/>
          <w:iCs/>
        </w:rPr>
        <w:t>,</w:t>
      </w:r>
      <w:r w:rsidRPr="00A27879">
        <w:rPr>
          <w:rFonts w:asciiTheme="majorBidi" w:hAnsiTheme="majorBidi" w:cstheme="majorBidi"/>
          <w:i/>
          <w:iCs/>
        </w:rPr>
        <w:br/>
        <w:t>Vous êtes une source d’affection, de valeurs et de sagesse. Une pensée toute particulière à mon grand-père bien-aimé, dont la présence m’a profondément marquée et accompagnée tout au long de cette aventure.</w:t>
      </w:r>
    </w:p>
    <w:p w14:paraId="7335581B" w14:textId="10F19439" w:rsidR="00756747" w:rsidRPr="00A27879" w:rsidRDefault="00756747" w:rsidP="00EB3204">
      <w:pPr>
        <w:spacing w:line="360" w:lineRule="auto"/>
        <w:jc w:val="center"/>
        <w:rPr>
          <w:rFonts w:asciiTheme="majorBidi" w:hAnsiTheme="majorBidi" w:cstheme="majorBidi"/>
          <w:i/>
          <w:iCs/>
        </w:rPr>
      </w:pPr>
      <w:r w:rsidRPr="00A27879">
        <w:rPr>
          <w:rFonts w:asciiTheme="majorBidi" w:hAnsiTheme="majorBidi" w:cstheme="majorBidi"/>
          <w:b/>
          <w:bCs/>
          <w:i/>
          <w:iCs/>
        </w:rPr>
        <w:t>À mon frère Ramy</w:t>
      </w:r>
      <w:r w:rsidRPr="00A27879">
        <w:rPr>
          <w:rFonts w:asciiTheme="majorBidi" w:hAnsiTheme="majorBidi" w:cstheme="majorBidi"/>
          <w:i/>
          <w:iCs/>
        </w:rPr>
        <w:t>,</w:t>
      </w:r>
      <w:r w:rsidRPr="00A27879">
        <w:rPr>
          <w:rFonts w:asciiTheme="majorBidi" w:hAnsiTheme="majorBidi" w:cstheme="majorBidi"/>
          <w:i/>
          <w:iCs/>
        </w:rPr>
        <w:br/>
        <w:t>Merci pour ta présence, ton humour et ta confiance.</w:t>
      </w:r>
    </w:p>
    <w:p w14:paraId="6081E66A" w14:textId="77777777" w:rsidR="00756747" w:rsidRPr="00A27879" w:rsidRDefault="00756747" w:rsidP="00EB3204">
      <w:pPr>
        <w:spacing w:line="360" w:lineRule="auto"/>
        <w:jc w:val="center"/>
        <w:rPr>
          <w:rFonts w:asciiTheme="majorBidi" w:hAnsiTheme="majorBidi" w:cstheme="majorBidi"/>
          <w:i/>
          <w:iCs/>
        </w:rPr>
      </w:pPr>
      <w:r w:rsidRPr="00A27879">
        <w:rPr>
          <w:rFonts w:asciiTheme="majorBidi" w:hAnsiTheme="majorBidi" w:cstheme="majorBidi"/>
          <w:b/>
          <w:bCs/>
          <w:i/>
          <w:iCs/>
        </w:rPr>
        <w:t>À ma sœur Nada</w:t>
      </w:r>
      <w:r w:rsidRPr="00A27879">
        <w:rPr>
          <w:rFonts w:asciiTheme="majorBidi" w:hAnsiTheme="majorBidi" w:cstheme="majorBidi"/>
          <w:i/>
          <w:iCs/>
        </w:rPr>
        <w:t>,</w:t>
      </w:r>
      <w:r w:rsidRPr="00A27879">
        <w:rPr>
          <w:rFonts w:asciiTheme="majorBidi" w:hAnsiTheme="majorBidi" w:cstheme="majorBidi"/>
          <w:i/>
          <w:iCs/>
        </w:rPr>
        <w:br/>
        <w:t>Même si tu n’es plus là, tu vis à jamais dans mon cœur. Ton souvenir m’inspire et me donne la force d’aller de l’avant. Ce travail est aussi un hommage à ta mémoire, à ton sourire et à l’amour que tu nous as laissé.</w:t>
      </w:r>
    </w:p>
    <w:p w14:paraId="72714BD8" w14:textId="77777777" w:rsidR="00756747" w:rsidRPr="00A27879" w:rsidRDefault="00756747" w:rsidP="00EB3204">
      <w:pPr>
        <w:spacing w:line="360" w:lineRule="auto"/>
        <w:jc w:val="center"/>
        <w:rPr>
          <w:rFonts w:asciiTheme="majorBidi" w:hAnsiTheme="majorBidi" w:cstheme="majorBidi"/>
          <w:i/>
          <w:iCs/>
        </w:rPr>
      </w:pPr>
      <w:r w:rsidRPr="00A27879">
        <w:rPr>
          <w:rFonts w:asciiTheme="majorBidi" w:hAnsiTheme="majorBidi" w:cstheme="majorBidi"/>
          <w:i/>
          <w:iCs/>
        </w:rPr>
        <w:t xml:space="preserve">À ma cousine adorée </w:t>
      </w:r>
      <w:r w:rsidRPr="00A27879">
        <w:rPr>
          <w:rFonts w:asciiTheme="majorBidi" w:hAnsiTheme="majorBidi" w:cstheme="majorBidi"/>
          <w:b/>
          <w:bCs/>
          <w:i/>
          <w:iCs/>
        </w:rPr>
        <w:t>Hajer</w:t>
      </w:r>
      <w:r w:rsidRPr="00A27879">
        <w:rPr>
          <w:rFonts w:asciiTheme="majorBidi" w:hAnsiTheme="majorBidi" w:cstheme="majorBidi"/>
          <w:i/>
          <w:iCs/>
        </w:rPr>
        <w:t>,</w:t>
      </w:r>
      <w:r w:rsidRPr="00A27879">
        <w:rPr>
          <w:rFonts w:asciiTheme="majorBidi" w:hAnsiTheme="majorBidi" w:cstheme="majorBidi"/>
          <w:i/>
          <w:iCs/>
        </w:rPr>
        <w:br/>
        <w:t>Merci pour ton amour sincère, ton soutien et ta joie de vivre. Tu es une présence lumineuse dans ma vie, et je t’en suis profondément reconnaissant(e).</w:t>
      </w:r>
    </w:p>
    <w:p w14:paraId="7F77876A" w14:textId="77777777" w:rsidR="00756747" w:rsidRPr="00A27879" w:rsidRDefault="00756747" w:rsidP="00EB3204">
      <w:pPr>
        <w:spacing w:line="360" w:lineRule="auto"/>
        <w:jc w:val="center"/>
        <w:rPr>
          <w:rFonts w:asciiTheme="majorBidi" w:hAnsiTheme="majorBidi" w:cstheme="majorBidi"/>
          <w:i/>
          <w:iCs/>
        </w:rPr>
      </w:pPr>
      <w:r w:rsidRPr="00A27879">
        <w:rPr>
          <w:rFonts w:asciiTheme="majorBidi" w:hAnsiTheme="majorBidi" w:cstheme="majorBidi"/>
          <w:b/>
          <w:bCs/>
          <w:i/>
          <w:iCs/>
        </w:rPr>
        <w:t>À mes tantes et à mes oncles,</w:t>
      </w:r>
      <w:r w:rsidRPr="00A27879">
        <w:rPr>
          <w:rFonts w:asciiTheme="majorBidi" w:hAnsiTheme="majorBidi" w:cstheme="majorBidi"/>
          <w:i/>
          <w:iCs/>
        </w:rPr>
        <w:br/>
        <w:t>Merci pour votre affection, vos encouragements et votre présence bienveillante tout au long de mon parcours.</w:t>
      </w:r>
    </w:p>
    <w:p w14:paraId="2792E7B8" w14:textId="12CBA31E" w:rsidR="00756747" w:rsidRPr="00A27879" w:rsidRDefault="00756747" w:rsidP="00EB3204">
      <w:pPr>
        <w:spacing w:line="360" w:lineRule="auto"/>
        <w:jc w:val="center"/>
        <w:rPr>
          <w:rFonts w:asciiTheme="majorBidi" w:hAnsiTheme="majorBidi" w:cstheme="majorBidi"/>
          <w:i/>
          <w:iCs/>
        </w:rPr>
      </w:pPr>
      <w:r w:rsidRPr="00A27879">
        <w:rPr>
          <w:rFonts w:asciiTheme="majorBidi" w:hAnsiTheme="majorBidi" w:cstheme="majorBidi"/>
          <w:i/>
          <w:iCs/>
        </w:rPr>
        <w:t xml:space="preserve">À mes chères amies </w:t>
      </w:r>
      <w:r w:rsidRPr="00A27879">
        <w:rPr>
          <w:rFonts w:asciiTheme="majorBidi" w:hAnsiTheme="majorBidi" w:cstheme="majorBidi"/>
          <w:b/>
          <w:bCs/>
          <w:i/>
          <w:iCs/>
        </w:rPr>
        <w:t>Rayane,</w:t>
      </w:r>
      <w:r w:rsidR="00F72E7B" w:rsidRPr="00A27879">
        <w:rPr>
          <w:rFonts w:asciiTheme="majorBidi" w:hAnsiTheme="majorBidi" w:cstheme="majorBidi"/>
          <w:b/>
          <w:bCs/>
          <w:i/>
          <w:iCs/>
        </w:rPr>
        <w:t xml:space="preserve"> </w:t>
      </w:r>
      <w:r w:rsidRPr="00A27879">
        <w:rPr>
          <w:rFonts w:asciiTheme="majorBidi" w:hAnsiTheme="majorBidi" w:cstheme="majorBidi"/>
          <w:b/>
          <w:bCs/>
          <w:i/>
          <w:iCs/>
        </w:rPr>
        <w:t xml:space="preserve">Asma, Kahina, Ilhem, Rania </w:t>
      </w:r>
      <w:r w:rsidRPr="00A27879">
        <w:rPr>
          <w:rFonts w:asciiTheme="majorBidi" w:hAnsiTheme="majorBidi" w:cstheme="majorBidi"/>
          <w:i/>
          <w:iCs/>
        </w:rPr>
        <w:t xml:space="preserve">et </w:t>
      </w:r>
      <w:r w:rsidRPr="00A27879">
        <w:rPr>
          <w:rFonts w:asciiTheme="majorBidi" w:hAnsiTheme="majorBidi" w:cstheme="majorBidi"/>
          <w:b/>
          <w:bCs/>
          <w:i/>
          <w:iCs/>
        </w:rPr>
        <w:t>Lydia</w:t>
      </w:r>
      <w:r w:rsidRPr="00A27879">
        <w:rPr>
          <w:rFonts w:asciiTheme="majorBidi" w:hAnsiTheme="majorBidi" w:cstheme="majorBidi"/>
          <w:i/>
          <w:iCs/>
        </w:rPr>
        <w:br/>
        <w:t>Merci pour votre présence, votre soutien, votre bienveillance et tous les moments partagés qui ont apporté force, motivation et réconfort durant ce parcours.</w:t>
      </w:r>
    </w:p>
    <w:p w14:paraId="49D03B36" w14:textId="1ECFF6CC" w:rsidR="00756747" w:rsidRPr="00A27879" w:rsidRDefault="00756747" w:rsidP="00EB3204">
      <w:pPr>
        <w:spacing w:line="360" w:lineRule="auto"/>
        <w:jc w:val="center"/>
        <w:rPr>
          <w:rFonts w:asciiTheme="majorBidi" w:hAnsiTheme="majorBidi" w:cstheme="majorBidi"/>
          <w:i/>
          <w:iCs/>
        </w:rPr>
      </w:pPr>
      <w:r w:rsidRPr="00A27879">
        <w:rPr>
          <w:rFonts w:asciiTheme="majorBidi" w:hAnsiTheme="majorBidi" w:cstheme="majorBidi"/>
          <w:b/>
          <w:bCs/>
          <w:i/>
          <w:iCs/>
        </w:rPr>
        <w:t>À ma binôme Besma</w:t>
      </w:r>
      <w:r w:rsidRPr="00A27879">
        <w:rPr>
          <w:rFonts w:asciiTheme="majorBidi" w:hAnsiTheme="majorBidi" w:cstheme="majorBidi"/>
          <w:i/>
          <w:iCs/>
        </w:rPr>
        <w:t>,</w:t>
      </w:r>
      <w:r w:rsidRPr="00A27879">
        <w:rPr>
          <w:rFonts w:asciiTheme="majorBidi" w:hAnsiTheme="majorBidi" w:cstheme="majorBidi"/>
          <w:i/>
          <w:iCs/>
        </w:rPr>
        <w:br/>
        <w:t>Merci pour ton implication, ta collaboration sincère et ton esprit d’équipe. Ce travail n’aurait pas été le même sans toi.</w:t>
      </w:r>
    </w:p>
    <w:p w14:paraId="0F3415B1" w14:textId="5C7E708F" w:rsidR="002B1F0B" w:rsidRPr="00A27879" w:rsidRDefault="00756747" w:rsidP="00EB3204">
      <w:pPr>
        <w:spacing w:line="360" w:lineRule="auto"/>
        <w:jc w:val="center"/>
        <w:rPr>
          <w:rFonts w:asciiTheme="majorBidi" w:hAnsiTheme="majorBidi" w:cstheme="majorBidi"/>
          <w:i/>
          <w:iCs/>
        </w:rPr>
      </w:pPr>
      <w:r w:rsidRPr="00A27879">
        <w:rPr>
          <w:rFonts w:asciiTheme="majorBidi" w:hAnsiTheme="majorBidi" w:cstheme="majorBidi"/>
          <w:i/>
          <w:iCs/>
        </w:rPr>
        <w:t>Et enfin à </w:t>
      </w:r>
      <w:r w:rsidRPr="00A27879">
        <w:rPr>
          <w:rFonts w:asciiTheme="majorBidi" w:hAnsiTheme="majorBidi" w:cstheme="majorBidi"/>
          <w:b/>
          <w:bCs/>
          <w:i/>
          <w:iCs/>
        </w:rPr>
        <w:t>Amani</w:t>
      </w:r>
      <w:r w:rsidRPr="00A27879">
        <w:rPr>
          <w:rFonts w:asciiTheme="majorBidi" w:hAnsiTheme="majorBidi" w:cstheme="majorBidi"/>
          <w:i/>
          <w:iCs/>
        </w:rPr>
        <w:t>,</w:t>
      </w:r>
      <w:r w:rsidR="000B13A1" w:rsidRPr="00A27879">
        <w:rPr>
          <w:rFonts w:asciiTheme="majorBidi" w:hAnsiTheme="majorBidi" w:cstheme="majorBidi"/>
          <w:i/>
          <w:iCs/>
        </w:rPr>
        <w:t xml:space="preserve"> </w:t>
      </w:r>
      <w:r w:rsidRPr="00A27879">
        <w:rPr>
          <w:rFonts w:asciiTheme="majorBidi" w:hAnsiTheme="majorBidi" w:cstheme="majorBidi"/>
          <w:i/>
          <w:iCs/>
        </w:rPr>
        <w:t>Merci pour ton aide précieuse</w:t>
      </w:r>
      <w:r w:rsidR="008C5CD7" w:rsidRPr="00A27879">
        <w:rPr>
          <w:rFonts w:asciiTheme="majorBidi" w:hAnsiTheme="majorBidi" w:cstheme="majorBidi"/>
          <w:i/>
          <w:iCs/>
        </w:rPr>
        <w:t>.</w:t>
      </w:r>
    </w:p>
    <w:p w14:paraId="165823F6" w14:textId="65A6B84F" w:rsidR="000B13A1" w:rsidRPr="000B13A1" w:rsidRDefault="000B13A1" w:rsidP="00EB3204">
      <w:pPr>
        <w:spacing w:line="360" w:lineRule="auto"/>
        <w:jc w:val="right"/>
        <w:rPr>
          <w:rFonts w:asciiTheme="majorBidi" w:hAnsiTheme="majorBidi" w:cstheme="majorBidi"/>
          <w:b/>
          <w:bCs/>
          <w:i/>
          <w:iCs/>
          <w:sz w:val="28"/>
          <w:szCs w:val="28"/>
        </w:rPr>
      </w:pPr>
      <w:r w:rsidRPr="000B13A1">
        <w:rPr>
          <w:rFonts w:asciiTheme="majorBidi" w:hAnsiTheme="majorBidi" w:cstheme="majorBidi"/>
          <w:b/>
          <w:bCs/>
          <w:i/>
          <w:iCs/>
        </w:rPr>
        <w:t>Mariane</w:t>
      </w:r>
    </w:p>
    <w:p w14:paraId="36AE1576" w14:textId="3521B65D" w:rsidR="00DB27B6" w:rsidRPr="00AA1F2E" w:rsidRDefault="00D343B9" w:rsidP="00EB3204">
      <w:pPr>
        <w:pStyle w:val="Titre1"/>
        <w:spacing w:line="360" w:lineRule="auto"/>
        <w:jc w:val="center"/>
        <w:rPr>
          <w:rFonts w:asciiTheme="majorBidi" w:hAnsiTheme="majorBidi"/>
          <w:b/>
          <w:bCs/>
          <w:color w:val="auto"/>
          <w:sz w:val="32"/>
          <w:szCs w:val="32"/>
          <w:u w:val="single"/>
        </w:rPr>
      </w:pPr>
      <w:bookmarkStart w:id="4" w:name="_Toc198964981"/>
      <w:bookmarkStart w:id="5" w:name="_Toc198966469"/>
      <w:bookmarkStart w:id="6" w:name="_Toc199314358"/>
      <w:bookmarkStart w:id="7" w:name="_Toc199314562"/>
      <w:r w:rsidRPr="00AA1F2E">
        <w:rPr>
          <w:rFonts w:asciiTheme="majorBidi" w:hAnsiTheme="majorBidi"/>
          <w:b/>
          <w:bCs/>
          <w:color w:val="auto"/>
          <w:sz w:val="32"/>
          <w:szCs w:val="32"/>
          <w:u w:val="single"/>
        </w:rPr>
        <w:lastRenderedPageBreak/>
        <w:t>Remerciements</w:t>
      </w:r>
      <w:bookmarkEnd w:id="4"/>
      <w:bookmarkEnd w:id="5"/>
      <w:bookmarkEnd w:id="6"/>
      <w:bookmarkEnd w:id="7"/>
    </w:p>
    <w:p w14:paraId="33A24F28" w14:textId="77777777" w:rsidR="00F36D54" w:rsidRPr="00F36D54" w:rsidRDefault="00F36D54" w:rsidP="00EB3204">
      <w:pPr>
        <w:pStyle w:val="NormalWeb"/>
        <w:spacing w:line="360" w:lineRule="auto"/>
        <w:jc w:val="center"/>
        <w:rPr>
          <w:rFonts w:asciiTheme="majorBidi" w:hAnsiTheme="majorBidi" w:cstheme="majorBidi"/>
          <w:lang w:val="fr-FR"/>
        </w:rPr>
      </w:pPr>
      <w:r w:rsidRPr="00F36D54">
        <w:rPr>
          <w:rFonts w:asciiTheme="majorBidi" w:hAnsiTheme="majorBidi" w:cstheme="majorBidi"/>
          <w:lang w:val="fr-FR"/>
        </w:rPr>
        <w:t xml:space="preserve">Nous remercions tout d’abord </w:t>
      </w:r>
      <w:r w:rsidRPr="00F36D54">
        <w:rPr>
          <w:rStyle w:val="lev"/>
          <w:rFonts w:asciiTheme="majorBidi" w:eastAsiaTheme="majorEastAsia" w:hAnsiTheme="majorBidi"/>
          <w:lang w:val="fr-FR"/>
        </w:rPr>
        <w:t>Dieu, Le Tout-Puissant</w:t>
      </w:r>
      <w:r w:rsidRPr="00F36D54">
        <w:rPr>
          <w:rFonts w:asciiTheme="majorBidi" w:hAnsiTheme="majorBidi" w:cstheme="majorBidi"/>
          <w:lang w:val="fr-FR"/>
        </w:rPr>
        <w:t>, de nous avoir accordé la santé, la force et la patience nécessaires pour mener à bien ce travail.</w:t>
      </w:r>
    </w:p>
    <w:p w14:paraId="74C38CDE" w14:textId="77777777" w:rsidR="00F36D54" w:rsidRPr="00F36D54" w:rsidRDefault="00F36D54" w:rsidP="00EB3204">
      <w:pPr>
        <w:pStyle w:val="NormalWeb"/>
        <w:spacing w:line="360" w:lineRule="auto"/>
        <w:jc w:val="center"/>
        <w:rPr>
          <w:rFonts w:asciiTheme="majorBidi" w:hAnsiTheme="majorBidi" w:cstheme="majorBidi"/>
          <w:lang w:val="fr-FR"/>
        </w:rPr>
      </w:pPr>
      <w:r w:rsidRPr="00F36D54">
        <w:rPr>
          <w:rFonts w:asciiTheme="majorBidi" w:hAnsiTheme="majorBidi" w:cstheme="majorBidi"/>
          <w:lang w:val="fr-FR"/>
        </w:rPr>
        <w:t>Nous tenons à exprimer notre profonde gratitude et notre sincère reconnaissance à toutes les personnes qui, de près ou de loin, ont contribué à la réalisation de ce mémoire, par leur accompagnement, leurs conseils ou leur soutien moral.</w:t>
      </w:r>
    </w:p>
    <w:p w14:paraId="0D000A9A" w14:textId="77777777" w:rsidR="00F36D54" w:rsidRPr="00F36D54" w:rsidRDefault="00F36D54" w:rsidP="00EB3204">
      <w:pPr>
        <w:pStyle w:val="NormalWeb"/>
        <w:spacing w:line="360" w:lineRule="auto"/>
        <w:jc w:val="center"/>
        <w:rPr>
          <w:rFonts w:asciiTheme="majorBidi" w:hAnsiTheme="majorBidi" w:cstheme="majorBidi"/>
          <w:lang w:val="fr-FR"/>
        </w:rPr>
      </w:pPr>
      <w:r w:rsidRPr="00F36D54">
        <w:rPr>
          <w:rFonts w:asciiTheme="majorBidi" w:hAnsiTheme="majorBidi" w:cstheme="majorBidi"/>
          <w:lang w:val="fr-FR"/>
        </w:rPr>
        <w:t xml:space="preserve">Nous adressons nos remerciements les plus sincères à </w:t>
      </w:r>
      <w:r w:rsidRPr="00F36D54">
        <w:rPr>
          <w:rStyle w:val="lev"/>
          <w:rFonts w:asciiTheme="majorBidi" w:eastAsiaTheme="majorEastAsia" w:hAnsiTheme="majorBidi"/>
          <w:lang w:val="fr-FR"/>
        </w:rPr>
        <w:t>Monsieur Hilal DERAHMOUN</w:t>
      </w:r>
      <w:r w:rsidRPr="00F36D54">
        <w:rPr>
          <w:rFonts w:asciiTheme="majorBidi" w:hAnsiTheme="majorBidi" w:cstheme="majorBidi"/>
          <w:lang w:val="fr-FR"/>
        </w:rPr>
        <w:t>, notre encadrant académique, pour sa disponibilité, ses conseils précieux, son écoute bienveillante et son accompagnement tout au long de cette recherche. Son encadrement rigoureux a été d’une grande aide dans la concrétisation de ce travail.</w:t>
      </w:r>
    </w:p>
    <w:p w14:paraId="55A3636D" w14:textId="77777777" w:rsidR="00F36D54" w:rsidRPr="00F36D54" w:rsidRDefault="00F36D54" w:rsidP="00EB3204">
      <w:pPr>
        <w:pStyle w:val="NormalWeb"/>
        <w:spacing w:line="360" w:lineRule="auto"/>
        <w:jc w:val="center"/>
        <w:rPr>
          <w:rFonts w:asciiTheme="majorBidi" w:hAnsiTheme="majorBidi" w:cstheme="majorBidi"/>
          <w:lang w:val="fr-FR"/>
        </w:rPr>
      </w:pPr>
      <w:r w:rsidRPr="00F36D54">
        <w:rPr>
          <w:rFonts w:asciiTheme="majorBidi" w:hAnsiTheme="majorBidi" w:cstheme="majorBidi"/>
          <w:lang w:val="fr-FR"/>
        </w:rPr>
        <w:t xml:space="preserve">Nos remerciements s’adressent également aux </w:t>
      </w:r>
      <w:r w:rsidRPr="00F36D54">
        <w:rPr>
          <w:rStyle w:val="lev"/>
          <w:rFonts w:asciiTheme="majorBidi" w:eastAsiaTheme="majorEastAsia" w:hAnsiTheme="majorBidi"/>
          <w:lang w:val="fr-FR"/>
        </w:rPr>
        <w:t>membres du jury</w:t>
      </w:r>
      <w:r w:rsidRPr="00F36D54">
        <w:rPr>
          <w:rFonts w:asciiTheme="majorBidi" w:hAnsiTheme="majorBidi" w:cstheme="majorBidi"/>
          <w:lang w:val="fr-FR"/>
        </w:rPr>
        <w:t>, pour l’honneur qu’ils nous font en acceptant d’évaluer ce mémoire et pour leurs remarques constructives qui contribueront à enrichir notre réflexion.</w:t>
      </w:r>
    </w:p>
    <w:p w14:paraId="782A3040" w14:textId="77777777" w:rsidR="00F36D54" w:rsidRPr="00F36D54" w:rsidRDefault="00F36D54" w:rsidP="00EB3204">
      <w:pPr>
        <w:pStyle w:val="NormalWeb"/>
        <w:spacing w:line="360" w:lineRule="auto"/>
        <w:jc w:val="center"/>
        <w:rPr>
          <w:rFonts w:asciiTheme="majorBidi" w:hAnsiTheme="majorBidi" w:cstheme="majorBidi"/>
          <w:lang w:val="fr-FR"/>
        </w:rPr>
      </w:pPr>
      <w:r w:rsidRPr="00F36D54">
        <w:rPr>
          <w:rFonts w:asciiTheme="majorBidi" w:hAnsiTheme="majorBidi" w:cstheme="majorBidi"/>
          <w:lang w:val="fr-FR"/>
        </w:rPr>
        <w:t xml:space="preserve">Nous exprimons notre reconnaissance à l’ensemble des enseignants et au personnel administratif de </w:t>
      </w:r>
      <w:r w:rsidRPr="00F36D54">
        <w:rPr>
          <w:rStyle w:val="lev"/>
          <w:rFonts w:asciiTheme="majorBidi" w:eastAsiaTheme="majorEastAsia" w:hAnsiTheme="majorBidi"/>
          <w:lang w:val="fr-FR"/>
        </w:rPr>
        <w:t>l’École Supérieure de Gestion et d’Économie Numérique</w:t>
      </w:r>
      <w:r w:rsidRPr="00F36D54">
        <w:rPr>
          <w:rFonts w:asciiTheme="majorBidi" w:hAnsiTheme="majorBidi" w:cstheme="majorBidi"/>
          <w:lang w:val="fr-FR"/>
        </w:rPr>
        <w:t>, pour la qualité de la formation dispensée et pour leur engagement constant à créer un environnement d’apprentissage stimulant et favorable à notre épanouissement académique.</w:t>
      </w:r>
    </w:p>
    <w:p w14:paraId="0589F76C" w14:textId="5F4FD33E" w:rsidR="00F36D54" w:rsidRPr="00F36D54" w:rsidRDefault="00F36D54" w:rsidP="00EB3204">
      <w:pPr>
        <w:pStyle w:val="NormalWeb"/>
        <w:spacing w:line="360" w:lineRule="auto"/>
        <w:jc w:val="center"/>
        <w:rPr>
          <w:rFonts w:asciiTheme="majorBidi" w:hAnsiTheme="majorBidi" w:cstheme="majorBidi"/>
          <w:lang w:val="fr-FR"/>
        </w:rPr>
      </w:pPr>
      <w:r w:rsidRPr="00F36D54">
        <w:rPr>
          <w:rFonts w:asciiTheme="majorBidi" w:hAnsiTheme="majorBidi" w:cstheme="majorBidi"/>
          <w:lang w:val="fr-FR"/>
        </w:rPr>
        <w:t xml:space="preserve">Nous adressons également nos sincères remerciements à toute l’équipe de la </w:t>
      </w:r>
      <w:r w:rsidRPr="00F36D54">
        <w:rPr>
          <w:rStyle w:val="lev"/>
          <w:rFonts w:asciiTheme="majorBidi" w:eastAsiaTheme="majorEastAsia" w:hAnsiTheme="majorBidi"/>
          <w:lang w:val="fr-FR"/>
        </w:rPr>
        <w:t>Direction Opérationnelle des Télécommunications (DOT) de Beni Messous</w:t>
      </w:r>
      <w:r w:rsidRPr="00F36D54">
        <w:rPr>
          <w:rFonts w:asciiTheme="majorBidi" w:hAnsiTheme="majorBidi" w:cstheme="majorBidi"/>
          <w:lang w:val="fr-FR"/>
        </w:rPr>
        <w:t xml:space="preserve">, qui nous a accueillies dans le cadre de notre stage. Nous remercions tout particulièrement </w:t>
      </w:r>
      <w:r w:rsidRPr="00F36D54">
        <w:rPr>
          <w:rStyle w:val="lev"/>
          <w:rFonts w:asciiTheme="majorBidi" w:eastAsiaTheme="majorEastAsia" w:hAnsiTheme="majorBidi"/>
          <w:lang w:val="fr-FR"/>
        </w:rPr>
        <w:t>Madame Mechlah</w:t>
      </w:r>
      <w:r w:rsidR="002E3DBE">
        <w:rPr>
          <w:rStyle w:val="lev"/>
          <w:rFonts w:asciiTheme="majorBidi" w:eastAsiaTheme="majorEastAsia" w:hAnsiTheme="majorBidi"/>
          <w:lang w:val="fr-FR"/>
        </w:rPr>
        <w:t xml:space="preserve"> Fatiha</w:t>
      </w:r>
      <w:r w:rsidRPr="00F36D54">
        <w:rPr>
          <w:rFonts w:asciiTheme="majorBidi" w:hAnsiTheme="majorBidi" w:cstheme="majorBidi"/>
          <w:lang w:val="fr-FR"/>
        </w:rPr>
        <w:t xml:space="preserve">, cheffe de service, </w:t>
      </w:r>
      <w:r w:rsidRPr="00F36D54">
        <w:rPr>
          <w:rStyle w:val="lev"/>
          <w:rFonts w:asciiTheme="majorBidi" w:eastAsiaTheme="majorEastAsia" w:hAnsiTheme="majorBidi"/>
          <w:lang w:val="fr-FR"/>
        </w:rPr>
        <w:t>Madame Nezli Naïma</w:t>
      </w:r>
      <w:r w:rsidRPr="00F36D54">
        <w:rPr>
          <w:rFonts w:asciiTheme="majorBidi" w:hAnsiTheme="majorBidi" w:cstheme="majorBidi"/>
          <w:lang w:val="fr-FR"/>
        </w:rPr>
        <w:t xml:space="preserve"> et </w:t>
      </w:r>
      <w:r w:rsidRPr="00F36D54">
        <w:rPr>
          <w:rStyle w:val="lev"/>
          <w:rFonts w:asciiTheme="majorBidi" w:eastAsiaTheme="majorEastAsia" w:hAnsiTheme="majorBidi"/>
          <w:lang w:val="fr-FR"/>
        </w:rPr>
        <w:t>Rania</w:t>
      </w:r>
      <w:r w:rsidRPr="00F36D54">
        <w:rPr>
          <w:rFonts w:asciiTheme="majorBidi" w:hAnsiTheme="majorBidi" w:cstheme="majorBidi"/>
          <w:lang w:val="fr-FR"/>
        </w:rPr>
        <w:t>, pour leur accueil chaleureux, leur disponibilité, leur accompagnement quotidien et leur collaboration bienveillante, qui ont rendu notre expérience professionnelle enrichissante et formatrice.</w:t>
      </w:r>
    </w:p>
    <w:p w14:paraId="163DE6D2" w14:textId="7F02C379" w:rsidR="00DB27B6" w:rsidRPr="00F36D54" w:rsidRDefault="00F36D54" w:rsidP="00EB3204">
      <w:pPr>
        <w:pStyle w:val="NormalWeb"/>
        <w:spacing w:line="360" w:lineRule="auto"/>
        <w:jc w:val="center"/>
        <w:rPr>
          <w:rFonts w:asciiTheme="majorBidi" w:hAnsiTheme="majorBidi" w:cstheme="majorBidi"/>
          <w:lang w:val="fr-FR"/>
        </w:rPr>
      </w:pPr>
      <w:r w:rsidRPr="00F36D54">
        <w:rPr>
          <w:rFonts w:asciiTheme="majorBidi" w:hAnsiTheme="majorBidi" w:cstheme="majorBidi"/>
          <w:lang w:val="fr-FR"/>
        </w:rPr>
        <w:t>Enfin, que toute personne ayant contribué, de près ou de loin, à l’élaboration de ce mémoire, trouve ici l’expression de notre sincère reconnaissance et de notre profonde gratitude.</w:t>
      </w:r>
    </w:p>
    <w:p w14:paraId="5A469E24" w14:textId="77777777" w:rsidR="00D343B9" w:rsidRPr="009132A6" w:rsidRDefault="00D343B9" w:rsidP="00AE3850">
      <w:pPr>
        <w:spacing w:line="360" w:lineRule="auto"/>
        <w:jc w:val="both"/>
        <w:rPr>
          <w:rFonts w:asciiTheme="majorBidi" w:hAnsiTheme="majorBidi" w:cstheme="majorBidi"/>
          <w:b/>
          <w:bCs/>
          <w:sz w:val="28"/>
          <w:szCs w:val="28"/>
        </w:rPr>
      </w:pPr>
      <w:r w:rsidRPr="009132A6">
        <w:rPr>
          <w:rFonts w:asciiTheme="majorBidi" w:hAnsiTheme="majorBidi" w:cstheme="majorBidi"/>
          <w:b/>
          <w:bCs/>
          <w:sz w:val="28"/>
          <w:szCs w:val="28"/>
        </w:rPr>
        <w:br w:type="page"/>
      </w:r>
    </w:p>
    <w:p w14:paraId="6604FDF0" w14:textId="29FBDC76" w:rsidR="001A5181" w:rsidRPr="001A5181" w:rsidRDefault="00D343B9" w:rsidP="00AE3850">
      <w:pPr>
        <w:pStyle w:val="Titre1"/>
        <w:spacing w:line="360" w:lineRule="auto"/>
        <w:jc w:val="both"/>
        <w:rPr>
          <w:rFonts w:asciiTheme="majorBidi" w:hAnsiTheme="majorBidi"/>
          <w:noProof/>
          <w:sz w:val="24"/>
          <w:szCs w:val="24"/>
          <w:u w:val="single"/>
        </w:rPr>
      </w:pPr>
      <w:bookmarkStart w:id="8" w:name="_Toc198964982"/>
      <w:bookmarkStart w:id="9" w:name="_Toc198966470"/>
      <w:bookmarkStart w:id="10" w:name="_Toc199314359"/>
      <w:bookmarkStart w:id="11" w:name="_Toc199314563"/>
      <w:r w:rsidRPr="00AA1F2E">
        <w:rPr>
          <w:rFonts w:asciiTheme="majorBidi" w:hAnsiTheme="majorBidi"/>
          <w:b/>
          <w:bCs/>
          <w:color w:val="auto"/>
          <w:sz w:val="32"/>
          <w:szCs w:val="32"/>
          <w:u w:val="single"/>
        </w:rPr>
        <w:lastRenderedPageBreak/>
        <w:t xml:space="preserve">Liste des </w:t>
      </w:r>
      <w:bookmarkEnd w:id="8"/>
      <w:bookmarkEnd w:id="9"/>
      <w:r w:rsidR="00AA1F2E" w:rsidRPr="00AA1F2E">
        <w:rPr>
          <w:rFonts w:asciiTheme="majorBidi" w:hAnsiTheme="majorBidi"/>
          <w:b/>
          <w:bCs/>
          <w:color w:val="auto"/>
          <w:sz w:val="32"/>
          <w:szCs w:val="32"/>
          <w:u w:val="single"/>
        </w:rPr>
        <w:t>figures :</w:t>
      </w:r>
      <w:bookmarkEnd w:id="10"/>
      <w:bookmarkEnd w:id="11"/>
      <w:r w:rsidR="001A5181" w:rsidRPr="001A5181">
        <w:rPr>
          <w:rFonts w:asciiTheme="majorBidi" w:hAnsiTheme="majorBidi"/>
          <w:sz w:val="24"/>
          <w:szCs w:val="24"/>
        </w:rPr>
        <w:fldChar w:fldCharType="begin"/>
      </w:r>
      <w:r w:rsidR="001A5181" w:rsidRPr="001A5181">
        <w:rPr>
          <w:rFonts w:asciiTheme="majorBidi" w:hAnsiTheme="majorBidi"/>
          <w:sz w:val="24"/>
          <w:szCs w:val="24"/>
        </w:rPr>
        <w:instrText xml:space="preserve"> TOC \h \z \c "Figure N°1-" </w:instrText>
      </w:r>
      <w:r w:rsidR="001A5181" w:rsidRPr="001A5181">
        <w:rPr>
          <w:rFonts w:asciiTheme="majorBidi" w:hAnsiTheme="majorBidi"/>
          <w:sz w:val="24"/>
          <w:szCs w:val="24"/>
        </w:rPr>
        <w:fldChar w:fldCharType="separate"/>
      </w:r>
    </w:p>
    <w:p w14:paraId="688EC989" w14:textId="20DFBB0E"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58" w:history="1">
        <w:r w:rsidR="001A5181" w:rsidRPr="001A5181">
          <w:rPr>
            <w:rStyle w:val="Lienhypertexte"/>
            <w:rFonts w:asciiTheme="majorBidi" w:hAnsiTheme="majorBidi" w:cstheme="majorBidi"/>
            <w:b/>
            <w:bCs/>
            <w:noProof/>
          </w:rPr>
          <w:t>Figure N°1- 1: Rôle du contrôleur de gestion</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_Toc199314758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11</w:t>
        </w:r>
        <w:r w:rsidR="001A5181" w:rsidRPr="001A5181">
          <w:rPr>
            <w:rFonts w:asciiTheme="majorBidi" w:hAnsiTheme="majorBidi" w:cstheme="majorBidi"/>
            <w:noProof/>
            <w:webHidden/>
          </w:rPr>
          <w:fldChar w:fldCharType="end"/>
        </w:r>
      </w:hyperlink>
    </w:p>
    <w:p w14:paraId="48D67572" w14:textId="27350A70"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59" w:history="1">
        <w:r w:rsidR="001A5181" w:rsidRPr="001A5181">
          <w:rPr>
            <w:rStyle w:val="Lienhypertexte"/>
            <w:rFonts w:asciiTheme="majorBidi" w:hAnsiTheme="majorBidi" w:cstheme="majorBidi"/>
            <w:b/>
            <w:bCs/>
            <w:noProof/>
          </w:rPr>
          <w:t>Figure N°1- 2: le triangle du contrôle de gestion</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_Toc199314759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13</w:t>
        </w:r>
        <w:r w:rsidR="001A5181" w:rsidRPr="001A5181">
          <w:rPr>
            <w:rFonts w:asciiTheme="majorBidi" w:hAnsiTheme="majorBidi" w:cstheme="majorBidi"/>
            <w:noProof/>
            <w:webHidden/>
          </w:rPr>
          <w:fldChar w:fldCharType="end"/>
        </w:r>
      </w:hyperlink>
    </w:p>
    <w:p w14:paraId="666466BC" w14:textId="3FEF7820"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60" w:history="1">
        <w:r w:rsidR="001A5181" w:rsidRPr="001A5181">
          <w:rPr>
            <w:rStyle w:val="Lienhypertexte"/>
            <w:rFonts w:asciiTheme="majorBidi" w:hAnsiTheme="majorBidi" w:cstheme="majorBidi"/>
            <w:b/>
            <w:bCs/>
            <w:noProof/>
          </w:rPr>
          <w:t>Figure N°1- 3: Mission du contrôleur de gestion</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_Toc199314760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16</w:t>
        </w:r>
        <w:r w:rsidR="001A5181" w:rsidRPr="001A5181">
          <w:rPr>
            <w:rFonts w:asciiTheme="majorBidi" w:hAnsiTheme="majorBidi" w:cstheme="majorBidi"/>
            <w:noProof/>
            <w:webHidden/>
          </w:rPr>
          <w:fldChar w:fldCharType="end"/>
        </w:r>
      </w:hyperlink>
    </w:p>
    <w:p w14:paraId="34C62FB6" w14:textId="125E558A"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61" w:history="1">
        <w:r w:rsidR="001A5181" w:rsidRPr="001A5181">
          <w:rPr>
            <w:rStyle w:val="Lienhypertexte"/>
            <w:rFonts w:asciiTheme="majorBidi" w:hAnsiTheme="majorBidi" w:cstheme="majorBidi"/>
            <w:b/>
            <w:bCs/>
            <w:noProof/>
          </w:rPr>
          <w:t>Figure N°1- 4: la démarche de la gestion budgétaire</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_Toc199314761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25</w:t>
        </w:r>
        <w:r w:rsidR="001A5181" w:rsidRPr="001A5181">
          <w:rPr>
            <w:rFonts w:asciiTheme="majorBidi" w:hAnsiTheme="majorBidi" w:cstheme="majorBidi"/>
            <w:noProof/>
            <w:webHidden/>
          </w:rPr>
          <w:fldChar w:fldCharType="end"/>
        </w:r>
      </w:hyperlink>
    </w:p>
    <w:p w14:paraId="322124CC" w14:textId="67E93BEB"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62" w:history="1">
        <w:r w:rsidR="001A5181" w:rsidRPr="001A5181">
          <w:rPr>
            <w:rStyle w:val="Lienhypertexte"/>
            <w:rFonts w:asciiTheme="majorBidi" w:hAnsiTheme="majorBidi" w:cstheme="majorBidi"/>
            <w:b/>
            <w:bCs/>
            <w:noProof/>
          </w:rPr>
          <w:t>Figure N°1- 5: La planification budgétaire</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_Toc199314762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28</w:t>
        </w:r>
        <w:r w:rsidR="001A5181" w:rsidRPr="001A5181">
          <w:rPr>
            <w:rFonts w:asciiTheme="majorBidi" w:hAnsiTheme="majorBidi" w:cstheme="majorBidi"/>
            <w:noProof/>
            <w:webHidden/>
          </w:rPr>
          <w:fldChar w:fldCharType="end"/>
        </w:r>
      </w:hyperlink>
    </w:p>
    <w:p w14:paraId="3C8D6B1E" w14:textId="6BBC3265"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63" w:history="1">
        <w:r w:rsidR="001A5181" w:rsidRPr="001A5181">
          <w:rPr>
            <w:rStyle w:val="Lienhypertexte"/>
            <w:rFonts w:asciiTheme="majorBidi" w:hAnsiTheme="majorBidi" w:cstheme="majorBidi"/>
            <w:b/>
            <w:bCs/>
            <w:noProof/>
          </w:rPr>
          <w:t>Figure N°1- 6: La hiérarchie budgétaire</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_Toc199314763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30</w:t>
        </w:r>
        <w:r w:rsidR="001A5181" w:rsidRPr="001A5181">
          <w:rPr>
            <w:rFonts w:asciiTheme="majorBidi" w:hAnsiTheme="majorBidi" w:cstheme="majorBidi"/>
            <w:noProof/>
            <w:webHidden/>
          </w:rPr>
          <w:fldChar w:fldCharType="end"/>
        </w:r>
      </w:hyperlink>
    </w:p>
    <w:p w14:paraId="2328CC9A" w14:textId="77777777" w:rsidR="001A5181" w:rsidRPr="001A5181" w:rsidRDefault="001A5181" w:rsidP="00AE3850">
      <w:pPr>
        <w:spacing w:line="360" w:lineRule="auto"/>
        <w:jc w:val="both"/>
        <w:rPr>
          <w:rFonts w:asciiTheme="majorBidi" w:hAnsiTheme="majorBidi" w:cstheme="majorBidi"/>
          <w:noProof/>
        </w:rPr>
      </w:pPr>
      <w:r w:rsidRPr="001A5181">
        <w:rPr>
          <w:rFonts w:asciiTheme="majorBidi" w:hAnsiTheme="majorBidi" w:cstheme="majorBidi"/>
        </w:rPr>
        <w:fldChar w:fldCharType="end"/>
      </w:r>
      <w:r w:rsidRPr="001A5181">
        <w:rPr>
          <w:rFonts w:asciiTheme="majorBidi" w:hAnsiTheme="majorBidi" w:cstheme="majorBidi"/>
        </w:rPr>
        <w:fldChar w:fldCharType="begin"/>
      </w:r>
      <w:r w:rsidRPr="001A5181">
        <w:rPr>
          <w:rFonts w:asciiTheme="majorBidi" w:hAnsiTheme="majorBidi" w:cstheme="majorBidi"/>
        </w:rPr>
        <w:instrText xml:space="preserve"> TOC \h \z \c "Figure N°2-" </w:instrText>
      </w:r>
      <w:r w:rsidRPr="001A5181">
        <w:rPr>
          <w:rFonts w:asciiTheme="majorBidi" w:hAnsiTheme="majorBidi" w:cstheme="majorBidi"/>
        </w:rPr>
        <w:fldChar w:fldCharType="separate"/>
      </w:r>
    </w:p>
    <w:p w14:paraId="6F3DFF97" w14:textId="76FE407D"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67" w:history="1">
        <w:r w:rsidR="001A5181" w:rsidRPr="001A5181">
          <w:rPr>
            <w:rStyle w:val="Lienhypertexte"/>
            <w:rFonts w:asciiTheme="majorBidi" w:hAnsiTheme="majorBidi" w:cstheme="majorBidi"/>
            <w:b/>
            <w:bCs/>
            <w:noProof/>
          </w:rPr>
          <w:t>Figure N°2- 1: Organigramme d’Algérie Télécom</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_Toc199314767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49</w:t>
        </w:r>
        <w:r w:rsidR="001A5181" w:rsidRPr="001A5181">
          <w:rPr>
            <w:rFonts w:asciiTheme="majorBidi" w:hAnsiTheme="majorBidi" w:cstheme="majorBidi"/>
            <w:noProof/>
            <w:webHidden/>
          </w:rPr>
          <w:fldChar w:fldCharType="end"/>
        </w:r>
      </w:hyperlink>
    </w:p>
    <w:p w14:paraId="38834748" w14:textId="0B314BAF"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68" w:history="1">
        <w:r w:rsidR="001A5181" w:rsidRPr="001A5181">
          <w:rPr>
            <w:rStyle w:val="Lienhypertexte"/>
            <w:rFonts w:asciiTheme="majorBidi" w:hAnsiTheme="majorBidi" w:cstheme="majorBidi"/>
            <w:b/>
            <w:bCs/>
            <w:noProof/>
          </w:rPr>
          <w:t>Figure N°2- 2: L’Organigramme de la direction opérationnel des télécommunications</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_Toc199314768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56</w:t>
        </w:r>
        <w:r w:rsidR="001A5181" w:rsidRPr="001A5181">
          <w:rPr>
            <w:rFonts w:asciiTheme="majorBidi" w:hAnsiTheme="majorBidi" w:cstheme="majorBidi"/>
            <w:noProof/>
            <w:webHidden/>
          </w:rPr>
          <w:fldChar w:fldCharType="end"/>
        </w:r>
      </w:hyperlink>
    </w:p>
    <w:p w14:paraId="1F525FB6" w14:textId="6311D948"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69" w:history="1">
        <w:r w:rsidR="001A5181" w:rsidRPr="001A5181">
          <w:rPr>
            <w:rStyle w:val="Lienhypertexte"/>
            <w:rFonts w:asciiTheme="majorBidi" w:hAnsiTheme="majorBidi" w:cstheme="majorBidi"/>
            <w:b/>
            <w:bCs/>
            <w:noProof/>
          </w:rPr>
          <w:t>Figure N°2- 3: Structure organisationnelle de la division Finance et Comptabilité d'Algérie Télécom</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_Toc199314769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60</w:t>
        </w:r>
        <w:r w:rsidR="001A5181" w:rsidRPr="001A5181">
          <w:rPr>
            <w:rFonts w:asciiTheme="majorBidi" w:hAnsiTheme="majorBidi" w:cstheme="majorBidi"/>
            <w:noProof/>
            <w:webHidden/>
          </w:rPr>
          <w:fldChar w:fldCharType="end"/>
        </w:r>
      </w:hyperlink>
    </w:p>
    <w:p w14:paraId="362E98B1" w14:textId="52AC5AE0"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70" w:history="1">
        <w:r w:rsidR="001A5181" w:rsidRPr="001A5181">
          <w:rPr>
            <w:rStyle w:val="Lienhypertexte"/>
            <w:rFonts w:asciiTheme="majorBidi" w:hAnsiTheme="majorBidi" w:cstheme="majorBidi"/>
            <w:b/>
            <w:bCs/>
            <w:noProof/>
          </w:rPr>
          <w:t>Figure N°2- 4: Histogramme des comparaisons entres les budgets accordes et les prévisions exercice 2023</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_Toc199314770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67</w:t>
        </w:r>
        <w:r w:rsidR="001A5181" w:rsidRPr="001A5181">
          <w:rPr>
            <w:rFonts w:asciiTheme="majorBidi" w:hAnsiTheme="majorBidi" w:cstheme="majorBidi"/>
            <w:noProof/>
            <w:webHidden/>
          </w:rPr>
          <w:fldChar w:fldCharType="end"/>
        </w:r>
      </w:hyperlink>
    </w:p>
    <w:p w14:paraId="34A49465" w14:textId="2F55F919"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71" w:history="1">
        <w:r w:rsidR="001A5181" w:rsidRPr="001A5181">
          <w:rPr>
            <w:rStyle w:val="Lienhypertexte"/>
            <w:rFonts w:asciiTheme="majorBidi" w:hAnsiTheme="majorBidi" w:cstheme="majorBidi"/>
            <w:b/>
            <w:bCs/>
            <w:noProof/>
          </w:rPr>
          <w:t>Figure N°2- 5: Histogramme des engagements et réalisations – Compte 60 : Achats consommés</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_Toc199314771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69</w:t>
        </w:r>
        <w:r w:rsidR="001A5181" w:rsidRPr="001A5181">
          <w:rPr>
            <w:rFonts w:asciiTheme="majorBidi" w:hAnsiTheme="majorBidi" w:cstheme="majorBidi"/>
            <w:noProof/>
            <w:webHidden/>
          </w:rPr>
          <w:fldChar w:fldCharType="end"/>
        </w:r>
      </w:hyperlink>
    </w:p>
    <w:p w14:paraId="28DDB538" w14:textId="4FD53726"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72" w:history="1">
        <w:r w:rsidR="001A5181" w:rsidRPr="001A5181">
          <w:rPr>
            <w:rStyle w:val="Lienhypertexte"/>
            <w:rFonts w:asciiTheme="majorBidi" w:hAnsiTheme="majorBidi" w:cstheme="majorBidi"/>
            <w:b/>
            <w:bCs/>
            <w:noProof/>
          </w:rPr>
          <w:t>Figure N°2- 6: Histogramme des engagements et réalisations – Comptes 61 et 62 : Services extérieurs et autres prestations</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_Toc199314772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71</w:t>
        </w:r>
        <w:r w:rsidR="001A5181" w:rsidRPr="001A5181">
          <w:rPr>
            <w:rFonts w:asciiTheme="majorBidi" w:hAnsiTheme="majorBidi" w:cstheme="majorBidi"/>
            <w:noProof/>
            <w:webHidden/>
          </w:rPr>
          <w:fldChar w:fldCharType="end"/>
        </w:r>
      </w:hyperlink>
    </w:p>
    <w:p w14:paraId="5C7DE69B" w14:textId="53E02A18"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73" w:history="1">
        <w:r w:rsidR="001A5181" w:rsidRPr="001A5181">
          <w:rPr>
            <w:rStyle w:val="Lienhypertexte"/>
            <w:rFonts w:asciiTheme="majorBidi" w:hAnsiTheme="majorBidi" w:cstheme="majorBidi"/>
            <w:b/>
            <w:bCs/>
            <w:noProof/>
          </w:rPr>
          <w:t>Figure N°2- 7: Histogramme des charges de personnel – Compte 63</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_Toc199314773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74</w:t>
        </w:r>
        <w:r w:rsidR="001A5181" w:rsidRPr="001A5181">
          <w:rPr>
            <w:rFonts w:asciiTheme="majorBidi" w:hAnsiTheme="majorBidi" w:cstheme="majorBidi"/>
            <w:noProof/>
            <w:webHidden/>
          </w:rPr>
          <w:fldChar w:fldCharType="end"/>
        </w:r>
      </w:hyperlink>
    </w:p>
    <w:p w14:paraId="6504AA2A" w14:textId="119A5D28"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74" w:history="1">
        <w:r w:rsidR="001A5181" w:rsidRPr="001A5181">
          <w:rPr>
            <w:rStyle w:val="Lienhypertexte"/>
            <w:rFonts w:asciiTheme="majorBidi" w:hAnsiTheme="majorBidi" w:cstheme="majorBidi"/>
            <w:b/>
            <w:bCs/>
            <w:noProof/>
          </w:rPr>
          <w:t>Figure N°2- 8: Histogramme de l’exécution budgétaire – Compte 64 : Impôts, taxes et versements assimilés</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_Toc199314774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76</w:t>
        </w:r>
        <w:r w:rsidR="001A5181" w:rsidRPr="001A5181">
          <w:rPr>
            <w:rFonts w:asciiTheme="majorBidi" w:hAnsiTheme="majorBidi" w:cstheme="majorBidi"/>
            <w:noProof/>
            <w:webHidden/>
          </w:rPr>
          <w:fldChar w:fldCharType="end"/>
        </w:r>
      </w:hyperlink>
    </w:p>
    <w:p w14:paraId="7F00EFA3" w14:textId="66AC2488"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75" w:history="1">
        <w:r w:rsidR="001A5181" w:rsidRPr="001A5181">
          <w:rPr>
            <w:rStyle w:val="Lienhypertexte"/>
            <w:rFonts w:asciiTheme="majorBidi" w:hAnsiTheme="majorBidi" w:cstheme="majorBidi"/>
            <w:b/>
            <w:bCs/>
            <w:noProof/>
          </w:rPr>
          <w:t>Figure N°2- 9: Histogramme de l’exécution budgétaire – Compte 65 : Autres charges opérationnelles</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_Toc199314775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78</w:t>
        </w:r>
        <w:r w:rsidR="001A5181" w:rsidRPr="001A5181">
          <w:rPr>
            <w:rFonts w:asciiTheme="majorBidi" w:hAnsiTheme="majorBidi" w:cstheme="majorBidi"/>
            <w:noProof/>
            <w:webHidden/>
          </w:rPr>
          <w:fldChar w:fldCharType="end"/>
        </w:r>
      </w:hyperlink>
    </w:p>
    <w:p w14:paraId="61F62D02" w14:textId="74E632B6" w:rsidR="001A5181" w:rsidRPr="001A5181"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776" w:history="1">
        <w:r w:rsidR="001A5181" w:rsidRPr="001A5181">
          <w:rPr>
            <w:rStyle w:val="Lienhypertexte"/>
            <w:rFonts w:asciiTheme="majorBidi" w:hAnsiTheme="majorBidi" w:cstheme="majorBidi"/>
            <w:b/>
            <w:bCs/>
            <w:noProof/>
          </w:rPr>
          <w:t>Figure N°2- 10: Histogramme comparatif : Budget, Engagement et Réalisation – Compte 60 (Achats Consommés)</w:t>
        </w:r>
        <w:r w:rsidR="001A5181" w:rsidRPr="001A5181">
          <w:rPr>
            <w:rFonts w:asciiTheme="majorBidi" w:hAnsiTheme="majorBidi" w:cstheme="majorBidi"/>
            <w:noProof/>
            <w:webHidden/>
          </w:rPr>
          <w:tab/>
        </w:r>
        <w:r w:rsidR="001A5181" w:rsidRPr="001A5181">
          <w:rPr>
            <w:rFonts w:asciiTheme="majorBidi" w:hAnsiTheme="majorBidi" w:cstheme="majorBidi"/>
            <w:noProof/>
            <w:webHidden/>
          </w:rPr>
          <w:fldChar w:fldCharType="begin"/>
        </w:r>
        <w:r w:rsidR="001A5181" w:rsidRPr="001A5181">
          <w:rPr>
            <w:rFonts w:asciiTheme="majorBidi" w:hAnsiTheme="majorBidi" w:cstheme="majorBidi"/>
            <w:noProof/>
            <w:webHidden/>
          </w:rPr>
          <w:instrText xml:space="preserve"> PAGEREF _Toc199314776 \h </w:instrText>
        </w:r>
        <w:r w:rsidR="001A5181" w:rsidRPr="001A5181">
          <w:rPr>
            <w:rFonts w:asciiTheme="majorBidi" w:hAnsiTheme="majorBidi" w:cstheme="majorBidi"/>
            <w:noProof/>
            <w:webHidden/>
          </w:rPr>
        </w:r>
        <w:r w:rsidR="001A5181" w:rsidRPr="001A5181">
          <w:rPr>
            <w:rFonts w:asciiTheme="majorBidi" w:hAnsiTheme="majorBidi" w:cstheme="majorBidi"/>
            <w:noProof/>
            <w:webHidden/>
          </w:rPr>
          <w:fldChar w:fldCharType="separate"/>
        </w:r>
        <w:r w:rsidR="00F45A16">
          <w:rPr>
            <w:rFonts w:asciiTheme="majorBidi" w:hAnsiTheme="majorBidi" w:cstheme="majorBidi"/>
            <w:noProof/>
            <w:webHidden/>
          </w:rPr>
          <w:t>82</w:t>
        </w:r>
        <w:r w:rsidR="001A5181" w:rsidRPr="001A5181">
          <w:rPr>
            <w:rFonts w:asciiTheme="majorBidi" w:hAnsiTheme="majorBidi" w:cstheme="majorBidi"/>
            <w:noProof/>
            <w:webHidden/>
          </w:rPr>
          <w:fldChar w:fldCharType="end"/>
        </w:r>
      </w:hyperlink>
    </w:p>
    <w:p w14:paraId="0EBC9948" w14:textId="7DF4608C" w:rsidR="00CE78F4" w:rsidRPr="001A5181" w:rsidRDefault="001A5181" w:rsidP="00AE3850">
      <w:pPr>
        <w:spacing w:line="360" w:lineRule="auto"/>
        <w:jc w:val="both"/>
        <w:rPr>
          <w:rFonts w:asciiTheme="majorBidi" w:hAnsiTheme="majorBidi" w:cstheme="majorBidi"/>
        </w:rPr>
      </w:pPr>
      <w:r w:rsidRPr="001A5181">
        <w:rPr>
          <w:rFonts w:asciiTheme="majorBidi" w:hAnsiTheme="majorBidi" w:cstheme="majorBidi"/>
        </w:rPr>
        <w:fldChar w:fldCharType="end"/>
      </w:r>
    </w:p>
    <w:p w14:paraId="32894B4D" w14:textId="77777777" w:rsidR="00D343B9" w:rsidRPr="001A5181" w:rsidRDefault="00D343B9" w:rsidP="00AE3850">
      <w:pPr>
        <w:spacing w:line="360" w:lineRule="auto"/>
        <w:jc w:val="both"/>
        <w:rPr>
          <w:rFonts w:asciiTheme="majorBidi" w:hAnsiTheme="majorBidi" w:cstheme="majorBidi"/>
          <w:b/>
          <w:bCs/>
        </w:rPr>
      </w:pPr>
      <w:r w:rsidRPr="001A5181">
        <w:rPr>
          <w:rFonts w:asciiTheme="majorBidi" w:hAnsiTheme="majorBidi" w:cstheme="majorBidi"/>
          <w:b/>
          <w:bCs/>
        </w:rPr>
        <w:br w:type="page"/>
      </w:r>
    </w:p>
    <w:p w14:paraId="72673EA9" w14:textId="347DA4E7" w:rsidR="00197D57" w:rsidRPr="00AA1F2E" w:rsidRDefault="00D343B9" w:rsidP="00AE3850">
      <w:pPr>
        <w:pStyle w:val="Titre1"/>
        <w:spacing w:line="360" w:lineRule="auto"/>
        <w:jc w:val="both"/>
        <w:rPr>
          <w:rFonts w:asciiTheme="majorBidi" w:hAnsiTheme="majorBidi"/>
          <w:sz w:val="36"/>
          <w:szCs w:val="36"/>
          <w:u w:val="single"/>
        </w:rPr>
      </w:pPr>
      <w:bookmarkStart w:id="12" w:name="_Toc198964983"/>
      <w:bookmarkStart w:id="13" w:name="_Toc198966471"/>
      <w:bookmarkStart w:id="14" w:name="_Toc199314360"/>
      <w:bookmarkStart w:id="15" w:name="_Toc199314564"/>
      <w:r w:rsidRPr="00AA1F2E">
        <w:rPr>
          <w:rFonts w:asciiTheme="majorBidi" w:hAnsiTheme="majorBidi"/>
          <w:b/>
          <w:bCs/>
          <w:color w:val="auto"/>
          <w:sz w:val="32"/>
          <w:szCs w:val="32"/>
          <w:u w:val="single"/>
        </w:rPr>
        <w:lastRenderedPageBreak/>
        <w:t xml:space="preserve">Liste des </w:t>
      </w:r>
      <w:bookmarkEnd w:id="12"/>
      <w:bookmarkEnd w:id="13"/>
      <w:r w:rsidR="00AA1F2E" w:rsidRPr="00AA1F2E">
        <w:rPr>
          <w:rFonts w:asciiTheme="majorBidi" w:hAnsiTheme="majorBidi"/>
          <w:b/>
          <w:bCs/>
          <w:color w:val="auto"/>
          <w:sz w:val="32"/>
          <w:szCs w:val="32"/>
          <w:u w:val="single"/>
        </w:rPr>
        <w:t>tableaux :</w:t>
      </w:r>
      <w:bookmarkEnd w:id="14"/>
      <w:bookmarkEnd w:id="15"/>
    </w:p>
    <w:p w14:paraId="7019F84B" w14:textId="7A9DE45D" w:rsidR="00766CC4" w:rsidRPr="00766CC4" w:rsidRDefault="00766CC4" w:rsidP="00AE3850">
      <w:pPr>
        <w:pStyle w:val="Tabledesillustrations"/>
        <w:tabs>
          <w:tab w:val="right" w:leader="dot" w:pos="9061"/>
        </w:tabs>
        <w:spacing w:line="360" w:lineRule="auto"/>
        <w:jc w:val="both"/>
        <w:rPr>
          <w:rFonts w:asciiTheme="majorBidi" w:hAnsiTheme="majorBidi" w:cstheme="majorBidi"/>
          <w:noProof/>
        </w:rPr>
      </w:pPr>
      <w:r>
        <w:rPr>
          <w:rFonts w:asciiTheme="majorBidi" w:hAnsiTheme="majorBidi" w:cstheme="majorBidi"/>
        </w:rPr>
        <w:fldChar w:fldCharType="begin"/>
      </w:r>
      <w:r>
        <w:rPr>
          <w:rFonts w:asciiTheme="majorBidi" w:hAnsiTheme="majorBidi" w:cstheme="majorBidi"/>
        </w:rPr>
        <w:instrText xml:space="preserve"> TOC \h \z \c "Tableau N°2-" </w:instrText>
      </w:r>
      <w:r>
        <w:rPr>
          <w:rFonts w:asciiTheme="majorBidi" w:hAnsiTheme="majorBidi" w:cstheme="majorBidi"/>
        </w:rPr>
        <w:fldChar w:fldCharType="separate"/>
      </w:r>
      <w:hyperlink w:anchor="_Toc199314989" w:history="1">
        <w:r w:rsidRPr="00766CC4">
          <w:rPr>
            <w:rStyle w:val="Lienhypertexte"/>
            <w:rFonts w:asciiTheme="majorBidi" w:hAnsiTheme="majorBidi" w:cstheme="majorBidi"/>
            <w:b/>
            <w:bCs/>
            <w:noProof/>
          </w:rPr>
          <w:t>Tableau N°2- 1: Fiche technique d’Algérie Télécom</w:t>
        </w:r>
        <w:r w:rsidRPr="00766CC4">
          <w:rPr>
            <w:rFonts w:asciiTheme="majorBidi" w:hAnsiTheme="majorBidi" w:cstheme="majorBidi"/>
            <w:noProof/>
            <w:webHidden/>
          </w:rPr>
          <w:tab/>
        </w:r>
        <w:r w:rsidRPr="00766CC4">
          <w:rPr>
            <w:rFonts w:asciiTheme="majorBidi" w:hAnsiTheme="majorBidi" w:cstheme="majorBidi"/>
            <w:noProof/>
            <w:webHidden/>
          </w:rPr>
          <w:fldChar w:fldCharType="begin"/>
        </w:r>
        <w:r w:rsidRPr="00766CC4">
          <w:rPr>
            <w:rFonts w:asciiTheme="majorBidi" w:hAnsiTheme="majorBidi" w:cstheme="majorBidi"/>
            <w:noProof/>
            <w:webHidden/>
          </w:rPr>
          <w:instrText xml:space="preserve"> PAGEREF _Toc199314989 \h </w:instrText>
        </w:r>
        <w:r w:rsidRPr="00766CC4">
          <w:rPr>
            <w:rFonts w:asciiTheme="majorBidi" w:hAnsiTheme="majorBidi" w:cstheme="majorBidi"/>
            <w:noProof/>
            <w:webHidden/>
          </w:rPr>
        </w:r>
        <w:r w:rsidRPr="00766CC4">
          <w:rPr>
            <w:rFonts w:asciiTheme="majorBidi" w:hAnsiTheme="majorBidi" w:cstheme="majorBidi"/>
            <w:noProof/>
            <w:webHidden/>
          </w:rPr>
          <w:fldChar w:fldCharType="separate"/>
        </w:r>
        <w:r w:rsidR="00F45A16">
          <w:rPr>
            <w:rFonts w:asciiTheme="majorBidi" w:hAnsiTheme="majorBidi" w:cstheme="majorBidi"/>
            <w:noProof/>
            <w:webHidden/>
          </w:rPr>
          <w:t>50</w:t>
        </w:r>
        <w:r w:rsidRPr="00766CC4">
          <w:rPr>
            <w:rFonts w:asciiTheme="majorBidi" w:hAnsiTheme="majorBidi" w:cstheme="majorBidi"/>
            <w:noProof/>
            <w:webHidden/>
          </w:rPr>
          <w:fldChar w:fldCharType="end"/>
        </w:r>
      </w:hyperlink>
    </w:p>
    <w:p w14:paraId="2F573ED2" w14:textId="6593C04F" w:rsidR="00766CC4" w:rsidRPr="00766CC4"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990" w:history="1">
        <w:r w:rsidR="00766CC4" w:rsidRPr="00766CC4">
          <w:rPr>
            <w:rStyle w:val="Lienhypertexte"/>
            <w:rFonts w:asciiTheme="majorBidi" w:hAnsiTheme="majorBidi" w:cstheme="majorBidi"/>
            <w:b/>
            <w:bCs/>
            <w:noProof/>
          </w:rPr>
          <w:t>Tableau N°2- 2: Comparaison entre les prévisions et le budget accordé Exercice 2023 (En milliers deDA)</w:t>
        </w:r>
        <w:r w:rsidR="00766CC4" w:rsidRPr="00766CC4">
          <w:rPr>
            <w:rFonts w:asciiTheme="majorBidi" w:hAnsiTheme="majorBidi" w:cstheme="majorBidi"/>
            <w:noProof/>
            <w:webHidden/>
          </w:rPr>
          <w:tab/>
        </w:r>
        <w:r w:rsidR="00766CC4" w:rsidRPr="00766CC4">
          <w:rPr>
            <w:rFonts w:asciiTheme="majorBidi" w:hAnsiTheme="majorBidi" w:cstheme="majorBidi"/>
            <w:noProof/>
            <w:webHidden/>
          </w:rPr>
          <w:fldChar w:fldCharType="begin"/>
        </w:r>
        <w:r w:rsidR="00766CC4" w:rsidRPr="00766CC4">
          <w:rPr>
            <w:rFonts w:asciiTheme="majorBidi" w:hAnsiTheme="majorBidi" w:cstheme="majorBidi"/>
            <w:noProof/>
            <w:webHidden/>
          </w:rPr>
          <w:instrText xml:space="preserve"> PAGEREF _Toc199314990 \h </w:instrText>
        </w:r>
        <w:r w:rsidR="00766CC4" w:rsidRPr="00766CC4">
          <w:rPr>
            <w:rFonts w:asciiTheme="majorBidi" w:hAnsiTheme="majorBidi" w:cstheme="majorBidi"/>
            <w:noProof/>
            <w:webHidden/>
          </w:rPr>
        </w:r>
        <w:r w:rsidR="00766CC4" w:rsidRPr="00766CC4">
          <w:rPr>
            <w:rFonts w:asciiTheme="majorBidi" w:hAnsiTheme="majorBidi" w:cstheme="majorBidi"/>
            <w:noProof/>
            <w:webHidden/>
          </w:rPr>
          <w:fldChar w:fldCharType="separate"/>
        </w:r>
        <w:r w:rsidR="00F45A16">
          <w:rPr>
            <w:rFonts w:asciiTheme="majorBidi" w:hAnsiTheme="majorBidi" w:cstheme="majorBidi"/>
            <w:noProof/>
            <w:webHidden/>
          </w:rPr>
          <w:t>66</w:t>
        </w:r>
        <w:r w:rsidR="00766CC4" w:rsidRPr="00766CC4">
          <w:rPr>
            <w:rFonts w:asciiTheme="majorBidi" w:hAnsiTheme="majorBidi" w:cstheme="majorBidi"/>
            <w:noProof/>
            <w:webHidden/>
          </w:rPr>
          <w:fldChar w:fldCharType="end"/>
        </w:r>
      </w:hyperlink>
    </w:p>
    <w:p w14:paraId="4111D595" w14:textId="369BA609" w:rsidR="00766CC4" w:rsidRPr="00766CC4"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991" w:history="1">
        <w:r w:rsidR="00766CC4" w:rsidRPr="00766CC4">
          <w:rPr>
            <w:rStyle w:val="Lienhypertexte"/>
            <w:rFonts w:asciiTheme="majorBidi" w:hAnsiTheme="majorBidi" w:cstheme="majorBidi"/>
            <w:b/>
            <w:bCs/>
            <w:noProof/>
          </w:rPr>
          <w:t>Tableau N°2- 3: Analyse des engagements et réalisations Compte 60: Achats consommés (En milliers)</w:t>
        </w:r>
        <w:r w:rsidR="00766CC4" w:rsidRPr="00766CC4">
          <w:rPr>
            <w:rFonts w:asciiTheme="majorBidi" w:hAnsiTheme="majorBidi" w:cstheme="majorBidi"/>
            <w:noProof/>
            <w:webHidden/>
          </w:rPr>
          <w:tab/>
        </w:r>
        <w:r w:rsidR="00766CC4" w:rsidRPr="00766CC4">
          <w:rPr>
            <w:rFonts w:asciiTheme="majorBidi" w:hAnsiTheme="majorBidi" w:cstheme="majorBidi"/>
            <w:noProof/>
            <w:webHidden/>
          </w:rPr>
          <w:fldChar w:fldCharType="begin"/>
        </w:r>
        <w:r w:rsidR="00766CC4" w:rsidRPr="00766CC4">
          <w:rPr>
            <w:rFonts w:asciiTheme="majorBidi" w:hAnsiTheme="majorBidi" w:cstheme="majorBidi"/>
            <w:noProof/>
            <w:webHidden/>
          </w:rPr>
          <w:instrText xml:space="preserve"> PAGEREF _Toc199314991 \h </w:instrText>
        </w:r>
        <w:r w:rsidR="00766CC4" w:rsidRPr="00766CC4">
          <w:rPr>
            <w:rFonts w:asciiTheme="majorBidi" w:hAnsiTheme="majorBidi" w:cstheme="majorBidi"/>
            <w:noProof/>
            <w:webHidden/>
          </w:rPr>
        </w:r>
        <w:r w:rsidR="00766CC4" w:rsidRPr="00766CC4">
          <w:rPr>
            <w:rFonts w:asciiTheme="majorBidi" w:hAnsiTheme="majorBidi" w:cstheme="majorBidi"/>
            <w:noProof/>
            <w:webHidden/>
          </w:rPr>
          <w:fldChar w:fldCharType="separate"/>
        </w:r>
        <w:r w:rsidR="00F45A16">
          <w:rPr>
            <w:rFonts w:asciiTheme="majorBidi" w:hAnsiTheme="majorBidi" w:cstheme="majorBidi"/>
            <w:noProof/>
            <w:webHidden/>
          </w:rPr>
          <w:t>68</w:t>
        </w:r>
        <w:r w:rsidR="00766CC4" w:rsidRPr="00766CC4">
          <w:rPr>
            <w:rFonts w:asciiTheme="majorBidi" w:hAnsiTheme="majorBidi" w:cstheme="majorBidi"/>
            <w:noProof/>
            <w:webHidden/>
          </w:rPr>
          <w:fldChar w:fldCharType="end"/>
        </w:r>
      </w:hyperlink>
    </w:p>
    <w:p w14:paraId="643B800E" w14:textId="2A7E4FA9" w:rsidR="00766CC4" w:rsidRPr="00766CC4"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992" w:history="1">
        <w:r w:rsidR="00766CC4" w:rsidRPr="00766CC4">
          <w:rPr>
            <w:rStyle w:val="Lienhypertexte"/>
            <w:rFonts w:asciiTheme="majorBidi" w:hAnsiTheme="majorBidi" w:cstheme="majorBidi"/>
            <w:b/>
            <w:bCs/>
            <w:noProof/>
          </w:rPr>
          <w:t>Tableau N°2- 4: Détail des charges de personnel Compte 63 M :KDA</w:t>
        </w:r>
        <w:r w:rsidR="00766CC4" w:rsidRPr="00766CC4">
          <w:rPr>
            <w:rFonts w:asciiTheme="majorBidi" w:hAnsiTheme="majorBidi" w:cstheme="majorBidi"/>
            <w:noProof/>
            <w:webHidden/>
          </w:rPr>
          <w:tab/>
        </w:r>
        <w:r w:rsidR="00766CC4" w:rsidRPr="00766CC4">
          <w:rPr>
            <w:rFonts w:asciiTheme="majorBidi" w:hAnsiTheme="majorBidi" w:cstheme="majorBidi"/>
            <w:noProof/>
            <w:webHidden/>
          </w:rPr>
          <w:fldChar w:fldCharType="begin"/>
        </w:r>
        <w:r w:rsidR="00766CC4" w:rsidRPr="00766CC4">
          <w:rPr>
            <w:rFonts w:asciiTheme="majorBidi" w:hAnsiTheme="majorBidi" w:cstheme="majorBidi"/>
            <w:noProof/>
            <w:webHidden/>
          </w:rPr>
          <w:instrText xml:space="preserve"> PAGEREF _Toc199314992 \h </w:instrText>
        </w:r>
        <w:r w:rsidR="00766CC4" w:rsidRPr="00766CC4">
          <w:rPr>
            <w:rFonts w:asciiTheme="majorBidi" w:hAnsiTheme="majorBidi" w:cstheme="majorBidi"/>
            <w:noProof/>
            <w:webHidden/>
          </w:rPr>
        </w:r>
        <w:r w:rsidR="00766CC4" w:rsidRPr="00766CC4">
          <w:rPr>
            <w:rFonts w:asciiTheme="majorBidi" w:hAnsiTheme="majorBidi" w:cstheme="majorBidi"/>
            <w:noProof/>
            <w:webHidden/>
          </w:rPr>
          <w:fldChar w:fldCharType="separate"/>
        </w:r>
        <w:r w:rsidR="00F45A16">
          <w:rPr>
            <w:rFonts w:asciiTheme="majorBidi" w:hAnsiTheme="majorBidi" w:cstheme="majorBidi"/>
            <w:noProof/>
            <w:webHidden/>
          </w:rPr>
          <w:t>73</w:t>
        </w:r>
        <w:r w:rsidR="00766CC4" w:rsidRPr="00766CC4">
          <w:rPr>
            <w:rFonts w:asciiTheme="majorBidi" w:hAnsiTheme="majorBidi" w:cstheme="majorBidi"/>
            <w:noProof/>
            <w:webHidden/>
          </w:rPr>
          <w:fldChar w:fldCharType="end"/>
        </w:r>
      </w:hyperlink>
    </w:p>
    <w:p w14:paraId="59AC8B80" w14:textId="306937BF" w:rsidR="00766CC4" w:rsidRPr="00766CC4"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993" w:history="1">
        <w:r w:rsidR="00766CC4" w:rsidRPr="00766CC4">
          <w:rPr>
            <w:rStyle w:val="Lienhypertexte"/>
            <w:rFonts w:asciiTheme="majorBidi" w:hAnsiTheme="majorBidi" w:cstheme="majorBidi"/>
            <w:b/>
            <w:bCs/>
            <w:noProof/>
          </w:rPr>
          <w:t>Tableau N°2- 5: Exécution budgétaire des impôts et taxes – Compte 64 (En milliers de DA)</w:t>
        </w:r>
        <w:r w:rsidR="00766CC4" w:rsidRPr="00766CC4">
          <w:rPr>
            <w:rFonts w:asciiTheme="majorBidi" w:hAnsiTheme="majorBidi" w:cstheme="majorBidi"/>
            <w:noProof/>
            <w:webHidden/>
          </w:rPr>
          <w:tab/>
        </w:r>
        <w:r w:rsidR="00766CC4" w:rsidRPr="00766CC4">
          <w:rPr>
            <w:rFonts w:asciiTheme="majorBidi" w:hAnsiTheme="majorBidi" w:cstheme="majorBidi"/>
            <w:noProof/>
            <w:webHidden/>
          </w:rPr>
          <w:fldChar w:fldCharType="begin"/>
        </w:r>
        <w:r w:rsidR="00766CC4" w:rsidRPr="00766CC4">
          <w:rPr>
            <w:rFonts w:asciiTheme="majorBidi" w:hAnsiTheme="majorBidi" w:cstheme="majorBidi"/>
            <w:noProof/>
            <w:webHidden/>
          </w:rPr>
          <w:instrText xml:space="preserve"> PAGEREF _Toc199314993 \h </w:instrText>
        </w:r>
        <w:r w:rsidR="00766CC4" w:rsidRPr="00766CC4">
          <w:rPr>
            <w:rFonts w:asciiTheme="majorBidi" w:hAnsiTheme="majorBidi" w:cstheme="majorBidi"/>
            <w:noProof/>
            <w:webHidden/>
          </w:rPr>
        </w:r>
        <w:r w:rsidR="00766CC4" w:rsidRPr="00766CC4">
          <w:rPr>
            <w:rFonts w:asciiTheme="majorBidi" w:hAnsiTheme="majorBidi" w:cstheme="majorBidi"/>
            <w:noProof/>
            <w:webHidden/>
          </w:rPr>
          <w:fldChar w:fldCharType="separate"/>
        </w:r>
        <w:r w:rsidR="00F45A16">
          <w:rPr>
            <w:rFonts w:asciiTheme="majorBidi" w:hAnsiTheme="majorBidi" w:cstheme="majorBidi"/>
            <w:noProof/>
            <w:webHidden/>
          </w:rPr>
          <w:t>75</w:t>
        </w:r>
        <w:r w:rsidR="00766CC4" w:rsidRPr="00766CC4">
          <w:rPr>
            <w:rFonts w:asciiTheme="majorBidi" w:hAnsiTheme="majorBidi" w:cstheme="majorBidi"/>
            <w:noProof/>
            <w:webHidden/>
          </w:rPr>
          <w:fldChar w:fldCharType="end"/>
        </w:r>
      </w:hyperlink>
    </w:p>
    <w:p w14:paraId="4B70955A" w14:textId="598A6FCB" w:rsidR="00766CC4" w:rsidRPr="00766CC4"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994" w:history="1">
        <w:r w:rsidR="00766CC4" w:rsidRPr="00766CC4">
          <w:rPr>
            <w:rStyle w:val="Lienhypertexte"/>
            <w:rFonts w:asciiTheme="majorBidi" w:hAnsiTheme="majorBidi" w:cstheme="majorBidi"/>
            <w:b/>
            <w:bCs/>
            <w:noProof/>
          </w:rPr>
          <w:t>Tableau N°2- 6: Exécution budgétaire – Compte 65 : Autres charges opérationnelles (Exercice 2023)</w:t>
        </w:r>
        <w:r w:rsidR="00766CC4" w:rsidRPr="00766CC4">
          <w:rPr>
            <w:rFonts w:asciiTheme="majorBidi" w:hAnsiTheme="majorBidi" w:cstheme="majorBidi"/>
            <w:noProof/>
            <w:webHidden/>
          </w:rPr>
          <w:tab/>
        </w:r>
        <w:r w:rsidR="00766CC4" w:rsidRPr="00766CC4">
          <w:rPr>
            <w:rFonts w:asciiTheme="majorBidi" w:hAnsiTheme="majorBidi" w:cstheme="majorBidi"/>
            <w:noProof/>
            <w:webHidden/>
          </w:rPr>
          <w:fldChar w:fldCharType="begin"/>
        </w:r>
        <w:r w:rsidR="00766CC4" w:rsidRPr="00766CC4">
          <w:rPr>
            <w:rFonts w:asciiTheme="majorBidi" w:hAnsiTheme="majorBidi" w:cstheme="majorBidi"/>
            <w:noProof/>
            <w:webHidden/>
          </w:rPr>
          <w:instrText xml:space="preserve"> PAGEREF _Toc199314994 \h </w:instrText>
        </w:r>
        <w:r w:rsidR="00766CC4" w:rsidRPr="00766CC4">
          <w:rPr>
            <w:rFonts w:asciiTheme="majorBidi" w:hAnsiTheme="majorBidi" w:cstheme="majorBidi"/>
            <w:noProof/>
            <w:webHidden/>
          </w:rPr>
        </w:r>
        <w:r w:rsidR="00766CC4" w:rsidRPr="00766CC4">
          <w:rPr>
            <w:rFonts w:asciiTheme="majorBidi" w:hAnsiTheme="majorBidi" w:cstheme="majorBidi"/>
            <w:noProof/>
            <w:webHidden/>
          </w:rPr>
          <w:fldChar w:fldCharType="separate"/>
        </w:r>
        <w:r w:rsidR="00F45A16">
          <w:rPr>
            <w:rFonts w:asciiTheme="majorBidi" w:hAnsiTheme="majorBidi" w:cstheme="majorBidi"/>
            <w:noProof/>
            <w:webHidden/>
          </w:rPr>
          <w:t>77</w:t>
        </w:r>
        <w:r w:rsidR="00766CC4" w:rsidRPr="00766CC4">
          <w:rPr>
            <w:rFonts w:asciiTheme="majorBidi" w:hAnsiTheme="majorBidi" w:cstheme="majorBidi"/>
            <w:noProof/>
            <w:webHidden/>
          </w:rPr>
          <w:fldChar w:fldCharType="end"/>
        </w:r>
      </w:hyperlink>
    </w:p>
    <w:p w14:paraId="391E6E18" w14:textId="3BA8E28A" w:rsidR="00766CC4" w:rsidRPr="00766CC4"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995" w:history="1">
        <w:r w:rsidR="00766CC4" w:rsidRPr="00766CC4">
          <w:rPr>
            <w:rStyle w:val="Lienhypertexte"/>
            <w:rFonts w:asciiTheme="majorBidi" w:hAnsiTheme="majorBidi" w:cstheme="majorBidi"/>
            <w:b/>
            <w:bCs/>
            <w:noProof/>
          </w:rPr>
          <w:t>Tableau N°2- 7: Réaménagements budgétaires internes entre postes de dépenses – Compte 60 (Exercice 2023)</w:t>
        </w:r>
        <w:r w:rsidR="00766CC4" w:rsidRPr="00766CC4">
          <w:rPr>
            <w:rFonts w:asciiTheme="majorBidi" w:hAnsiTheme="majorBidi" w:cstheme="majorBidi"/>
            <w:noProof/>
            <w:webHidden/>
          </w:rPr>
          <w:tab/>
        </w:r>
        <w:r w:rsidR="00766CC4" w:rsidRPr="00766CC4">
          <w:rPr>
            <w:rFonts w:asciiTheme="majorBidi" w:hAnsiTheme="majorBidi" w:cstheme="majorBidi"/>
            <w:noProof/>
            <w:webHidden/>
          </w:rPr>
          <w:fldChar w:fldCharType="begin"/>
        </w:r>
        <w:r w:rsidR="00766CC4" w:rsidRPr="00766CC4">
          <w:rPr>
            <w:rFonts w:asciiTheme="majorBidi" w:hAnsiTheme="majorBidi" w:cstheme="majorBidi"/>
            <w:noProof/>
            <w:webHidden/>
          </w:rPr>
          <w:instrText xml:space="preserve"> PAGEREF _Toc199314995 \h </w:instrText>
        </w:r>
        <w:r w:rsidR="00766CC4" w:rsidRPr="00766CC4">
          <w:rPr>
            <w:rFonts w:asciiTheme="majorBidi" w:hAnsiTheme="majorBidi" w:cstheme="majorBidi"/>
            <w:noProof/>
            <w:webHidden/>
          </w:rPr>
        </w:r>
        <w:r w:rsidR="00766CC4" w:rsidRPr="00766CC4">
          <w:rPr>
            <w:rFonts w:asciiTheme="majorBidi" w:hAnsiTheme="majorBidi" w:cstheme="majorBidi"/>
            <w:noProof/>
            <w:webHidden/>
          </w:rPr>
          <w:fldChar w:fldCharType="separate"/>
        </w:r>
        <w:r w:rsidR="00F45A16">
          <w:rPr>
            <w:rFonts w:asciiTheme="majorBidi" w:hAnsiTheme="majorBidi" w:cstheme="majorBidi"/>
            <w:noProof/>
            <w:webHidden/>
          </w:rPr>
          <w:t>79</w:t>
        </w:r>
        <w:r w:rsidR="00766CC4" w:rsidRPr="00766CC4">
          <w:rPr>
            <w:rFonts w:asciiTheme="majorBidi" w:hAnsiTheme="majorBidi" w:cstheme="majorBidi"/>
            <w:noProof/>
            <w:webHidden/>
          </w:rPr>
          <w:fldChar w:fldCharType="end"/>
        </w:r>
      </w:hyperlink>
    </w:p>
    <w:p w14:paraId="5F7264BC" w14:textId="1533DB41" w:rsidR="00766CC4" w:rsidRPr="00766CC4"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996" w:history="1">
        <w:r w:rsidR="00766CC4" w:rsidRPr="00766CC4">
          <w:rPr>
            <w:rStyle w:val="Lienhypertexte"/>
            <w:rFonts w:asciiTheme="majorBidi" w:hAnsiTheme="majorBidi" w:cstheme="majorBidi"/>
            <w:b/>
            <w:bCs/>
            <w:noProof/>
          </w:rPr>
          <w:t>Tableau N°2- 8: Réaménagements budgétaires internes entre postes de dépenses – Compte 60 (Exercice 2023)</w:t>
        </w:r>
        <w:r w:rsidR="00766CC4" w:rsidRPr="00766CC4">
          <w:rPr>
            <w:rFonts w:asciiTheme="majorBidi" w:hAnsiTheme="majorBidi" w:cstheme="majorBidi"/>
            <w:noProof/>
            <w:webHidden/>
          </w:rPr>
          <w:tab/>
        </w:r>
        <w:r w:rsidR="00766CC4" w:rsidRPr="00766CC4">
          <w:rPr>
            <w:rFonts w:asciiTheme="majorBidi" w:hAnsiTheme="majorBidi" w:cstheme="majorBidi"/>
            <w:noProof/>
            <w:webHidden/>
          </w:rPr>
          <w:fldChar w:fldCharType="begin"/>
        </w:r>
        <w:r w:rsidR="00766CC4" w:rsidRPr="00766CC4">
          <w:rPr>
            <w:rFonts w:asciiTheme="majorBidi" w:hAnsiTheme="majorBidi" w:cstheme="majorBidi"/>
            <w:noProof/>
            <w:webHidden/>
          </w:rPr>
          <w:instrText xml:space="preserve"> PAGEREF _Toc199314996 \h </w:instrText>
        </w:r>
        <w:r w:rsidR="00766CC4" w:rsidRPr="00766CC4">
          <w:rPr>
            <w:rFonts w:asciiTheme="majorBidi" w:hAnsiTheme="majorBidi" w:cstheme="majorBidi"/>
            <w:noProof/>
            <w:webHidden/>
          </w:rPr>
        </w:r>
        <w:r w:rsidR="00766CC4" w:rsidRPr="00766CC4">
          <w:rPr>
            <w:rFonts w:asciiTheme="majorBidi" w:hAnsiTheme="majorBidi" w:cstheme="majorBidi"/>
            <w:noProof/>
            <w:webHidden/>
          </w:rPr>
          <w:fldChar w:fldCharType="separate"/>
        </w:r>
        <w:r w:rsidR="00F45A16">
          <w:rPr>
            <w:rFonts w:asciiTheme="majorBidi" w:hAnsiTheme="majorBidi" w:cstheme="majorBidi"/>
            <w:noProof/>
            <w:webHidden/>
          </w:rPr>
          <w:t>81</w:t>
        </w:r>
        <w:r w:rsidR="00766CC4" w:rsidRPr="00766CC4">
          <w:rPr>
            <w:rFonts w:asciiTheme="majorBidi" w:hAnsiTheme="majorBidi" w:cstheme="majorBidi"/>
            <w:noProof/>
            <w:webHidden/>
          </w:rPr>
          <w:fldChar w:fldCharType="end"/>
        </w:r>
      </w:hyperlink>
    </w:p>
    <w:p w14:paraId="428F6E38" w14:textId="190A538D" w:rsidR="00766CC4" w:rsidRPr="00766CC4" w:rsidRDefault="00AB34B8" w:rsidP="00AE3850">
      <w:pPr>
        <w:pStyle w:val="Tabledesillustrations"/>
        <w:tabs>
          <w:tab w:val="right" w:leader="dot" w:pos="9061"/>
        </w:tabs>
        <w:spacing w:line="360" w:lineRule="auto"/>
        <w:jc w:val="both"/>
        <w:rPr>
          <w:rFonts w:asciiTheme="majorBidi" w:hAnsiTheme="majorBidi" w:cstheme="majorBidi"/>
          <w:noProof/>
        </w:rPr>
      </w:pPr>
      <w:hyperlink w:anchor="_Toc199314997" w:history="1">
        <w:r w:rsidR="00766CC4" w:rsidRPr="00766CC4">
          <w:rPr>
            <w:rStyle w:val="Lienhypertexte"/>
            <w:rFonts w:asciiTheme="majorBidi" w:hAnsiTheme="majorBidi" w:cstheme="majorBidi"/>
            <w:b/>
            <w:bCs/>
            <w:noProof/>
          </w:rPr>
          <w:t>Tableau N°2- 10: Un exemple d’un Tableau comparatif : Écarts entre engagements et   réalisations effectives – Compte 60</w:t>
        </w:r>
        <w:r w:rsidR="00766CC4" w:rsidRPr="00766CC4">
          <w:rPr>
            <w:rFonts w:asciiTheme="majorBidi" w:hAnsiTheme="majorBidi" w:cstheme="majorBidi"/>
            <w:noProof/>
            <w:webHidden/>
          </w:rPr>
          <w:tab/>
        </w:r>
        <w:r w:rsidR="00766CC4" w:rsidRPr="00766CC4">
          <w:rPr>
            <w:rFonts w:asciiTheme="majorBidi" w:hAnsiTheme="majorBidi" w:cstheme="majorBidi"/>
            <w:noProof/>
            <w:webHidden/>
          </w:rPr>
          <w:fldChar w:fldCharType="begin"/>
        </w:r>
        <w:r w:rsidR="00766CC4" w:rsidRPr="00766CC4">
          <w:rPr>
            <w:rFonts w:asciiTheme="majorBidi" w:hAnsiTheme="majorBidi" w:cstheme="majorBidi"/>
            <w:noProof/>
            <w:webHidden/>
          </w:rPr>
          <w:instrText xml:space="preserve"> PAGEREF _Toc199314997 \h </w:instrText>
        </w:r>
        <w:r w:rsidR="00766CC4" w:rsidRPr="00766CC4">
          <w:rPr>
            <w:rFonts w:asciiTheme="majorBidi" w:hAnsiTheme="majorBidi" w:cstheme="majorBidi"/>
            <w:noProof/>
            <w:webHidden/>
          </w:rPr>
        </w:r>
        <w:r w:rsidR="00766CC4" w:rsidRPr="00766CC4">
          <w:rPr>
            <w:rFonts w:asciiTheme="majorBidi" w:hAnsiTheme="majorBidi" w:cstheme="majorBidi"/>
            <w:noProof/>
            <w:webHidden/>
          </w:rPr>
          <w:fldChar w:fldCharType="separate"/>
        </w:r>
        <w:r w:rsidR="00F45A16">
          <w:rPr>
            <w:rFonts w:asciiTheme="majorBidi" w:hAnsiTheme="majorBidi" w:cstheme="majorBidi"/>
            <w:noProof/>
            <w:webHidden/>
          </w:rPr>
          <w:t>87</w:t>
        </w:r>
        <w:r w:rsidR="00766CC4" w:rsidRPr="00766CC4">
          <w:rPr>
            <w:rFonts w:asciiTheme="majorBidi" w:hAnsiTheme="majorBidi" w:cstheme="majorBidi"/>
            <w:noProof/>
            <w:webHidden/>
          </w:rPr>
          <w:fldChar w:fldCharType="end"/>
        </w:r>
      </w:hyperlink>
    </w:p>
    <w:p w14:paraId="72756B56" w14:textId="13841FBB" w:rsidR="00CE78F4" w:rsidRPr="009132A6" w:rsidRDefault="00766CC4" w:rsidP="00AE3850">
      <w:pPr>
        <w:spacing w:line="360" w:lineRule="auto"/>
        <w:jc w:val="both"/>
        <w:rPr>
          <w:rFonts w:asciiTheme="majorBidi" w:hAnsiTheme="majorBidi" w:cstheme="majorBidi"/>
        </w:rPr>
      </w:pPr>
      <w:r>
        <w:rPr>
          <w:rFonts w:asciiTheme="majorBidi" w:hAnsiTheme="majorBidi" w:cstheme="majorBidi"/>
        </w:rPr>
        <w:fldChar w:fldCharType="end"/>
      </w:r>
    </w:p>
    <w:p w14:paraId="72498197" w14:textId="77777777" w:rsidR="00D343B9" w:rsidRPr="009132A6" w:rsidRDefault="00D343B9" w:rsidP="00AE3850">
      <w:pPr>
        <w:spacing w:line="360" w:lineRule="auto"/>
        <w:jc w:val="both"/>
        <w:rPr>
          <w:rFonts w:asciiTheme="majorBidi" w:hAnsiTheme="majorBidi" w:cstheme="majorBidi"/>
          <w:b/>
          <w:bCs/>
          <w:sz w:val="28"/>
          <w:szCs w:val="28"/>
        </w:rPr>
      </w:pPr>
      <w:r w:rsidRPr="009132A6">
        <w:rPr>
          <w:rFonts w:asciiTheme="majorBidi" w:hAnsiTheme="majorBidi" w:cstheme="majorBidi"/>
          <w:b/>
          <w:bCs/>
          <w:sz w:val="28"/>
          <w:szCs w:val="28"/>
        </w:rPr>
        <w:br w:type="page"/>
      </w:r>
    </w:p>
    <w:p w14:paraId="3392AD51" w14:textId="72F80363" w:rsidR="00D343B9" w:rsidRPr="00AA1F2E" w:rsidRDefault="00D343B9" w:rsidP="00AE3850">
      <w:pPr>
        <w:pStyle w:val="Titre1"/>
        <w:spacing w:line="360" w:lineRule="auto"/>
        <w:jc w:val="both"/>
        <w:rPr>
          <w:rFonts w:asciiTheme="majorBidi" w:hAnsiTheme="majorBidi"/>
          <w:b/>
          <w:bCs/>
          <w:color w:val="auto"/>
          <w:sz w:val="32"/>
          <w:szCs w:val="32"/>
          <w:u w:val="single"/>
        </w:rPr>
      </w:pPr>
      <w:bookmarkStart w:id="16" w:name="_Toc198964984"/>
      <w:bookmarkStart w:id="17" w:name="_Toc198966472"/>
      <w:bookmarkStart w:id="18" w:name="_Toc199314361"/>
      <w:bookmarkStart w:id="19" w:name="_Toc199314565"/>
      <w:r w:rsidRPr="00AA1F2E">
        <w:rPr>
          <w:rFonts w:asciiTheme="majorBidi" w:hAnsiTheme="majorBidi"/>
          <w:b/>
          <w:bCs/>
          <w:color w:val="auto"/>
          <w:sz w:val="32"/>
          <w:szCs w:val="32"/>
          <w:u w:val="single"/>
        </w:rPr>
        <w:lastRenderedPageBreak/>
        <w:t xml:space="preserve">Liste des </w:t>
      </w:r>
      <w:bookmarkEnd w:id="16"/>
      <w:bookmarkEnd w:id="17"/>
      <w:r w:rsidR="00AA1F2E" w:rsidRPr="00AA1F2E">
        <w:rPr>
          <w:rFonts w:asciiTheme="majorBidi" w:hAnsiTheme="majorBidi"/>
          <w:b/>
          <w:bCs/>
          <w:color w:val="auto"/>
          <w:sz w:val="32"/>
          <w:szCs w:val="32"/>
          <w:u w:val="single"/>
        </w:rPr>
        <w:t>abréviations :</w:t>
      </w:r>
      <w:bookmarkEnd w:id="18"/>
      <w:bookmarkEnd w:id="19"/>
    </w:p>
    <w:tbl>
      <w:tblPr>
        <w:tblStyle w:val="Grilledutableau"/>
        <w:tblW w:w="0" w:type="auto"/>
        <w:tblLook w:val="04A0" w:firstRow="1" w:lastRow="0" w:firstColumn="1" w:lastColumn="0" w:noHBand="0" w:noVBand="1"/>
      </w:tblPr>
      <w:tblGrid>
        <w:gridCol w:w="1555"/>
        <w:gridCol w:w="7371"/>
      </w:tblGrid>
      <w:tr w:rsidR="006D44A7" w:rsidRPr="006D44A7" w14:paraId="546DBAD5" w14:textId="77777777" w:rsidTr="006D44A7">
        <w:tc>
          <w:tcPr>
            <w:tcW w:w="1555" w:type="dxa"/>
          </w:tcPr>
          <w:p w14:paraId="1F5F20EB"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Abréviation</w:t>
            </w:r>
          </w:p>
        </w:tc>
        <w:tc>
          <w:tcPr>
            <w:tcW w:w="7371" w:type="dxa"/>
          </w:tcPr>
          <w:p w14:paraId="1F7E8980"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Signification</w:t>
            </w:r>
          </w:p>
        </w:tc>
      </w:tr>
      <w:tr w:rsidR="006D44A7" w:rsidRPr="00E55752" w14:paraId="68D1D437" w14:textId="77777777" w:rsidTr="006D44A7">
        <w:tc>
          <w:tcPr>
            <w:tcW w:w="1555" w:type="dxa"/>
          </w:tcPr>
          <w:p w14:paraId="10A55439"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DOT</w:t>
            </w:r>
          </w:p>
        </w:tc>
        <w:tc>
          <w:tcPr>
            <w:tcW w:w="7371" w:type="dxa"/>
          </w:tcPr>
          <w:p w14:paraId="319CD631"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Direction Opérationnelle des Télécommunications</w:t>
            </w:r>
          </w:p>
        </w:tc>
      </w:tr>
      <w:tr w:rsidR="006D44A7" w:rsidRPr="00E55752" w14:paraId="62905F97" w14:textId="77777777" w:rsidTr="006D44A7">
        <w:tc>
          <w:tcPr>
            <w:tcW w:w="1555" w:type="dxa"/>
          </w:tcPr>
          <w:p w14:paraId="54C72795"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DFC</w:t>
            </w:r>
          </w:p>
        </w:tc>
        <w:tc>
          <w:tcPr>
            <w:tcW w:w="7371" w:type="dxa"/>
          </w:tcPr>
          <w:p w14:paraId="774664A7"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Division des Finances et de la Comptabilité</w:t>
            </w:r>
          </w:p>
        </w:tc>
      </w:tr>
      <w:tr w:rsidR="006D44A7" w:rsidRPr="00E55752" w14:paraId="101ECA84" w14:textId="77777777" w:rsidTr="006D44A7">
        <w:tc>
          <w:tcPr>
            <w:tcW w:w="1555" w:type="dxa"/>
          </w:tcPr>
          <w:p w14:paraId="57B006AF"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RH</w:t>
            </w:r>
          </w:p>
        </w:tc>
        <w:tc>
          <w:tcPr>
            <w:tcW w:w="7371" w:type="dxa"/>
          </w:tcPr>
          <w:p w14:paraId="16FD57D2"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Ressources Humaines</w:t>
            </w:r>
          </w:p>
        </w:tc>
      </w:tr>
      <w:tr w:rsidR="006D44A7" w:rsidRPr="00E55752" w14:paraId="5A83E791" w14:textId="77777777" w:rsidTr="006D44A7">
        <w:tc>
          <w:tcPr>
            <w:tcW w:w="1555" w:type="dxa"/>
          </w:tcPr>
          <w:p w14:paraId="084BD86A"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AT</w:t>
            </w:r>
          </w:p>
        </w:tc>
        <w:tc>
          <w:tcPr>
            <w:tcW w:w="7371" w:type="dxa"/>
          </w:tcPr>
          <w:p w14:paraId="60B9FF4C"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Algérie Télécom</w:t>
            </w:r>
          </w:p>
        </w:tc>
      </w:tr>
      <w:tr w:rsidR="006D44A7" w:rsidRPr="00E55752" w14:paraId="3E35391C" w14:textId="77777777" w:rsidTr="006D44A7">
        <w:tc>
          <w:tcPr>
            <w:tcW w:w="1555" w:type="dxa"/>
          </w:tcPr>
          <w:p w14:paraId="1157812B"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DA</w:t>
            </w:r>
          </w:p>
        </w:tc>
        <w:tc>
          <w:tcPr>
            <w:tcW w:w="7371" w:type="dxa"/>
          </w:tcPr>
          <w:p w14:paraId="6502F9C7"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Dinar Algérien</w:t>
            </w:r>
          </w:p>
        </w:tc>
      </w:tr>
      <w:tr w:rsidR="006D44A7" w:rsidRPr="00E55752" w14:paraId="1583B227" w14:textId="77777777" w:rsidTr="006D44A7">
        <w:tc>
          <w:tcPr>
            <w:tcW w:w="1555" w:type="dxa"/>
          </w:tcPr>
          <w:p w14:paraId="1ADCBDA4"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SI</w:t>
            </w:r>
          </w:p>
        </w:tc>
        <w:tc>
          <w:tcPr>
            <w:tcW w:w="7371" w:type="dxa"/>
          </w:tcPr>
          <w:p w14:paraId="21640795"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Système d’Information</w:t>
            </w:r>
          </w:p>
        </w:tc>
      </w:tr>
      <w:tr w:rsidR="006D44A7" w:rsidRPr="00E55752" w14:paraId="12891625" w14:textId="77777777" w:rsidTr="006D44A7">
        <w:tc>
          <w:tcPr>
            <w:tcW w:w="1555" w:type="dxa"/>
          </w:tcPr>
          <w:p w14:paraId="78563F88"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Oracle</w:t>
            </w:r>
          </w:p>
        </w:tc>
        <w:tc>
          <w:tcPr>
            <w:tcW w:w="7371" w:type="dxa"/>
          </w:tcPr>
          <w:p w14:paraId="1FD03B8B"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Système d’information de gestion intégré utilisé pour la comptabilité et le budget</w:t>
            </w:r>
          </w:p>
        </w:tc>
      </w:tr>
      <w:tr w:rsidR="006D44A7" w:rsidRPr="00E55752" w14:paraId="4B09EAD0" w14:textId="77777777" w:rsidTr="006D44A7">
        <w:tc>
          <w:tcPr>
            <w:tcW w:w="1555" w:type="dxa"/>
          </w:tcPr>
          <w:p w14:paraId="30234A55"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B.C.</w:t>
            </w:r>
          </w:p>
        </w:tc>
        <w:tc>
          <w:tcPr>
            <w:tcW w:w="7371" w:type="dxa"/>
          </w:tcPr>
          <w:p w14:paraId="54E75DE5"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Bon de Commande</w:t>
            </w:r>
          </w:p>
        </w:tc>
      </w:tr>
      <w:tr w:rsidR="006D44A7" w:rsidRPr="00E55752" w14:paraId="00F2B6D2" w14:textId="77777777" w:rsidTr="006D44A7">
        <w:tc>
          <w:tcPr>
            <w:tcW w:w="1555" w:type="dxa"/>
          </w:tcPr>
          <w:p w14:paraId="5682187C"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BDC</w:t>
            </w:r>
          </w:p>
        </w:tc>
        <w:tc>
          <w:tcPr>
            <w:tcW w:w="7371" w:type="dxa"/>
          </w:tcPr>
          <w:p w14:paraId="57F22E9A"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Bon de Commande (utilisé aussi sous cette forme abrégée)</w:t>
            </w:r>
          </w:p>
        </w:tc>
      </w:tr>
      <w:tr w:rsidR="006D44A7" w:rsidRPr="00E55752" w14:paraId="1B4215A5" w14:textId="77777777" w:rsidTr="006D44A7">
        <w:tc>
          <w:tcPr>
            <w:tcW w:w="1555" w:type="dxa"/>
          </w:tcPr>
          <w:p w14:paraId="7A5C46D7"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DG</w:t>
            </w:r>
          </w:p>
        </w:tc>
        <w:tc>
          <w:tcPr>
            <w:tcW w:w="7371" w:type="dxa"/>
          </w:tcPr>
          <w:p w14:paraId="41169AEC"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Direction Générale</w:t>
            </w:r>
          </w:p>
        </w:tc>
      </w:tr>
      <w:tr w:rsidR="006D44A7" w:rsidRPr="00E55752" w14:paraId="49D08D89" w14:textId="77777777" w:rsidTr="006D44A7">
        <w:tc>
          <w:tcPr>
            <w:tcW w:w="1555" w:type="dxa"/>
          </w:tcPr>
          <w:p w14:paraId="51452079"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w:t>
            </w:r>
          </w:p>
        </w:tc>
        <w:tc>
          <w:tcPr>
            <w:tcW w:w="7371" w:type="dxa"/>
          </w:tcPr>
          <w:p w14:paraId="63FBB160" w14:textId="77777777" w:rsidR="006D44A7" w:rsidRPr="00E55752" w:rsidRDefault="006D44A7" w:rsidP="00AE3850">
            <w:pPr>
              <w:spacing w:line="360" w:lineRule="auto"/>
              <w:jc w:val="both"/>
              <w:rPr>
                <w:rFonts w:asciiTheme="majorBidi" w:hAnsiTheme="majorBidi" w:cstheme="majorBidi"/>
                <w:sz w:val="24"/>
                <w:szCs w:val="24"/>
              </w:rPr>
            </w:pPr>
            <w:r w:rsidRPr="00E55752">
              <w:rPr>
                <w:rFonts w:asciiTheme="majorBidi" w:hAnsiTheme="majorBidi" w:cstheme="majorBidi"/>
                <w:sz w:val="24"/>
                <w:szCs w:val="24"/>
              </w:rPr>
              <w:t>Pourcentage</w:t>
            </w:r>
          </w:p>
        </w:tc>
      </w:tr>
      <w:tr w:rsidR="006D44A7" w:rsidRPr="00E55752" w14:paraId="70DFDE83" w14:textId="77777777" w:rsidTr="006D44A7">
        <w:tc>
          <w:tcPr>
            <w:tcW w:w="1555" w:type="dxa"/>
          </w:tcPr>
          <w:p w14:paraId="60D29C8E"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SPA</w:t>
            </w:r>
          </w:p>
        </w:tc>
        <w:tc>
          <w:tcPr>
            <w:tcW w:w="7371" w:type="dxa"/>
          </w:tcPr>
          <w:p w14:paraId="0ACCE0FC" w14:textId="77777777" w:rsidR="006D44A7" w:rsidRPr="00E55752" w:rsidRDefault="006D44A7" w:rsidP="00AE3850">
            <w:pPr>
              <w:spacing w:line="360" w:lineRule="auto"/>
              <w:jc w:val="both"/>
              <w:rPr>
                <w:rFonts w:asciiTheme="majorBidi" w:hAnsiTheme="majorBidi" w:cstheme="majorBidi"/>
                <w:sz w:val="24"/>
                <w:szCs w:val="24"/>
              </w:rPr>
            </w:pPr>
            <w:r>
              <w:rPr>
                <w:rFonts w:asciiTheme="majorBidi" w:hAnsiTheme="majorBidi" w:cstheme="majorBidi"/>
                <w:sz w:val="24"/>
                <w:szCs w:val="24"/>
              </w:rPr>
              <w:t>Une societe par actions</w:t>
            </w:r>
          </w:p>
        </w:tc>
      </w:tr>
      <w:tr w:rsidR="006D44A7" w:rsidRPr="00E55752" w14:paraId="365032BC" w14:textId="77777777" w:rsidTr="006D44A7">
        <w:tc>
          <w:tcPr>
            <w:tcW w:w="1555" w:type="dxa"/>
          </w:tcPr>
          <w:p w14:paraId="576845EB"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hAnsiTheme="majorBidi" w:cstheme="majorBidi"/>
                <w:b/>
                <w:bCs/>
                <w:sz w:val="24"/>
                <w:szCs w:val="24"/>
              </w:rPr>
              <w:t>ACTEL</w:t>
            </w:r>
          </w:p>
        </w:tc>
        <w:tc>
          <w:tcPr>
            <w:tcW w:w="7371" w:type="dxa"/>
          </w:tcPr>
          <w:p w14:paraId="564F2BCD" w14:textId="77777777" w:rsidR="006D44A7" w:rsidRPr="00E55752" w:rsidRDefault="006D44A7" w:rsidP="00AE3850">
            <w:pPr>
              <w:spacing w:line="360" w:lineRule="auto"/>
              <w:jc w:val="both"/>
              <w:rPr>
                <w:rFonts w:asciiTheme="majorBidi" w:hAnsiTheme="majorBidi" w:cstheme="majorBidi"/>
                <w:sz w:val="24"/>
                <w:szCs w:val="24"/>
              </w:rPr>
            </w:pPr>
            <w:r>
              <w:rPr>
                <w:rFonts w:asciiTheme="majorBidi" w:hAnsiTheme="majorBidi" w:cstheme="majorBidi"/>
                <w:sz w:val="24"/>
                <w:szCs w:val="24"/>
              </w:rPr>
              <w:t>Agencies commerciales de telecomunications</w:t>
            </w:r>
          </w:p>
        </w:tc>
      </w:tr>
      <w:tr w:rsidR="006D44A7" w:rsidRPr="00E55752" w14:paraId="2FDEA604" w14:textId="77777777" w:rsidTr="006D44A7">
        <w:tc>
          <w:tcPr>
            <w:tcW w:w="1555" w:type="dxa"/>
          </w:tcPr>
          <w:p w14:paraId="3DB73947" w14:textId="77777777" w:rsidR="006D44A7" w:rsidRPr="006D44A7" w:rsidRDefault="006D44A7" w:rsidP="00AE3850">
            <w:pPr>
              <w:spacing w:line="360" w:lineRule="auto"/>
              <w:jc w:val="both"/>
              <w:rPr>
                <w:rFonts w:asciiTheme="majorBidi" w:hAnsiTheme="majorBidi" w:cstheme="majorBidi"/>
                <w:b/>
                <w:bCs/>
                <w:sz w:val="24"/>
                <w:szCs w:val="24"/>
              </w:rPr>
            </w:pPr>
            <w:r w:rsidRPr="006D44A7">
              <w:rPr>
                <w:rFonts w:asciiTheme="majorBidi" w:eastAsia="Times New Roman" w:hAnsiTheme="majorBidi" w:cstheme="majorBidi"/>
                <w:b/>
                <w:bCs/>
                <w:sz w:val="24"/>
                <w:szCs w:val="24"/>
                <w:lang w:eastAsia="fr-FR"/>
              </w:rPr>
              <w:t>S/D</w:t>
            </w:r>
          </w:p>
        </w:tc>
        <w:tc>
          <w:tcPr>
            <w:tcW w:w="7371" w:type="dxa"/>
          </w:tcPr>
          <w:p w14:paraId="391D309C" w14:textId="13C4EC0A" w:rsidR="006D44A7" w:rsidRDefault="009C2BC7" w:rsidP="00AE3850">
            <w:pPr>
              <w:spacing w:line="360" w:lineRule="auto"/>
              <w:jc w:val="both"/>
              <w:rPr>
                <w:rFonts w:asciiTheme="majorBidi" w:hAnsiTheme="majorBidi" w:cstheme="majorBidi"/>
                <w:sz w:val="24"/>
                <w:szCs w:val="24"/>
              </w:rPr>
            </w:pPr>
            <w:r w:rsidRPr="004224FB">
              <w:rPr>
                <w:rFonts w:asciiTheme="majorBidi" w:eastAsia="Times New Roman" w:hAnsiTheme="majorBidi" w:cstheme="majorBidi"/>
                <w:sz w:val="24"/>
                <w:szCs w:val="24"/>
                <w:lang w:eastAsia="fr-FR"/>
              </w:rPr>
              <w:t>Sous</w:t>
            </w:r>
            <w:r w:rsidR="006D44A7" w:rsidRPr="004224FB">
              <w:rPr>
                <w:rFonts w:asciiTheme="majorBidi" w:eastAsia="Times New Roman" w:hAnsiTheme="majorBidi" w:cstheme="majorBidi"/>
                <w:sz w:val="24"/>
                <w:szCs w:val="24"/>
                <w:lang w:eastAsia="fr-FR"/>
              </w:rPr>
              <w:t>-directions</w:t>
            </w:r>
          </w:p>
        </w:tc>
      </w:tr>
    </w:tbl>
    <w:p w14:paraId="3047FD17" w14:textId="77777777" w:rsidR="006D44A7" w:rsidRPr="006D44A7" w:rsidRDefault="006D44A7" w:rsidP="00AE3850">
      <w:pPr>
        <w:spacing w:line="360" w:lineRule="auto"/>
        <w:jc w:val="both"/>
      </w:pPr>
    </w:p>
    <w:p w14:paraId="01263CB4" w14:textId="77777777" w:rsidR="00D343B9" w:rsidRPr="009132A6" w:rsidRDefault="00D343B9" w:rsidP="00AE3850">
      <w:pPr>
        <w:spacing w:line="360" w:lineRule="auto"/>
        <w:jc w:val="both"/>
        <w:rPr>
          <w:rFonts w:asciiTheme="majorBidi" w:hAnsiTheme="majorBidi" w:cstheme="majorBidi"/>
          <w:b/>
          <w:bCs/>
          <w:sz w:val="28"/>
          <w:szCs w:val="28"/>
        </w:rPr>
      </w:pPr>
      <w:r w:rsidRPr="009132A6">
        <w:rPr>
          <w:rFonts w:asciiTheme="majorBidi" w:hAnsiTheme="majorBidi" w:cstheme="majorBidi"/>
          <w:b/>
          <w:bCs/>
          <w:sz w:val="28"/>
          <w:szCs w:val="28"/>
        </w:rPr>
        <w:br w:type="page"/>
      </w:r>
    </w:p>
    <w:p w14:paraId="0627DA9D" w14:textId="0FACD183" w:rsidR="00D343B9" w:rsidRPr="00AA1F2E" w:rsidRDefault="00AA1F2E" w:rsidP="00AE3850">
      <w:pPr>
        <w:pStyle w:val="Titre1"/>
        <w:spacing w:line="360" w:lineRule="auto"/>
        <w:jc w:val="both"/>
        <w:rPr>
          <w:rFonts w:asciiTheme="majorBidi" w:hAnsiTheme="majorBidi"/>
          <w:b/>
          <w:bCs/>
          <w:color w:val="auto"/>
          <w:sz w:val="32"/>
          <w:szCs w:val="32"/>
          <w:u w:val="single"/>
        </w:rPr>
      </w:pPr>
      <w:bookmarkStart w:id="20" w:name="_Toc199314362"/>
      <w:bookmarkStart w:id="21" w:name="_Toc199314566"/>
      <w:r w:rsidRPr="00AA1F2E">
        <w:rPr>
          <w:rFonts w:asciiTheme="majorBidi" w:hAnsiTheme="majorBidi"/>
          <w:b/>
          <w:bCs/>
          <w:color w:val="auto"/>
          <w:sz w:val="32"/>
          <w:szCs w:val="32"/>
          <w:u w:val="single"/>
        </w:rPr>
        <w:lastRenderedPageBreak/>
        <w:t>Résumé :</w:t>
      </w:r>
      <w:bookmarkEnd w:id="20"/>
      <w:bookmarkEnd w:id="21"/>
    </w:p>
    <w:p w14:paraId="6211CEF3" w14:textId="0A879FE1" w:rsidR="002245AB" w:rsidRPr="002245AB" w:rsidRDefault="002245AB" w:rsidP="00AE3850">
      <w:pPr>
        <w:spacing w:line="360" w:lineRule="auto"/>
        <w:ind w:firstLine="720"/>
        <w:jc w:val="both"/>
        <w:rPr>
          <w:rFonts w:asciiTheme="majorBidi" w:hAnsiTheme="majorBidi" w:cstheme="majorBidi"/>
        </w:rPr>
      </w:pPr>
      <w:r w:rsidRPr="002245AB">
        <w:rPr>
          <w:rFonts w:asciiTheme="majorBidi" w:hAnsiTheme="majorBidi" w:cstheme="majorBidi"/>
        </w:rPr>
        <w:t>Dans un contexte de transformation numérique et de recherche d</w:t>
      </w:r>
      <w:r>
        <w:rPr>
          <w:rFonts w:asciiTheme="majorBidi" w:hAnsiTheme="majorBidi" w:cstheme="majorBidi"/>
        </w:rPr>
        <w:t>’</w:t>
      </w:r>
      <w:r w:rsidRPr="002245AB">
        <w:rPr>
          <w:rFonts w:asciiTheme="majorBidi" w:hAnsiTheme="majorBidi" w:cstheme="majorBidi"/>
        </w:rPr>
        <w:t>efficacité dans la gestion des</w:t>
      </w:r>
      <w:r>
        <w:rPr>
          <w:rFonts w:asciiTheme="majorBidi" w:hAnsiTheme="majorBidi" w:cstheme="majorBidi"/>
        </w:rPr>
        <w:t xml:space="preserve"> </w:t>
      </w:r>
      <w:r w:rsidRPr="002245AB">
        <w:rPr>
          <w:rFonts w:asciiTheme="majorBidi" w:hAnsiTheme="majorBidi" w:cstheme="majorBidi"/>
        </w:rPr>
        <w:t>ressources publiques, le contrôle de gestion et la gestion budgétaire s</w:t>
      </w:r>
      <w:r>
        <w:rPr>
          <w:rFonts w:asciiTheme="majorBidi" w:hAnsiTheme="majorBidi" w:cstheme="majorBidi"/>
        </w:rPr>
        <w:t>’</w:t>
      </w:r>
      <w:r w:rsidRPr="002245AB">
        <w:rPr>
          <w:rFonts w:asciiTheme="majorBidi" w:hAnsiTheme="majorBidi" w:cstheme="majorBidi"/>
        </w:rPr>
        <w:t>imposent comme des</w:t>
      </w:r>
      <w:r>
        <w:rPr>
          <w:rFonts w:asciiTheme="majorBidi" w:hAnsiTheme="majorBidi" w:cstheme="majorBidi"/>
        </w:rPr>
        <w:t xml:space="preserve"> </w:t>
      </w:r>
      <w:r w:rsidRPr="002245AB">
        <w:rPr>
          <w:rFonts w:asciiTheme="majorBidi" w:hAnsiTheme="majorBidi" w:cstheme="majorBidi"/>
        </w:rPr>
        <w:t>leviers stratégiques majeurs pour les entreprises publiques algériennes, à l’instar d’Algérie</w:t>
      </w:r>
      <w:r>
        <w:rPr>
          <w:rFonts w:asciiTheme="majorBidi" w:hAnsiTheme="majorBidi" w:cstheme="majorBidi"/>
        </w:rPr>
        <w:t xml:space="preserve"> </w:t>
      </w:r>
      <w:r w:rsidRPr="002245AB">
        <w:rPr>
          <w:rFonts w:asciiTheme="majorBidi" w:hAnsiTheme="majorBidi" w:cstheme="majorBidi"/>
        </w:rPr>
        <w:t>Télécom. Ce mémoire s’intéresse à la gestion budgétaire en tant qu’outil clé du contrôle de</w:t>
      </w:r>
      <w:r>
        <w:rPr>
          <w:rFonts w:asciiTheme="majorBidi" w:hAnsiTheme="majorBidi" w:cstheme="majorBidi"/>
        </w:rPr>
        <w:t xml:space="preserve"> </w:t>
      </w:r>
      <w:r w:rsidRPr="002245AB">
        <w:rPr>
          <w:rFonts w:asciiTheme="majorBidi" w:hAnsiTheme="majorBidi" w:cstheme="majorBidi"/>
        </w:rPr>
        <w:t>gestion, à travers l’exemple concret de la Direction Opérationnelle des Télécommunications</w:t>
      </w:r>
      <w:r>
        <w:rPr>
          <w:rFonts w:asciiTheme="majorBidi" w:hAnsiTheme="majorBidi" w:cstheme="majorBidi"/>
        </w:rPr>
        <w:t xml:space="preserve"> </w:t>
      </w:r>
      <w:r w:rsidRPr="002245AB">
        <w:rPr>
          <w:rFonts w:asciiTheme="majorBidi" w:hAnsiTheme="majorBidi" w:cstheme="majorBidi"/>
        </w:rPr>
        <w:t>(DOT) de Beni Messous.</w:t>
      </w:r>
    </w:p>
    <w:p w14:paraId="45FE34D0" w14:textId="7D368A1E" w:rsidR="002245AB" w:rsidRPr="002245AB" w:rsidRDefault="002245AB" w:rsidP="00AE3850">
      <w:pPr>
        <w:spacing w:line="360" w:lineRule="auto"/>
        <w:ind w:firstLine="720"/>
        <w:jc w:val="both"/>
        <w:rPr>
          <w:rFonts w:asciiTheme="majorBidi" w:hAnsiTheme="majorBidi" w:cstheme="majorBidi"/>
        </w:rPr>
      </w:pPr>
      <w:r w:rsidRPr="002245AB">
        <w:rPr>
          <w:rFonts w:asciiTheme="majorBidi" w:hAnsiTheme="majorBidi" w:cstheme="majorBidi"/>
        </w:rPr>
        <w:t>Le premier chapitre du mémoire établit les fondements théoriques du contrôle de gestion et</w:t>
      </w:r>
      <w:r>
        <w:rPr>
          <w:rFonts w:asciiTheme="majorBidi" w:hAnsiTheme="majorBidi" w:cstheme="majorBidi"/>
        </w:rPr>
        <w:t xml:space="preserve"> </w:t>
      </w:r>
      <w:r w:rsidRPr="002245AB">
        <w:rPr>
          <w:rFonts w:asciiTheme="majorBidi" w:hAnsiTheme="majorBidi" w:cstheme="majorBidi"/>
        </w:rPr>
        <w:t>de la gestion budgétaire. Le contrôle de gestion y est défini comme un processus de pilotage</w:t>
      </w:r>
      <w:r>
        <w:rPr>
          <w:rFonts w:asciiTheme="majorBidi" w:hAnsiTheme="majorBidi" w:cstheme="majorBidi"/>
        </w:rPr>
        <w:t xml:space="preserve"> </w:t>
      </w:r>
      <w:r w:rsidRPr="002245AB">
        <w:rPr>
          <w:rFonts w:asciiTheme="majorBidi" w:hAnsiTheme="majorBidi" w:cstheme="majorBidi"/>
        </w:rPr>
        <w:t>de la performance visant à aligner les actions opérationnelles avec les objectifs stratégiques de</w:t>
      </w:r>
      <w:r>
        <w:rPr>
          <w:rFonts w:asciiTheme="majorBidi" w:hAnsiTheme="majorBidi" w:cstheme="majorBidi"/>
        </w:rPr>
        <w:t xml:space="preserve"> </w:t>
      </w:r>
      <w:r w:rsidRPr="002245AB">
        <w:rPr>
          <w:rFonts w:asciiTheme="majorBidi" w:hAnsiTheme="majorBidi" w:cstheme="majorBidi"/>
        </w:rPr>
        <w:t>l’organisation. Il repose sur des outils tels que la comptabilité de gestion, les tableaux de bord</w:t>
      </w:r>
      <w:r>
        <w:rPr>
          <w:rFonts w:asciiTheme="majorBidi" w:hAnsiTheme="majorBidi" w:cstheme="majorBidi"/>
        </w:rPr>
        <w:t xml:space="preserve"> </w:t>
      </w:r>
      <w:r w:rsidRPr="002245AB">
        <w:rPr>
          <w:rFonts w:asciiTheme="majorBidi" w:hAnsiTheme="majorBidi" w:cstheme="majorBidi"/>
        </w:rPr>
        <w:t>et surtout, la gestion budgétaire. Cette dernière consiste à planifier, organiser et contrôler</w:t>
      </w:r>
      <w:r>
        <w:rPr>
          <w:rFonts w:asciiTheme="majorBidi" w:hAnsiTheme="majorBidi" w:cstheme="majorBidi"/>
        </w:rPr>
        <w:t xml:space="preserve"> </w:t>
      </w:r>
      <w:r w:rsidRPr="002245AB">
        <w:rPr>
          <w:rFonts w:asciiTheme="majorBidi" w:hAnsiTheme="majorBidi" w:cstheme="majorBidi"/>
        </w:rPr>
        <w:t>l’allocation des ressources au moyen de budgets. Elle remplit plusieurs fonctions : outil de</w:t>
      </w:r>
      <w:r>
        <w:rPr>
          <w:rFonts w:asciiTheme="majorBidi" w:hAnsiTheme="majorBidi" w:cstheme="majorBidi"/>
        </w:rPr>
        <w:t xml:space="preserve"> </w:t>
      </w:r>
      <w:r w:rsidRPr="002245AB">
        <w:rPr>
          <w:rFonts w:asciiTheme="majorBidi" w:hAnsiTheme="majorBidi" w:cstheme="majorBidi"/>
        </w:rPr>
        <w:t>planification, de coordination, de motivation, de prise de décision et de contrôle.</w:t>
      </w:r>
    </w:p>
    <w:p w14:paraId="374192E2" w14:textId="1DABBF08" w:rsidR="002245AB" w:rsidRPr="002245AB" w:rsidRDefault="002245AB" w:rsidP="00EB3204">
      <w:pPr>
        <w:spacing w:line="360" w:lineRule="auto"/>
        <w:ind w:firstLine="720"/>
        <w:jc w:val="both"/>
        <w:rPr>
          <w:rFonts w:asciiTheme="majorBidi" w:hAnsiTheme="majorBidi" w:cstheme="majorBidi"/>
        </w:rPr>
      </w:pPr>
      <w:r w:rsidRPr="002245AB">
        <w:rPr>
          <w:rFonts w:asciiTheme="majorBidi" w:hAnsiTheme="majorBidi" w:cstheme="majorBidi"/>
        </w:rPr>
        <w:t>Le second chapitre, à visée pratique, présente l’entreprise Algérie Télécom, puis se concentre</w:t>
      </w:r>
      <w:r>
        <w:rPr>
          <w:rFonts w:asciiTheme="majorBidi" w:hAnsiTheme="majorBidi" w:cstheme="majorBidi"/>
        </w:rPr>
        <w:t xml:space="preserve"> </w:t>
      </w:r>
      <w:r w:rsidRPr="002245AB">
        <w:rPr>
          <w:rFonts w:asciiTheme="majorBidi" w:hAnsiTheme="majorBidi" w:cstheme="majorBidi"/>
        </w:rPr>
        <w:t>sur la DOT de Beni Messous, où s’est déroulé notre stage. L</w:t>
      </w:r>
      <w:r>
        <w:rPr>
          <w:rFonts w:asciiTheme="majorBidi" w:hAnsiTheme="majorBidi" w:cstheme="majorBidi"/>
        </w:rPr>
        <w:t>’</w:t>
      </w:r>
      <w:r w:rsidRPr="002245AB">
        <w:rPr>
          <w:rFonts w:asciiTheme="majorBidi" w:hAnsiTheme="majorBidi" w:cstheme="majorBidi"/>
        </w:rPr>
        <w:t>étude met en lumière le</w:t>
      </w:r>
      <w:r>
        <w:rPr>
          <w:rFonts w:asciiTheme="majorBidi" w:hAnsiTheme="majorBidi" w:cstheme="majorBidi"/>
        </w:rPr>
        <w:t xml:space="preserve"> </w:t>
      </w:r>
      <w:r w:rsidRPr="002245AB">
        <w:rPr>
          <w:rFonts w:asciiTheme="majorBidi" w:hAnsiTheme="majorBidi" w:cstheme="majorBidi"/>
        </w:rPr>
        <w:t>processus budgétaire mis en œuvre dans cette structure, articulé autour de trois phases :</w:t>
      </w:r>
      <w:r>
        <w:rPr>
          <w:rFonts w:asciiTheme="majorBidi" w:hAnsiTheme="majorBidi" w:cstheme="majorBidi"/>
        </w:rPr>
        <w:t xml:space="preserve"> </w:t>
      </w:r>
      <w:r w:rsidRPr="002245AB">
        <w:rPr>
          <w:rFonts w:asciiTheme="majorBidi" w:hAnsiTheme="majorBidi" w:cstheme="majorBidi"/>
        </w:rPr>
        <w:t>l’élaboration, l’exécution et le contrôle budgétaire. Le système d’information Oracle y joue un</w:t>
      </w:r>
      <w:r>
        <w:rPr>
          <w:rFonts w:asciiTheme="majorBidi" w:hAnsiTheme="majorBidi" w:cstheme="majorBidi"/>
        </w:rPr>
        <w:t xml:space="preserve"> </w:t>
      </w:r>
      <w:r w:rsidRPr="002245AB">
        <w:rPr>
          <w:rFonts w:asciiTheme="majorBidi" w:hAnsiTheme="majorBidi" w:cstheme="majorBidi"/>
        </w:rPr>
        <w:t>rôle central, garantissant la traçabilité et la fiabilité des opérations financières. L’analyse des</w:t>
      </w:r>
      <w:r>
        <w:rPr>
          <w:rFonts w:asciiTheme="majorBidi" w:hAnsiTheme="majorBidi" w:cstheme="majorBidi"/>
        </w:rPr>
        <w:t xml:space="preserve"> </w:t>
      </w:r>
      <w:r w:rsidRPr="002245AB">
        <w:rPr>
          <w:rFonts w:asciiTheme="majorBidi" w:hAnsiTheme="majorBidi" w:cstheme="majorBidi"/>
        </w:rPr>
        <w:t>données budgétaires de l’exercice 2023 révèle des écarts significatifs entre les prévisions et</w:t>
      </w:r>
      <w:r>
        <w:rPr>
          <w:rFonts w:asciiTheme="majorBidi" w:hAnsiTheme="majorBidi" w:cstheme="majorBidi"/>
        </w:rPr>
        <w:t xml:space="preserve"> </w:t>
      </w:r>
      <w:r w:rsidRPr="002245AB">
        <w:rPr>
          <w:rFonts w:asciiTheme="majorBidi" w:hAnsiTheme="majorBidi" w:cstheme="majorBidi"/>
        </w:rPr>
        <w:t>les réalisations, notamment sur les postes des services extérieurs et des charges de personnel.</w:t>
      </w:r>
      <w:r w:rsidR="00EB3204">
        <w:rPr>
          <w:rFonts w:asciiTheme="majorBidi" w:hAnsiTheme="majorBidi" w:cstheme="majorBidi"/>
        </w:rPr>
        <w:t xml:space="preserve"> </w:t>
      </w:r>
      <w:r w:rsidRPr="002245AB">
        <w:rPr>
          <w:rFonts w:asciiTheme="majorBidi" w:hAnsiTheme="majorBidi" w:cstheme="majorBidi"/>
        </w:rPr>
        <w:t>Ces écarts témoignent de la complexité de la planification financière dans un environnement</w:t>
      </w:r>
      <w:r>
        <w:rPr>
          <w:rFonts w:asciiTheme="majorBidi" w:hAnsiTheme="majorBidi" w:cstheme="majorBidi"/>
        </w:rPr>
        <w:t xml:space="preserve"> </w:t>
      </w:r>
      <w:r w:rsidRPr="002245AB">
        <w:rPr>
          <w:rFonts w:asciiTheme="majorBidi" w:hAnsiTheme="majorBidi" w:cstheme="majorBidi"/>
        </w:rPr>
        <w:t>dynamique, mais aussi de la nécessité d’un suivi rigoureux pour optimiser les ressources.</w:t>
      </w:r>
    </w:p>
    <w:p w14:paraId="539CAC29" w14:textId="60CC6361" w:rsidR="002245AB" w:rsidRPr="002245AB" w:rsidRDefault="002245AB" w:rsidP="00EB3204">
      <w:pPr>
        <w:spacing w:line="360" w:lineRule="auto"/>
        <w:ind w:firstLine="720"/>
        <w:jc w:val="both"/>
        <w:rPr>
          <w:rFonts w:asciiTheme="majorBidi" w:hAnsiTheme="majorBidi" w:cstheme="majorBidi"/>
        </w:rPr>
      </w:pPr>
      <w:r w:rsidRPr="002245AB">
        <w:rPr>
          <w:rFonts w:asciiTheme="majorBidi" w:hAnsiTheme="majorBidi" w:cstheme="majorBidi"/>
        </w:rPr>
        <w:t>À travers l’analyse de terrain menée à la DOT de Beni Messous, ce travail met en évidence</w:t>
      </w:r>
      <w:r>
        <w:rPr>
          <w:rFonts w:asciiTheme="majorBidi" w:hAnsiTheme="majorBidi" w:cstheme="majorBidi"/>
        </w:rPr>
        <w:t xml:space="preserve"> </w:t>
      </w:r>
      <w:r w:rsidRPr="002245AB">
        <w:rPr>
          <w:rFonts w:asciiTheme="majorBidi" w:hAnsiTheme="majorBidi" w:cstheme="majorBidi"/>
        </w:rPr>
        <w:t>les enjeux de la gestion budgétaire dans une entreprise publique : assurer une allocation</w:t>
      </w:r>
      <w:r>
        <w:rPr>
          <w:rFonts w:asciiTheme="majorBidi" w:hAnsiTheme="majorBidi" w:cstheme="majorBidi"/>
        </w:rPr>
        <w:t xml:space="preserve"> </w:t>
      </w:r>
      <w:r w:rsidRPr="002245AB">
        <w:rPr>
          <w:rFonts w:asciiTheme="majorBidi" w:hAnsiTheme="majorBidi" w:cstheme="majorBidi"/>
        </w:rPr>
        <w:t>efficiente des ressources, anticiper les besoins, contrôler les écarts et adapter les décisions en</w:t>
      </w:r>
      <w:r>
        <w:rPr>
          <w:rFonts w:asciiTheme="majorBidi" w:hAnsiTheme="majorBidi" w:cstheme="majorBidi"/>
        </w:rPr>
        <w:t xml:space="preserve"> </w:t>
      </w:r>
      <w:r w:rsidRPr="002245AB">
        <w:rPr>
          <w:rFonts w:asciiTheme="majorBidi" w:hAnsiTheme="majorBidi" w:cstheme="majorBidi"/>
        </w:rPr>
        <w:t>temps réel. Il illustre également comment la digitalisation, via des outils intégrés comme</w:t>
      </w:r>
      <w:r w:rsidR="00960DBA">
        <w:rPr>
          <w:rFonts w:asciiTheme="majorBidi" w:hAnsiTheme="majorBidi" w:cstheme="majorBidi"/>
        </w:rPr>
        <w:t xml:space="preserve"> </w:t>
      </w:r>
      <w:r w:rsidRPr="002245AB">
        <w:rPr>
          <w:rFonts w:asciiTheme="majorBidi" w:hAnsiTheme="majorBidi" w:cstheme="majorBidi"/>
        </w:rPr>
        <w:t>Oracle, renforce la transparence, la réactivité et l’efficacité du processus budgétaire.</w:t>
      </w:r>
    </w:p>
    <w:p w14:paraId="44B9B0A1" w14:textId="5C0ABDCF" w:rsidR="002245AB" w:rsidRPr="002245AB" w:rsidRDefault="002245AB" w:rsidP="00AE3850">
      <w:pPr>
        <w:spacing w:line="360" w:lineRule="auto"/>
        <w:jc w:val="both"/>
        <w:rPr>
          <w:rFonts w:asciiTheme="majorBidi" w:hAnsiTheme="majorBidi" w:cstheme="majorBidi"/>
        </w:rPr>
      </w:pPr>
      <w:r w:rsidRPr="002245AB">
        <w:rPr>
          <w:rFonts w:asciiTheme="majorBidi" w:hAnsiTheme="majorBidi" w:cstheme="majorBidi"/>
          <w:b/>
          <w:bCs/>
        </w:rPr>
        <w:t>Mots-clés</w:t>
      </w:r>
      <w:r w:rsidRPr="002245AB">
        <w:rPr>
          <w:rFonts w:asciiTheme="majorBidi" w:hAnsiTheme="majorBidi" w:cstheme="majorBidi"/>
        </w:rPr>
        <w:t xml:space="preserve"> : contrôle de gestion, gestion budgétaire, processus budgétaire, Algérie Télécom,</w:t>
      </w:r>
      <w:r>
        <w:rPr>
          <w:rFonts w:asciiTheme="majorBidi" w:hAnsiTheme="majorBidi" w:cstheme="majorBidi"/>
        </w:rPr>
        <w:t xml:space="preserve"> </w:t>
      </w:r>
      <w:r w:rsidRPr="002245AB">
        <w:rPr>
          <w:rFonts w:asciiTheme="majorBidi" w:hAnsiTheme="majorBidi" w:cstheme="majorBidi"/>
        </w:rPr>
        <w:t>DOT Beni Messous, Oracle, écart budgétaire, pilotage financier</w:t>
      </w:r>
    </w:p>
    <w:p w14:paraId="31E4E67C" w14:textId="77777777" w:rsidR="00960DBA" w:rsidRDefault="00960DBA" w:rsidP="00AE3850">
      <w:pPr>
        <w:spacing w:line="360" w:lineRule="auto"/>
        <w:jc w:val="both"/>
        <w:rPr>
          <w:rFonts w:asciiTheme="majorBidi" w:eastAsiaTheme="majorEastAsia" w:hAnsiTheme="majorBidi" w:cstheme="majorBidi"/>
          <w:b/>
          <w:bCs/>
          <w:sz w:val="36"/>
          <w:szCs w:val="36"/>
          <w:rtl/>
          <w:lang w:bidi="ar-DZ"/>
        </w:rPr>
      </w:pPr>
      <w:bookmarkStart w:id="22" w:name="_Toc198964986"/>
      <w:bookmarkStart w:id="23" w:name="_Toc198966474"/>
      <w:r>
        <w:rPr>
          <w:rFonts w:asciiTheme="majorBidi" w:hAnsiTheme="majorBidi"/>
          <w:b/>
          <w:bCs/>
          <w:sz w:val="36"/>
          <w:szCs w:val="36"/>
          <w:rtl/>
          <w:lang w:bidi="ar-DZ"/>
        </w:rPr>
        <w:br w:type="page"/>
      </w:r>
    </w:p>
    <w:p w14:paraId="44A249EE" w14:textId="5674317F" w:rsidR="00270272" w:rsidRPr="00AA1F2E" w:rsidRDefault="00270272" w:rsidP="00AE3850">
      <w:pPr>
        <w:pStyle w:val="Titre1"/>
        <w:bidi/>
        <w:spacing w:line="360" w:lineRule="auto"/>
        <w:jc w:val="both"/>
        <w:rPr>
          <w:rFonts w:asciiTheme="majorBidi" w:hAnsiTheme="majorBidi"/>
          <w:b/>
          <w:bCs/>
          <w:color w:val="auto"/>
          <w:sz w:val="32"/>
          <w:szCs w:val="32"/>
          <w:u w:val="single"/>
          <w:rtl/>
          <w:lang w:bidi="ar-DZ"/>
        </w:rPr>
      </w:pPr>
      <w:bookmarkStart w:id="24" w:name="_Toc199314363"/>
      <w:bookmarkStart w:id="25" w:name="_Toc199314567"/>
      <w:r w:rsidRPr="00AA1F2E">
        <w:rPr>
          <w:rFonts w:asciiTheme="majorBidi" w:hAnsiTheme="majorBidi"/>
          <w:b/>
          <w:bCs/>
          <w:color w:val="auto"/>
          <w:sz w:val="32"/>
          <w:szCs w:val="32"/>
          <w:u w:val="single"/>
          <w:rtl/>
          <w:lang w:bidi="ar-DZ"/>
        </w:rPr>
        <w:lastRenderedPageBreak/>
        <w:t>الملخص</w:t>
      </w:r>
      <w:bookmarkEnd w:id="22"/>
      <w:bookmarkEnd w:id="23"/>
      <w:r w:rsidR="006F481C" w:rsidRPr="00AA1F2E">
        <w:rPr>
          <w:rFonts w:asciiTheme="majorBidi" w:hAnsiTheme="majorBidi"/>
          <w:b/>
          <w:bCs/>
          <w:color w:val="auto"/>
          <w:sz w:val="32"/>
          <w:szCs w:val="32"/>
          <w:u w:val="single"/>
          <w:lang w:bidi="ar-DZ"/>
        </w:rPr>
        <w:t>:</w:t>
      </w:r>
      <w:bookmarkEnd w:id="24"/>
      <w:bookmarkEnd w:id="25"/>
    </w:p>
    <w:p w14:paraId="139E27F8" w14:textId="70512E6D" w:rsidR="00E81E24" w:rsidRPr="00E81E24" w:rsidRDefault="00E81E24" w:rsidP="00AE3850">
      <w:pPr>
        <w:bidi/>
        <w:spacing w:line="360" w:lineRule="auto"/>
        <w:ind w:firstLine="720"/>
        <w:jc w:val="both"/>
        <w:rPr>
          <w:rFonts w:asciiTheme="majorBidi" w:hAnsiTheme="majorBidi" w:cstheme="majorBidi"/>
        </w:rPr>
      </w:pPr>
      <w:r w:rsidRPr="00E81E24">
        <w:rPr>
          <w:rFonts w:asciiTheme="majorBidi" w:hAnsiTheme="majorBidi" w:cs="Times New Roman" w:hint="cs"/>
          <w:rtl/>
        </w:rPr>
        <w:t>في</w:t>
      </w:r>
      <w:r w:rsidRPr="00E81E24">
        <w:rPr>
          <w:rFonts w:asciiTheme="majorBidi" w:hAnsiTheme="majorBidi" w:cs="Times New Roman"/>
          <w:rtl/>
        </w:rPr>
        <w:t xml:space="preserve"> </w:t>
      </w:r>
      <w:r w:rsidRPr="00E81E24">
        <w:rPr>
          <w:rFonts w:asciiTheme="majorBidi" w:hAnsiTheme="majorBidi" w:cs="Times New Roman" w:hint="cs"/>
          <w:rtl/>
        </w:rPr>
        <w:t>ظل</w:t>
      </w:r>
      <w:r w:rsidRPr="00E81E24">
        <w:rPr>
          <w:rFonts w:asciiTheme="majorBidi" w:hAnsiTheme="majorBidi" w:cs="Times New Roman"/>
          <w:rtl/>
        </w:rPr>
        <w:t xml:space="preserve"> </w:t>
      </w:r>
      <w:r w:rsidRPr="00E81E24">
        <w:rPr>
          <w:rFonts w:asciiTheme="majorBidi" w:hAnsiTheme="majorBidi" w:cs="Times New Roman" w:hint="cs"/>
          <w:rtl/>
        </w:rPr>
        <w:t>التحول</w:t>
      </w:r>
      <w:r w:rsidRPr="00E81E24">
        <w:rPr>
          <w:rFonts w:asciiTheme="majorBidi" w:hAnsiTheme="majorBidi" w:cs="Times New Roman"/>
          <w:rtl/>
        </w:rPr>
        <w:t xml:space="preserve"> </w:t>
      </w:r>
      <w:r w:rsidRPr="00E81E24">
        <w:rPr>
          <w:rFonts w:asciiTheme="majorBidi" w:hAnsiTheme="majorBidi" w:cs="Times New Roman" w:hint="cs"/>
          <w:rtl/>
        </w:rPr>
        <w:t>الرقمي</w:t>
      </w:r>
      <w:r w:rsidRPr="00E81E24">
        <w:rPr>
          <w:rFonts w:asciiTheme="majorBidi" w:hAnsiTheme="majorBidi" w:cs="Times New Roman"/>
          <w:rtl/>
        </w:rPr>
        <w:t xml:space="preserve"> </w:t>
      </w:r>
      <w:r w:rsidRPr="00E81E24">
        <w:rPr>
          <w:rFonts w:asciiTheme="majorBidi" w:hAnsiTheme="majorBidi" w:cs="Times New Roman" w:hint="cs"/>
          <w:rtl/>
        </w:rPr>
        <w:t>والسعي</w:t>
      </w:r>
      <w:r w:rsidRPr="00E81E24">
        <w:rPr>
          <w:rFonts w:asciiTheme="majorBidi" w:hAnsiTheme="majorBidi" w:cs="Times New Roman"/>
          <w:rtl/>
        </w:rPr>
        <w:t xml:space="preserve"> </w:t>
      </w:r>
      <w:r w:rsidRPr="00E81E24">
        <w:rPr>
          <w:rFonts w:asciiTheme="majorBidi" w:hAnsiTheme="majorBidi" w:cs="Times New Roman" w:hint="cs"/>
          <w:rtl/>
        </w:rPr>
        <w:t>إلى</w:t>
      </w:r>
      <w:r w:rsidRPr="00E81E24">
        <w:rPr>
          <w:rFonts w:asciiTheme="majorBidi" w:hAnsiTheme="majorBidi" w:cs="Times New Roman"/>
          <w:rtl/>
        </w:rPr>
        <w:t xml:space="preserve"> </w:t>
      </w:r>
      <w:r w:rsidRPr="00E81E24">
        <w:rPr>
          <w:rFonts w:asciiTheme="majorBidi" w:hAnsiTheme="majorBidi" w:cs="Times New Roman" w:hint="cs"/>
          <w:rtl/>
        </w:rPr>
        <w:t>تحسين</w:t>
      </w:r>
      <w:r w:rsidRPr="00E81E24">
        <w:rPr>
          <w:rFonts w:asciiTheme="majorBidi" w:hAnsiTheme="majorBidi" w:cs="Times New Roman"/>
          <w:rtl/>
        </w:rPr>
        <w:t xml:space="preserve"> </w:t>
      </w:r>
      <w:r w:rsidRPr="00E81E24">
        <w:rPr>
          <w:rFonts w:asciiTheme="majorBidi" w:hAnsiTheme="majorBidi" w:cs="Times New Roman" w:hint="cs"/>
          <w:rtl/>
        </w:rPr>
        <w:t>فعالية</w:t>
      </w:r>
      <w:r w:rsidRPr="00E81E24">
        <w:rPr>
          <w:rFonts w:asciiTheme="majorBidi" w:hAnsiTheme="majorBidi" w:cs="Times New Roman"/>
          <w:rtl/>
        </w:rPr>
        <w:t xml:space="preserve"> </w:t>
      </w:r>
      <w:r w:rsidRPr="00E81E24">
        <w:rPr>
          <w:rFonts w:asciiTheme="majorBidi" w:hAnsiTheme="majorBidi" w:cs="Times New Roman" w:hint="cs"/>
          <w:rtl/>
        </w:rPr>
        <w:t>إدارة</w:t>
      </w:r>
      <w:r w:rsidRPr="00E81E24">
        <w:rPr>
          <w:rFonts w:asciiTheme="majorBidi" w:hAnsiTheme="majorBidi" w:cs="Times New Roman"/>
          <w:rtl/>
        </w:rPr>
        <w:t xml:space="preserve"> </w:t>
      </w:r>
      <w:r w:rsidRPr="00E81E24">
        <w:rPr>
          <w:rFonts w:asciiTheme="majorBidi" w:hAnsiTheme="majorBidi" w:cs="Times New Roman" w:hint="cs"/>
          <w:rtl/>
        </w:rPr>
        <w:t>الموارد</w:t>
      </w:r>
      <w:r w:rsidRPr="00E81E24">
        <w:rPr>
          <w:rFonts w:asciiTheme="majorBidi" w:hAnsiTheme="majorBidi" w:cs="Times New Roman"/>
          <w:rtl/>
        </w:rPr>
        <w:t xml:space="preserve"> </w:t>
      </w:r>
      <w:r w:rsidRPr="00E81E24">
        <w:rPr>
          <w:rFonts w:asciiTheme="majorBidi" w:hAnsiTheme="majorBidi" w:cs="Times New Roman" w:hint="cs"/>
          <w:rtl/>
        </w:rPr>
        <w:t>العمومية،</w:t>
      </w:r>
      <w:r w:rsidRPr="00E81E24">
        <w:rPr>
          <w:rFonts w:asciiTheme="majorBidi" w:hAnsiTheme="majorBidi" w:cs="Times New Roman"/>
          <w:rtl/>
        </w:rPr>
        <w:t xml:space="preserve"> </w:t>
      </w:r>
      <w:r w:rsidRPr="00E81E24">
        <w:rPr>
          <w:rFonts w:asciiTheme="majorBidi" w:hAnsiTheme="majorBidi" w:cs="Times New Roman" w:hint="cs"/>
          <w:rtl/>
        </w:rPr>
        <w:t>أصبحت</w:t>
      </w:r>
      <w:r w:rsidRPr="00E81E24">
        <w:rPr>
          <w:rFonts w:asciiTheme="majorBidi" w:hAnsiTheme="majorBidi" w:cs="Times New Roman"/>
          <w:rtl/>
        </w:rPr>
        <w:t xml:space="preserve"> </w:t>
      </w:r>
      <w:r w:rsidRPr="00E81E24">
        <w:rPr>
          <w:rFonts w:asciiTheme="majorBidi" w:hAnsiTheme="majorBidi" w:cs="Times New Roman" w:hint="cs"/>
          <w:rtl/>
        </w:rPr>
        <w:t>لمراقبة</w:t>
      </w:r>
      <w:r w:rsidRPr="00E81E24">
        <w:rPr>
          <w:rFonts w:asciiTheme="majorBidi" w:hAnsiTheme="majorBidi" w:cs="Times New Roman"/>
          <w:rtl/>
        </w:rPr>
        <w:t xml:space="preserve"> </w:t>
      </w:r>
      <w:r w:rsidRPr="00E81E24">
        <w:rPr>
          <w:rFonts w:asciiTheme="majorBidi" w:hAnsiTheme="majorBidi" w:cs="Times New Roman" w:hint="cs"/>
          <w:rtl/>
        </w:rPr>
        <w:t>التسيير</w:t>
      </w:r>
      <w:r w:rsidRPr="00E81E24">
        <w:rPr>
          <w:rFonts w:asciiTheme="majorBidi" w:hAnsiTheme="majorBidi" w:cs="Times New Roman"/>
          <w:rtl/>
        </w:rPr>
        <w:t xml:space="preserve"> </w:t>
      </w:r>
      <w:r w:rsidRPr="00E81E24">
        <w:rPr>
          <w:rFonts w:asciiTheme="majorBidi" w:hAnsiTheme="majorBidi" w:cs="Times New Roman" w:hint="cs"/>
          <w:rtl/>
        </w:rPr>
        <w:t>وإدارة</w:t>
      </w:r>
      <w:r w:rsidRPr="00E81E24">
        <w:rPr>
          <w:rFonts w:asciiTheme="majorBidi" w:hAnsiTheme="majorBidi" w:cs="Times New Roman"/>
          <w:rtl/>
        </w:rPr>
        <w:t xml:space="preserve"> </w:t>
      </w:r>
      <w:r w:rsidRPr="00E81E24">
        <w:rPr>
          <w:rFonts w:asciiTheme="majorBidi" w:hAnsiTheme="majorBidi" w:cs="Times New Roman" w:hint="cs"/>
          <w:rtl/>
        </w:rPr>
        <w:t>الميزانية</w:t>
      </w:r>
      <w:r w:rsidRPr="00E81E24">
        <w:rPr>
          <w:rFonts w:asciiTheme="majorBidi" w:hAnsiTheme="majorBidi" w:cs="Times New Roman"/>
          <w:rtl/>
        </w:rPr>
        <w:t xml:space="preserve"> </w:t>
      </w:r>
      <w:r w:rsidRPr="00E81E24">
        <w:rPr>
          <w:rFonts w:asciiTheme="majorBidi" w:hAnsiTheme="majorBidi" w:cs="Times New Roman" w:hint="cs"/>
          <w:rtl/>
        </w:rPr>
        <w:t>من</w:t>
      </w:r>
      <w:r>
        <w:rPr>
          <w:rFonts w:asciiTheme="majorBidi" w:hAnsiTheme="majorBidi" w:cstheme="majorBidi"/>
        </w:rPr>
        <w:t xml:space="preserve"> </w:t>
      </w:r>
      <w:r w:rsidRPr="00E81E24">
        <w:rPr>
          <w:rFonts w:asciiTheme="majorBidi" w:hAnsiTheme="majorBidi" w:cs="Times New Roman" w:hint="cs"/>
          <w:rtl/>
        </w:rPr>
        <w:t>الركائز</w:t>
      </w:r>
      <w:r w:rsidRPr="00E81E24">
        <w:rPr>
          <w:rFonts w:asciiTheme="majorBidi" w:hAnsiTheme="majorBidi" w:cs="Times New Roman"/>
          <w:rtl/>
        </w:rPr>
        <w:t xml:space="preserve"> </w:t>
      </w:r>
      <w:r w:rsidRPr="00E81E24">
        <w:rPr>
          <w:rFonts w:asciiTheme="majorBidi" w:hAnsiTheme="majorBidi" w:cs="Times New Roman" w:hint="cs"/>
          <w:rtl/>
        </w:rPr>
        <w:t>الاستراتيجية</w:t>
      </w:r>
      <w:r w:rsidRPr="00E81E24">
        <w:rPr>
          <w:rFonts w:asciiTheme="majorBidi" w:hAnsiTheme="majorBidi" w:cs="Times New Roman"/>
          <w:rtl/>
        </w:rPr>
        <w:t xml:space="preserve"> </w:t>
      </w:r>
      <w:r w:rsidRPr="00E81E24">
        <w:rPr>
          <w:rFonts w:asciiTheme="majorBidi" w:hAnsiTheme="majorBidi" w:cs="Times New Roman" w:hint="cs"/>
          <w:rtl/>
        </w:rPr>
        <w:t>في</w:t>
      </w:r>
      <w:r w:rsidRPr="00E81E24">
        <w:rPr>
          <w:rFonts w:asciiTheme="majorBidi" w:hAnsiTheme="majorBidi" w:cs="Times New Roman"/>
          <w:rtl/>
        </w:rPr>
        <w:t xml:space="preserve"> </w:t>
      </w:r>
      <w:r w:rsidRPr="00E81E24">
        <w:rPr>
          <w:rFonts w:asciiTheme="majorBidi" w:hAnsiTheme="majorBidi" w:cs="Times New Roman" w:hint="cs"/>
          <w:rtl/>
        </w:rPr>
        <w:t>المؤسسات</w:t>
      </w:r>
      <w:r w:rsidRPr="00E81E24">
        <w:rPr>
          <w:rFonts w:asciiTheme="majorBidi" w:hAnsiTheme="majorBidi" w:cs="Times New Roman"/>
          <w:rtl/>
        </w:rPr>
        <w:t xml:space="preserve"> </w:t>
      </w:r>
      <w:r w:rsidRPr="00E81E24">
        <w:rPr>
          <w:rFonts w:asciiTheme="majorBidi" w:hAnsiTheme="majorBidi" w:cs="Times New Roman" w:hint="cs"/>
          <w:rtl/>
        </w:rPr>
        <w:t>العمومية</w:t>
      </w:r>
      <w:r w:rsidRPr="00E81E24">
        <w:rPr>
          <w:rFonts w:asciiTheme="majorBidi" w:hAnsiTheme="majorBidi" w:cs="Times New Roman"/>
          <w:rtl/>
        </w:rPr>
        <w:t xml:space="preserve"> </w:t>
      </w:r>
      <w:r w:rsidRPr="00E81E24">
        <w:rPr>
          <w:rFonts w:asciiTheme="majorBidi" w:hAnsiTheme="majorBidi" w:cs="Times New Roman" w:hint="cs"/>
          <w:rtl/>
        </w:rPr>
        <w:t>الجزائرية،</w:t>
      </w:r>
      <w:r w:rsidRPr="00E81E24">
        <w:rPr>
          <w:rFonts w:asciiTheme="majorBidi" w:hAnsiTheme="majorBidi" w:cs="Times New Roman"/>
          <w:rtl/>
        </w:rPr>
        <w:t xml:space="preserve"> </w:t>
      </w:r>
      <w:r w:rsidRPr="00E81E24">
        <w:rPr>
          <w:rFonts w:asciiTheme="majorBidi" w:hAnsiTheme="majorBidi" w:cs="Times New Roman" w:hint="cs"/>
          <w:rtl/>
        </w:rPr>
        <w:t>مثل</w:t>
      </w:r>
      <w:r w:rsidRPr="00E81E24">
        <w:rPr>
          <w:rFonts w:asciiTheme="majorBidi" w:hAnsiTheme="majorBidi" w:cs="Times New Roman"/>
          <w:rtl/>
        </w:rPr>
        <w:t xml:space="preserve"> </w:t>
      </w:r>
      <w:r w:rsidRPr="00E81E24">
        <w:rPr>
          <w:rFonts w:asciiTheme="majorBidi" w:hAnsiTheme="majorBidi" w:cs="Times New Roman" w:hint="cs"/>
          <w:rtl/>
        </w:rPr>
        <w:t>مؤسسة</w:t>
      </w:r>
      <w:r w:rsidRPr="00E81E24">
        <w:rPr>
          <w:rFonts w:asciiTheme="majorBidi" w:hAnsiTheme="majorBidi" w:cs="Times New Roman"/>
          <w:rtl/>
        </w:rPr>
        <w:t xml:space="preserve"> </w:t>
      </w:r>
      <w:r w:rsidRPr="00E81E24">
        <w:rPr>
          <w:rFonts w:asciiTheme="majorBidi" w:hAnsiTheme="majorBidi" w:cs="Times New Roman" w:hint="cs"/>
          <w:rtl/>
        </w:rPr>
        <w:t>اتصالات</w:t>
      </w:r>
      <w:r w:rsidRPr="00E81E24">
        <w:rPr>
          <w:rFonts w:asciiTheme="majorBidi" w:hAnsiTheme="majorBidi" w:cs="Times New Roman"/>
          <w:rtl/>
        </w:rPr>
        <w:t xml:space="preserve"> </w:t>
      </w:r>
      <w:r w:rsidRPr="00E81E24">
        <w:rPr>
          <w:rFonts w:asciiTheme="majorBidi" w:hAnsiTheme="majorBidi" w:cs="Times New Roman" w:hint="cs"/>
          <w:rtl/>
        </w:rPr>
        <w:t>الجزائر</w:t>
      </w:r>
      <w:r w:rsidRPr="00E81E24">
        <w:rPr>
          <w:rFonts w:asciiTheme="majorBidi" w:hAnsiTheme="majorBidi" w:cs="Times New Roman"/>
          <w:rtl/>
        </w:rPr>
        <w:t xml:space="preserve">. </w:t>
      </w:r>
      <w:r w:rsidRPr="00E81E24">
        <w:rPr>
          <w:rFonts w:asciiTheme="majorBidi" w:hAnsiTheme="majorBidi" w:cs="Times New Roman" w:hint="cs"/>
          <w:rtl/>
        </w:rPr>
        <w:t>تهدف</w:t>
      </w:r>
      <w:r w:rsidRPr="00E81E24">
        <w:rPr>
          <w:rFonts w:asciiTheme="majorBidi" w:hAnsiTheme="majorBidi" w:cs="Times New Roman"/>
          <w:rtl/>
        </w:rPr>
        <w:t xml:space="preserve"> </w:t>
      </w:r>
      <w:r w:rsidRPr="00E81E24">
        <w:rPr>
          <w:rFonts w:asciiTheme="majorBidi" w:hAnsiTheme="majorBidi" w:cs="Times New Roman" w:hint="cs"/>
          <w:rtl/>
        </w:rPr>
        <w:t>هذه</w:t>
      </w:r>
      <w:r w:rsidRPr="00E81E24">
        <w:rPr>
          <w:rFonts w:asciiTheme="majorBidi" w:hAnsiTheme="majorBidi" w:cs="Times New Roman"/>
          <w:rtl/>
        </w:rPr>
        <w:t xml:space="preserve"> </w:t>
      </w:r>
      <w:r w:rsidRPr="00E81E24">
        <w:rPr>
          <w:rFonts w:asciiTheme="majorBidi" w:hAnsiTheme="majorBidi" w:cs="Times New Roman" w:hint="cs"/>
          <w:rtl/>
        </w:rPr>
        <w:t>المذكرة</w:t>
      </w:r>
      <w:r w:rsidRPr="00E81E24">
        <w:rPr>
          <w:rFonts w:asciiTheme="majorBidi" w:hAnsiTheme="majorBidi" w:cs="Times New Roman"/>
          <w:rtl/>
        </w:rPr>
        <w:t xml:space="preserve"> </w:t>
      </w:r>
      <w:r w:rsidRPr="00E81E24">
        <w:rPr>
          <w:rFonts w:asciiTheme="majorBidi" w:hAnsiTheme="majorBidi" w:cs="Times New Roman" w:hint="cs"/>
          <w:rtl/>
        </w:rPr>
        <w:t>إلى</w:t>
      </w:r>
      <w:r w:rsidRPr="00E81E24">
        <w:rPr>
          <w:rFonts w:asciiTheme="majorBidi" w:hAnsiTheme="majorBidi" w:cs="Times New Roman"/>
          <w:rtl/>
        </w:rPr>
        <w:t xml:space="preserve"> </w:t>
      </w:r>
      <w:r w:rsidRPr="00E81E24">
        <w:rPr>
          <w:rFonts w:asciiTheme="majorBidi" w:hAnsiTheme="majorBidi" w:cs="Times New Roman" w:hint="cs"/>
          <w:rtl/>
        </w:rPr>
        <w:t>دراسة</w:t>
      </w:r>
      <w:r>
        <w:rPr>
          <w:rFonts w:asciiTheme="majorBidi" w:hAnsiTheme="majorBidi" w:cstheme="majorBidi"/>
        </w:rPr>
        <w:t xml:space="preserve"> </w:t>
      </w:r>
      <w:r w:rsidRPr="00E81E24">
        <w:rPr>
          <w:rFonts w:asciiTheme="majorBidi" w:hAnsiTheme="majorBidi" w:cs="Times New Roman" w:hint="cs"/>
          <w:rtl/>
        </w:rPr>
        <w:t>إدارة</w:t>
      </w:r>
      <w:r w:rsidRPr="00E81E24">
        <w:rPr>
          <w:rFonts w:asciiTheme="majorBidi" w:hAnsiTheme="majorBidi" w:cs="Times New Roman"/>
          <w:rtl/>
        </w:rPr>
        <w:t xml:space="preserve"> </w:t>
      </w:r>
      <w:r w:rsidRPr="00E81E24">
        <w:rPr>
          <w:rFonts w:asciiTheme="majorBidi" w:hAnsiTheme="majorBidi" w:cs="Times New Roman" w:hint="cs"/>
          <w:rtl/>
        </w:rPr>
        <w:t>الميزانية</w:t>
      </w:r>
      <w:r w:rsidRPr="00E81E24">
        <w:rPr>
          <w:rFonts w:asciiTheme="majorBidi" w:hAnsiTheme="majorBidi" w:cs="Times New Roman"/>
          <w:rtl/>
        </w:rPr>
        <w:t xml:space="preserve"> </w:t>
      </w:r>
      <w:r w:rsidRPr="00E81E24">
        <w:rPr>
          <w:rFonts w:asciiTheme="majorBidi" w:hAnsiTheme="majorBidi" w:cs="Times New Roman" w:hint="cs"/>
          <w:rtl/>
        </w:rPr>
        <w:t>كأداة</w:t>
      </w:r>
      <w:r w:rsidRPr="00E81E24">
        <w:rPr>
          <w:rFonts w:asciiTheme="majorBidi" w:hAnsiTheme="majorBidi" w:cs="Times New Roman"/>
          <w:rtl/>
        </w:rPr>
        <w:t xml:space="preserve"> </w:t>
      </w:r>
      <w:r w:rsidRPr="00E81E24">
        <w:rPr>
          <w:rFonts w:asciiTheme="majorBidi" w:hAnsiTheme="majorBidi" w:cs="Times New Roman" w:hint="cs"/>
          <w:rtl/>
        </w:rPr>
        <w:t>محورية</w:t>
      </w:r>
      <w:r w:rsidRPr="00E81E24">
        <w:rPr>
          <w:rFonts w:asciiTheme="majorBidi" w:hAnsiTheme="majorBidi" w:cs="Times New Roman"/>
          <w:rtl/>
        </w:rPr>
        <w:t xml:space="preserve"> </w:t>
      </w:r>
      <w:r w:rsidRPr="00E81E24">
        <w:rPr>
          <w:rFonts w:asciiTheme="majorBidi" w:hAnsiTheme="majorBidi" w:cs="Times New Roman" w:hint="cs"/>
          <w:rtl/>
        </w:rPr>
        <w:t>في</w:t>
      </w:r>
      <w:r w:rsidRPr="00E81E24">
        <w:rPr>
          <w:rFonts w:asciiTheme="majorBidi" w:hAnsiTheme="majorBidi" w:cs="Times New Roman"/>
          <w:rtl/>
        </w:rPr>
        <w:t xml:space="preserve"> </w:t>
      </w:r>
      <w:r w:rsidRPr="00E81E24">
        <w:rPr>
          <w:rFonts w:asciiTheme="majorBidi" w:hAnsiTheme="majorBidi" w:cs="Times New Roman" w:hint="cs"/>
          <w:rtl/>
        </w:rPr>
        <w:t>نظام</w:t>
      </w:r>
      <w:r w:rsidRPr="00E81E24">
        <w:rPr>
          <w:rFonts w:asciiTheme="majorBidi" w:hAnsiTheme="majorBidi" w:cs="Times New Roman"/>
          <w:rtl/>
        </w:rPr>
        <w:t xml:space="preserve"> </w:t>
      </w:r>
      <w:r w:rsidRPr="00E81E24">
        <w:rPr>
          <w:rFonts w:asciiTheme="majorBidi" w:hAnsiTheme="majorBidi" w:cs="Times New Roman" w:hint="cs"/>
          <w:rtl/>
        </w:rPr>
        <w:t>لمراقبة</w:t>
      </w:r>
      <w:r w:rsidRPr="00E81E24">
        <w:rPr>
          <w:rFonts w:asciiTheme="majorBidi" w:hAnsiTheme="majorBidi" w:cs="Times New Roman"/>
          <w:rtl/>
        </w:rPr>
        <w:t xml:space="preserve"> </w:t>
      </w:r>
      <w:r w:rsidRPr="00E81E24">
        <w:rPr>
          <w:rFonts w:asciiTheme="majorBidi" w:hAnsiTheme="majorBidi" w:cs="Times New Roman" w:hint="cs"/>
          <w:rtl/>
        </w:rPr>
        <w:t>التسيير،</w:t>
      </w:r>
      <w:r w:rsidRPr="00E81E24">
        <w:rPr>
          <w:rFonts w:asciiTheme="majorBidi" w:hAnsiTheme="majorBidi" w:cs="Times New Roman"/>
          <w:rtl/>
        </w:rPr>
        <w:t xml:space="preserve"> </w:t>
      </w:r>
      <w:r w:rsidRPr="00E81E24">
        <w:rPr>
          <w:rFonts w:asciiTheme="majorBidi" w:hAnsiTheme="majorBidi" w:cs="Times New Roman" w:hint="cs"/>
          <w:rtl/>
        </w:rPr>
        <w:t>من</w:t>
      </w:r>
      <w:r w:rsidRPr="00E81E24">
        <w:rPr>
          <w:rFonts w:asciiTheme="majorBidi" w:hAnsiTheme="majorBidi" w:cs="Times New Roman"/>
          <w:rtl/>
        </w:rPr>
        <w:t xml:space="preserve"> </w:t>
      </w:r>
      <w:r w:rsidRPr="00E81E24">
        <w:rPr>
          <w:rFonts w:asciiTheme="majorBidi" w:hAnsiTheme="majorBidi" w:cs="Times New Roman" w:hint="cs"/>
          <w:rtl/>
        </w:rPr>
        <w:t>خلال</w:t>
      </w:r>
      <w:r w:rsidRPr="00E81E24">
        <w:rPr>
          <w:rFonts w:asciiTheme="majorBidi" w:hAnsiTheme="majorBidi" w:cs="Times New Roman"/>
          <w:rtl/>
        </w:rPr>
        <w:t xml:space="preserve"> </w:t>
      </w:r>
      <w:r w:rsidRPr="00E81E24">
        <w:rPr>
          <w:rFonts w:asciiTheme="majorBidi" w:hAnsiTheme="majorBidi" w:cs="Times New Roman" w:hint="cs"/>
          <w:rtl/>
        </w:rPr>
        <w:t>دراسة</w:t>
      </w:r>
      <w:r w:rsidRPr="00E81E24">
        <w:rPr>
          <w:rFonts w:asciiTheme="majorBidi" w:hAnsiTheme="majorBidi" w:cs="Times New Roman"/>
          <w:rtl/>
        </w:rPr>
        <w:t xml:space="preserve"> </w:t>
      </w:r>
      <w:r w:rsidRPr="00E81E24">
        <w:rPr>
          <w:rFonts w:asciiTheme="majorBidi" w:hAnsiTheme="majorBidi" w:cs="Times New Roman" w:hint="cs"/>
          <w:rtl/>
        </w:rPr>
        <w:t>ميدانية</w:t>
      </w:r>
      <w:r w:rsidRPr="00E81E24">
        <w:rPr>
          <w:rFonts w:asciiTheme="majorBidi" w:hAnsiTheme="majorBidi" w:cs="Times New Roman"/>
          <w:rtl/>
        </w:rPr>
        <w:t xml:space="preserve"> </w:t>
      </w:r>
      <w:r w:rsidRPr="00E81E24">
        <w:rPr>
          <w:rFonts w:asciiTheme="majorBidi" w:hAnsiTheme="majorBidi" w:cs="Times New Roman" w:hint="cs"/>
          <w:rtl/>
        </w:rPr>
        <w:t>على</w:t>
      </w:r>
      <w:r w:rsidRPr="00E81E24">
        <w:rPr>
          <w:rFonts w:asciiTheme="majorBidi" w:hAnsiTheme="majorBidi" w:cs="Times New Roman"/>
          <w:rtl/>
        </w:rPr>
        <w:t xml:space="preserve"> </w:t>
      </w:r>
      <w:r w:rsidRPr="00E81E24">
        <w:rPr>
          <w:rFonts w:asciiTheme="majorBidi" w:hAnsiTheme="majorBidi" w:cs="Times New Roman" w:hint="cs"/>
          <w:rtl/>
        </w:rPr>
        <w:t>مستوى</w:t>
      </w:r>
      <w:r w:rsidRPr="00E81E24">
        <w:rPr>
          <w:rFonts w:asciiTheme="majorBidi" w:hAnsiTheme="majorBidi" w:cs="Times New Roman"/>
          <w:rtl/>
        </w:rPr>
        <w:t xml:space="preserve"> </w:t>
      </w:r>
      <w:r w:rsidRPr="00E81E24">
        <w:rPr>
          <w:rFonts w:asciiTheme="majorBidi" w:hAnsiTheme="majorBidi" w:cs="Times New Roman" w:hint="cs"/>
          <w:rtl/>
        </w:rPr>
        <w:t>المديرية</w:t>
      </w:r>
      <w:r w:rsidRPr="00E81E24">
        <w:rPr>
          <w:rFonts w:asciiTheme="majorBidi" w:hAnsiTheme="majorBidi" w:cs="Times New Roman"/>
          <w:rtl/>
        </w:rPr>
        <w:t xml:space="preserve"> </w:t>
      </w:r>
      <w:r w:rsidRPr="00E81E24">
        <w:rPr>
          <w:rFonts w:asciiTheme="majorBidi" w:hAnsiTheme="majorBidi" w:cs="Times New Roman" w:hint="cs"/>
          <w:rtl/>
        </w:rPr>
        <w:t>العملياتية</w:t>
      </w:r>
      <w:r>
        <w:rPr>
          <w:rFonts w:asciiTheme="majorBidi" w:hAnsiTheme="majorBidi" w:cstheme="majorBidi"/>
        </w:rPr>
        <w:t xml:space="preserve"> </w:t>
      </w:r>
      <w:r w:rsidRPr="00E81E24">
        <w:rPr>
          <w:rFonts w:asciiTheme="majorBidi" w:hAnsiTheme="majorBidi" w:cs="Times New Roman" w:hint="cs"/>
          <w:rtl/>
        </w:rPr>
        <w:t>للاتصالات</w:t>
      </w:r>
      <w:r w:rsidRPr="00E81E24">
        <w:rPr>
          <w:rFonts w:asciiTheme="majorBidi" w:hAnsiTheme="majorBidi" w:cs="Times New Roman"/>
          <w:rtl/>
        </w:rPr>
        <w:t xml:space="preserve"> </w:t>
      </w:r>
      <w:r w:rsidRPr="00E81E24">
        <w:rPr>
          <w:rFonts w:asciiTheme="majorBidi" w:hAnsiTheme="majorBidi" w:cs="Times New Roman" w:hint="cs"/>
          <w:rtl/>
        </w:rPr>
        <w:t>ببني</w:t>
      </w:r>
      <w:r w:rsidRPr="00E81E24">
        <w:rPr>
          <w:rFonts w:asciiTheme="majorBidi" w:hAnsiTheme="majorBidi" w:cs="Times New Roman"/>
          <w:rtl/>
        </w:rPr>
        <w:t xml:space="preserve"> </w:t>
      </w:r>
      <w:r w:rsidRPr="00E81E24">
        <w:rPr>
          <w:rFonts w:asciiTheme="majorBidi" w:hAnsiTheme="majorBidi" w:cs="Times New Roman" w:hint="cs"/>
          <w:rtl/>
        </w:rPr>
        <w:t>مسوس</w:t>
      </w:r>
      <w:r w:rsidRPr="00E81E24">
        <w:rPr>
          <w:rFonts w:asciiTheme="majorBidi" w:hAnsiTheme="majorBidi" w:cstheme="majorBidi"/>
        </w:rPr>
        <w:t>.</w:t>
      </w:r>
    </w:p>
    <w:p w14:paraId="7F6E1905" w14:textId="14784664" w:rsidR="00E81E24" w:rsidRPr="00E81E24" w:rsidRDefault="00E81E24" w:rsidP="00AE3850">
      <w:pPr>
        <w:bidi/>
        <w:spacing w:line="360" w:lineRule="auto"/>
        <w:ind w:firstLine="720"/>
        <w:jc w:val="both"/>
        <w:rPr>
          <w:rFonts w:asciiTheme="majorBidi" w:hAnsiTheme="majorBidi" w:cstheme="majorBidi"/>
        </w:rPr>
      </w:pPr>
      <w:r w:rsidRPr="00E81E24">
        <w:rPr>
          <w:rFonts w:asciiTheme="majorBidi" w:hAnsiTheme="majorBidi" w:cs="Times New Roman" w:hint="cs"/>
          <w:rtl/>
        </w:rPr>
        <w:t>يتناول</w:t>
      </w:r>
      <w:r w:rsidRPr="00E81E24">
        <w:rPr>
          <w:rFonts w:asciiTheme="majorBidi" w:hAnsiTheme="majorBidi" w:cs="Times New Roman"/>
          <w:rtl/>
        </w:rPr>
        <w:t xml:space="preserve"> </w:t>
      </w:r>
      <w:r w:rsidRPr="00E81E24">
        <w:rPr>
          <w:rFonts w:asciiTheme="majorBidi" w:hAnsiTheme="majorBidi" w:cs="Times New Roman" w:hint="cs"/>
          <w:rtl/>
        </w:rPr>
        <w:t>الفصل</w:t>
      </w:r>
      <w:r w:rsidRPr="00E81E24">
        <w:rPr>
          <w:rFonts w:asciiTheme="majorBidi" w:hAnsiTheme="majorBidi" w:cs="Times New Roman"/>
          <w:rtl/>
        </w:rPr>
        <w:t xml:space="preserve"> </w:t>
      </w:r>
      <w:r w:rsidRPr="00E81E24">
        <w:rPr>
          <w:rFonts w:asciiTheme="majorBidi" w:hAnsiTheme="majorBidi" w:cs="Times New Roman" w:hint="cs"/>
          <w:rtl/>
        </w:rPr>
        <w:t>الأول</w:t>
      </w:r>
      <w:r w:rsidRPr="00E81E24">
        <w:rPr>
          <w:rFonts w:asciiTheme="majorBidi" w:hAnsiTheme="majorBidi" w:cs="Times New Roman"/>
          <w:rtl/>
        </w:rPr>
        <w:t xml:space="preserve"> </w:t>
      </w:r>
      <w:r w:rsidRPr="00E81E24">
        <w:rPr>
          <w:rFonts w:asciiTheme="majorBidi" w:hAnsiTheme="majorBidi" w:cs="Times New Roman" w:hint="cs"/>
          <w:rtl/>
        </w:rPr>
        <w:t>الأسس</w:t>
      </w:r>
      <w:r w:rsidRPr="00E81E24">
        <w:rPr>
          <w:rFonts w:asciiTheme="majorBidi" w:hAnsiTheme="majorBidi" w:cs="Times New Roman"/>
          <w:rtl/>
        </w:rPr>
        <w:t xml:space="preserve"> </w:t>
      </w:r>
      <w:r w:rsidRPr="00E81E24">
        <w:rPr>
          <w:rFonts w:asciiTheme="majorBidi" w:hAnsiTheme="majorBidi" w:cs="Times New Roman" w:hint="cs"/>
          <w:rtl/>
        </w:rPr>
        <w:t>النظرية</w:t>
      </w:r>
      <w:r w:rsidRPr="00E81E24">
        <w:rPr>
          <w:rFonts w:asciiTheme="majorBidi" w:hAnsiTheme="majorBidi" w:cs="Times New Roman"/>
          <w:rtl/>
        </w:rPr>
        <w:t xml:space="preserve"> </w:t>
      </w:r>
      <w:r w:rsidRPr="00E81E24">
        <w:rPr>
          <w:rFonts w:asciiTheme="majorBidi" w:hAnsiTheme="majorBidi" w:cs="Times New Roman" w:hint="cs"/>
          <w:rtl/>
        </w:rPr>
        <w:t>لمراقبة</w:t>
      </w:r>
      <w:r w:rsidRPr="00E81E24">
        <w:rPr>
          <w:rFonts w:asciiTheme="majorBidi" w:hAnsiTheme="majorBidi" w:cs="Times New Roman"/>
          <w:rtl/>
        </w:rPr>
        <w:t xml:space="preserve"> </w:t>
      </w:r>
      <w:r w:rsidRPr="00E81E24">
        <w:rPr>
          <w:rFonts w:asciiTheme="majorBidi" w:hAnsiTheme="majorBidi" w:cs="Times New Roman" w:hint="cs"/>
          <w:rtl/>
        </w:rPr>
        <w:t>التسيير</w:t>
      </w:r>
      <w:r w:rsidRPr="00E81E24">
        <w:rPr>
          <w:rFonts w:asciiTheme="majorBidi" w:hAnsiTheme="majorBidi" w:cs="Times New Roman"/>
          <w:rtl/>
        </w:rPr>
        <w:t xml:space="preserve"> </w:t>
      </w:r>
      <w:r w:rsidRPr="00E81E24">
        <w:rPr>
          <w:rFonts w:asciiTheme="majorBidi" w:hAnsiTheme="majorBidi" w:cs="Times New Roman" w:hint="cs"/>
          <w:rtl/>
        </w:rPr>
        <w:t>وإدارة</w:t>
      </w:r>
      <w:r w:rsidRPr="00E81E24">
        <w:rPr>
          <w:rFonts w:asciiTheme="majorBidi" w:hAnsiTheme="majorBidi" w:cs="Times New Roman"/>
          <w:rtl/>
        </w:rPr>
        <w:t xml:space="preserve"> </w:t>
      </w:r>
      <w:r w:rsidRPr="00E81E24">
        <w:rPr>
          <w:rFonts w:asciiTheme="majorBidi" w:hAnsiTheme="majorBidi" w:cs="Times New Roman" w:hint="cs"/>
          <w:rtl/>
        </w:rPr>
        <w:t>الميزانية،</w:t>
      </w:r>
      <w:r w:rsidRPr="00E81E24">
        <w:rPr>
          <w:rFonts w:asciiTheme="majorBidi" w:hAnsiTheme="majorBidi" w:cs="Times New Roman"/>
          <w:rtl/>
        </w:rPr>
        <w:t xml:space="preserve"> </w:t>
      </w:r>
      <w:r w:rsidRPr="00E81E24">
        <w:rPr>
          <w:rFonts w:asciiTheme="majorBidi" w:hAnsiTheme="majorBidi" w:cs="Times New Roman" w:hint="cs"/>
          <w:rtl/>
        </w:rPr>
        <w:t>حيث</w:t>
      </w:r>
      <w:r w:rsidRPr="00E81E24">
        <w:rPr>
          <w:rFonts w:asciiTheme="majorBidi" w:hAnsiTheme="majorBidi" w:cs="Times New Roman"/>
          <w:rtl/>
        </w:rPr>
        <w:t xml:space="preserve"> </w:t>
      </w:r>
      <w:r w:rsidRPr="00E81E24">
        <w:rPr>
          <w:rFonts w:asciiTheme="majorBidi" w:hAnsiTheme="majorBidi" w:cs="Times New Roman" w:hint="cs"/>
          <w:rtl/>
        </w:rPr>
        <w:t>تُعرف</w:t>
      </w:r>
      <w:r w:rsidRPr="00E81E24">
        <w:rPr>
          <w:rFonts w:asciiTheme="majorBidi" w:hAnsiTheme="majorBidi" w:cs="Times New Roman"/>
          <w:rtl/>
        </w:rPr>
        <w:t xml:space="preserve"> </w:t>
      </w:r>
      <w:r w:rsidRPr="00E81E24">
        <w:rPr>
          <w:rFonts w:asciiTheme="majorBidi" w:hAnsiTheme="majorBidi" w:cs="Times New Roman" w:hint="cs"/>
          <w:rtl/>
        </w:rPr>
        <w:t>لمراقبة</w:t>
      </w:r>
      <w:r w:rsidRPr="00E81E24">
        <w:rPr>
          <w:rFonts w:asciiTheme="majorBidi" w:hAnsiTheme="majorBidi" w:cs="Times New Roman"/>
          <w:rtl/>
        </w:rPr>
        <w:t xml:space="preserve"> </w:t>
      </w:r>
      <w:r w:rsidRPr="00E81E24">
        <w:rPr>
          <w:rFonts w:asciiTheme="majorBidi" w:hAnsiTheme="majorBidi" w:cs="Times New Roman" w:hint="cs"/>
          <w:rtl/>
        </w:rPr>
        <w:t>التسيير</w:t>
      </w:r>
      <w:r w:rsidRPr="00E81E24">
        <w:rPr>
          <w:rFonts w:asciiTheme="majorBidi" w:hAnsiTheme="majorBidi" w:cs="Times New Roman"/>
          <w:rtl/>
        </w:rPr>
        <w:t xml:space="preserve"> </w:t>
      </w:r>
      <w:r w:rsidRPr="00E81E24">
        <w:rPr>
          <w:rFonts w:asciiTheme="majorBidi" w:hAnsiTheme="majorBidi" w:cs="Times New Roman" w:hint="cs"/>
          <w:rtl/>
        </w:rPr>
        <w:t>على</w:t>
      </w:r>
      <w:r w:rsidRPr="00E81E24">
        <w:rPr>
          <w:rFonts w:asciiTheme="majorBidi" w:hAnsiTheme="majorBidi" w:cs="Times New Roman"/>
          <w:rtl/>
        </w:rPr>
        <w:t xml:space="preserve"> </w:t>
      </w:r>
      <w:r w:rsidRPr="00E81E24">
        <w:rPr>
          <w:rFonts w:asciiTheme="majorBidi" w:hAnsiTheme="majorBidi" w:cs="Times New Roman" w:hint="cs"/>
          <w:rtl/>
        </w:rPr>
        <w:t>أنها</w:t>
      </w:r>
      <w:r w:rsidRPr="00E81E24">
        <w:rPr>
          <w:rFonts w:asciiTheme="majorBidi" w:hAnsiTheme="majorBidi" w:cs="Times New Roman"/>
          <w:rtl/>
        </w:rPr>
        <w:t xml:space="preserve"> </w:t>
      </w:r>
      <w:r w:rsidRPr="00E81E24">
        <w:rPr>
          <w:rFonts w:asciiTheme="majorBidi" w:hAnsiTheme="majorBidi" w:cs="Times New Roman" w:hint="cs"/>
          <w:rtl/>
        </w:rPr>
        <w:t>عملية</w:t>
      </w:r>
      <w:r>
        <w:rPr>
          <w:rFonts w:asciiTheme="majorBidi" w:hAnsiTheme="majorBidi" w:cstheme="majorBidi"/>
        </w:rPr>
        <w:t xml:space="preserve"> </w:t>
      </w:r>
      <w:r w:rsidRPr="00E81E24">
        <w:rPr>
          <w:rFonts w:asciiTheme="majorBidi" w:hAnsiTheme="majorBidi" w:cs="Times New Roman" w:hint="cs"/>
          <w:rtl/>
        </w:rPr>
        <w:t>توجيه</w:t>
      </w:r>
      <w:r w:rsidRPr="00E81E24">
        <w:rPr>
          <w:rFonts w:asciiTheme="majorBidi" w:hAnsiTheme="majorBidi" w:cs="Times New Roman"/>
          <w:rtl/>
        </w:rPr>
        <w:t xml:space="preserve"> </w:t>
      </w:r>
      <w:r w:rsidRPr="00E81E24">
        <w:rPr>
          <w:rFonts w:asciiTheme="majorBidi" w:hAnsiTheme="majorBidi" w:cs="Times New Roman" w:hint="cs"/>
          <w:rtl/>
        </w:rPr>
        <w:t>الأداء</w:t>
      </w:r>
      <w:r w:rsidRPr="00E81E24">
        <w:rPr>
          <w:rFonts w:asciiTheme="majorBidi" w:hAnsiTheme="majorBidi" w:cs="Times New Roman"/>
          <w:rtl/>
        </w:rPr>
        <w:t xml:space="preserve"> </w:t>
      </w:r>
      <w:r w:rsidRPr="00E81E24">
        <w:rPr>
          <w:rFonts w:asciiTheme="majorBidi" w:hAnsiTheme="majorBidi" w:cs="Times New Roman" w:hint="cs"/>
          <w:rtl/>
        </w:rPr>
        <w:t>تهدف</w:t>
      </w:r>
      <w:r w:rsidRPr="00E81E24">
        <w:rPr>
          <w:rFonts w:asciiTheme="majorBidi" w:hAnsiTheme="majorBidi" w:cs="Times New Roman"/>
          <w:rtl/>
        </w:rPr>
        <w:t xml:space="preserve"> </w:t>
      </w:r>
      <w:r w:rsidRPr="00E81E24">
        <w:rPr>
          <w:rFonts w:asciiTheme="majorBidi" w:hAnsiTheme="majorBidi" w:cs="Times New Roman" w:hint="cs"/>
          <w:rtl/>
        </w:rPr>
        <w:t>إلى</w:t>
      </w:r>
      <w:r w:rsidRPr="00E81E24">
        <w:rPr>
          <w:rFonts w:asciiTheme="majorBidi" w:hAnsiTheme="majorBidi" w:cs="Times New Roman"/>
          <w:rtl/>
        </w:rPr>
        <w:t xml:space="preserve"> </w:t>
      </w:r>
      <w:r w:rsidRPr="00E81E24">
        <w:rPr>
          <w:rFonts w:asciiTheme="majorBidi" w:hAnsiTheme="majorBidi" w:cs="Times New Roman" w:hint="cs"/>
          <w:rtl/>
        </w:rPr>
        <w:t>ضمان</w:t>
      </w:r>
      <w:r w:rsidRPr="00E81E24">
        <w:rPr>
          <w:rFonts w:asciiTheme="majorBidi" w:hAnsiTheme="majorBidi" w:cs="Times New Roman"/>
          <w:rtl/>
        </w:rPr>
        <w:t xml:space="preserve"> </w:t>
      </w:r>
      <w:r w:rsidRPr="00E81E24">
        <w:rPr>
          <w:rFonts w:asciiTheme="majorBidi" w:hAnsiTheme="majorBidi" w:cs="Times New Roman" w:hint="cs"/>
          <w:rtl/>
        </w:rPr>
        <w:t>توافق</w:t>
      </w:r>
      <w:r w:rsidRPr="00E81E24">
        <w:rPr>
          <w:rFonts w:asciiTheme="majorBidi" w:hAnsiTheme="majorBidi" w:cs="Times New Roman"/>
          <w:rtl/>
        </w:rPr>
        <w:t xml:space="preserve"> </w:t>
      </w:r>
      <w:r w:rsidRPr="00E81E24">
        <w:rPr>
          <w:rFonts w:asciiTheme="majorBidi" w:hAnsiTheme="majorBidi" w:cs="Times New Roman" w:hint="cs"/>
          <w:rtl/>
        </w:rPr>
        <w:t>الأفعال</w:t>
      </w:r>
      <w:r w:rsidRPr="00E81E24">
        <w:rPr>
          <w:rFonts w:asciiTheme="majorBidi" w:hAnsiTheme="majorBidi" w:cs="Times New Roman"/>
          <w:rtl/>
        </w:rPr>
        <w:t xml:space="preserve"> </w:t>
      </w:r>
      <w:r w:rsidRPr="00E81E24">
        <w:rPr>
          <w:rFonts w:asciiTheme="majorBidi" w:hAnsiTheme="majorBidi" w:cs="Times New Roman" w:hint="cs"/>
          <w:rtl/>
        </w:rPr>
        <w:t>التشغيلية</w:t>
      </w:r>
      <w:r w:rsidRPr="00E81E24">
        <w:rPr>
          <w:rFonts w:asciiTheme="majorBidi" w:hAnsiTheme="majorBidi" w:cs="Times New Roman"/>
          <w:rtl/>
        </w:rPr>
        <w:t xml:space="preserve"> </w:t>
      </w:r>
      <w:r w:rsidRPr="00E81E24">
        <w:rPr>
          <w:rFonts w:asciiTheme="majorBidi" w:hAnsiTheme="majorBidi" w:cs="Times New Roman" w:hint="cs"/>
          <w:rtl/>
        </w:rPr>
        <w:t>مع</w:t>
      </w:r>
      <w:r w:rsidRPr="00E81E24">
        <w:rPr>
          <w:rFonts w:asciiTheme="majorBidi" w:hAnsiTheme="majorBidi" w:cs="Times New Roman"/>
          <w:rtl/>
        </w:rPr>
        <w:t xml:space="preserve"> </w:t>
      </w:r>
      <w:r w:rsidRPr="00E81E24">
        <w:rPr>
          <w:rFonts w:asciiTheme="majorBidi" w:hAnsiTheme="majorBidi" w:cs="Times New Roman" w:hint="cs"/>
          <w:rtl/>
        </w:rPr>
        <w:t>الأهداف</w:t>
      </w:r>
      <w:r w:rsidRPr="00E81E24">
        <w:rPr>
          <w:rFonts w:asciiTheme="majorBidi" w:hAnsiTheme="majorBidi" w:cs="Times New Roman"/>
          <w:rtl/>
        </w:rPr>
        <w:t xml:space="preserve"> </w:t>
      </w:r>
      <w:r w:rsidRPr="00E81E24">
        <w:rPr>
          <w:rFonts w:asciiTheme="majorBidi" w:hAnsiTheme="majorBidi" w:cs="Times New Roman" w:hint="cs"/>
          <w:rtl/>
        </w:rPr>
        <w:t>الاستراتيجية</w:t>
      </w:r>
      <w:r w:rsidRPr="00E81E24">
        <w:rPr>
          <w:rFonts w:asciiTheme="majorBidi" w:hAnsiTheme="majorBidi" w:cs="Times New Roman"/>
          <w:rtl/>
        </w:rPr>
        <w:t xml:space="preserve"> </w:t>
      </w:r>
      <w:r w:rsidRPr="00E81E24">
        <w:rPr>
          <w:rFonts w:asciiTheme="majorBidi" w:hAnsiTheme="majorBidi" w:cs="Times New Roman" w:hint="cs"/>
          <w:rtl/>
        </w:rPr>
        <w:t>للمؤسسة</w:t>
      </w:r>
      <w:r w:rsidRPr="00E81E24">
        <w:rPr>
          <w:rFonts w:asciiTheme="majorBidi" w:hAnsiTheme="majorBidi" w:cs="Times New Roman"/>
          <w:rtl/>
        </w:rPr>
        <w:t xml:space="preserve">. </w:t>
      </w:r>
      <w:r w:rsidRPr="00E81E24">
        <w:rPr>
          <w:rFonts w:asciiTheme="majorBidi" w:hAnsiTheme="majorBidi" w:cs="Times New Roman" w:hint="cs"/>
          <w:rtl/>
        </w:rPr>
        <w:t>وتعتمد</w:t>
      </w:r>
      <w:r w:rsidRPr="00E81E24">
        <w:rPr>
          <w:rFonts w:asciiTheme="majorBidi" w:hAnsiTheme="majorBidi" w:cs="Times New Roman"/>
          <w:rtl/>
        </w:rPr>
        <w:t xml:space="preserve"> </w:t>
      </w:r>
      <w:r w:rsidRPr="00E81E24">
        <w:rPr>
          <w:rFonts w:asciiTheme="majorBidi" w:hAnsiTheme="majorBidi" w:cs="Times New Roman" w:hint="cs"/>
          <w:rtl/>
        </w:rPr>
        <w:t>هذه</w:t>
      </w:r>
      <w:r w:rsidRPr="00E81E24">
        <w:rPr>
          <w:rFonts w:asciiTheme="majorBidi" w:hAnsiTheme="majorBidi" w:cs="Times New Roman"/>
          <w:rtl/>
        </w:rPr>
        <w:t xml:space="preserve"> </w:t>
      </w:r>
      <w:r w:rsidRPr="00E81E24">
        <w:rPr>
          <w:rFonts w:asciiTheme="majorBidi" w:hAnsiTheme="majorBidi" w:cs="Times New Roman" w:hint="cs"/>
          <w:rtl/>
        </w:rPr>
        <w:t>المراقبة</w:t>
      </w:r>
      <w:r w:rsidRPr="00E81E24">
        <w:rPr>
          <w:rFonts w:asciiTheme="majorBidi" w:hAnsiTheme="majorBidi" w:cs="Times New Roman"/>
          <w:rtl/>
        </w:rPr>
        <w:t xml:space="preserve"> </w:t>
      </w:r>
      <w:r w:rsidRPr="00E81E24">
        <w:rPr>
          <w:rFonts w:asciiTheme="majorBidi" w:hAnsiTheme="majorBidi" w:cs="Times New Roman" w:hint="cs"/>
          <w:rtl/>
        </w:rPr>
        <w:t>على</w:t>
      </w:r>
      <w:r w:rsidRPr="00E81E24">
        <w:rPr>
          <w:rFonts w:asciiTheme="majorBidi" w:hAnsiTheme="majorBidi" w:cs="Times New Roman"/>
          <w:rtl/>
        </w:rPr>
        <w:t xml:space="preserve"> </w:t>
      </w:r>
      <w:r w:rsidRPr="00E81E24">
        <w:rPr>
          <w:rFonts w:asciiTheme="majorBidi" w:hAnsiTheme="majorBidi" w:cs="Times New Roman" w:hint="cs"/>
          <w:rtl/>
        </w:rPr>
        <w:t>أدوات</w:t>
      </w:r>
      <w:r>
        <w:rPr>
          <w:rFonts w:asciiTheme="majorBidi" w:hAnsiTheme="majorBidi" w:cstheme="majorBidi"/>
        </w:rPr>
        <w:t xml:space="preserve"> </w:t>
      </w:r>
      <w:r w:rsidRPr="00E81E24">
        <w:rPr>
          <w:rFonts w:asciiTheme="majorBidi" w:hAnsiTheme="majorBidi" w:cs="Times New Roman" w:hint="cs"/>
          <w:rtl/>
        </w:rPr>
        <w:t>مختلفة</w:t>
      </w:r>
      <w:r w:rsidRPr="00E81E24">
        <w:rPr>
          <w:rFonts w:asciiTheme="majorBidi" w:hAnsiTheme="majorBidi" w:cs="Times New Roman"/>
          <w:rtl/>
        </w:rPr>
        <w:t xml:space="preserve"> </w:t>
      </w:r>
      <w:r w:rsidRPr="00E81E24">
        <w:rPr>
          <w:rFonts w:asciiTheme="majorBidi" w:hAnsiTheme="majorBidi" w:cs="Times New Roman" w:hint="cs"/>
          <w:rtl/>
        </w:rPr>
        <w:t>مثل</w:t>
      </w:r>
      <w:r w:rsidRPr="00E81E24">
        <w:rPr>
          <w:rFonts w:asciiTheme="majorBidi" w:hAnsiTheme="majorBidi" w:cs="Times New Roman"/>
          <w:rtl/>
        </w:rPr>
        <w:t xml:space="preserve"> </w:t>
      </w:r>
      <w:r w:rsidRPr="00E81E24">
        <w:rPr>
          <w:rFonts w:asciiTheme="majorBidi" w:hAnsiTheme="majorBidi" w:cs="Times New Roman" w:hint="cs"/>
          <w:rtl/>
        </w:rPr>
        <w:t>المحاسبة</w:t>
      </w:r>
      <w:r w:rsidRPr="00E81E24">
        <w:rPr>
          <w:rFonts w:asciiTheme="majorBidi" w:hAnsiTheme="majorBidi" w:cs="Times New Roman"/>
          <w:rtl/>
        </w:rPr>
        <w:t xml:space="preserve"> </w:t>
      </w:r>
      <w:r w:rsidRPr="00E81E24">
        <w:rPr>
          <w:rFonts w:asciiTheme="majorBidi" w:hAnsiTheme="majorBidi" w:cs="Times New Roman" w:hint="cs"/>
          <w:rtl/>
        </w:rPr>
        <w:t>التحليلية،</w:t>
      </w:r>
      <w:r w:rsidRPr="00E81E24">
        <w:rPr>
          <w:rFonts w:asciiTheme="majorBidi" w:hAnsiTheme="majorBidi" w:cs="Times New Roman"/>
          <w:rtl/>
        </w:rPr>
        <w:t xml:space="preserve"> </w:t>
      </w:r>
      <w:r w:rsidRPr="00E81E24">
        <w:rPr>
          <w:rFonts w:asciiTheme="majorBidi" w:hAnsiTheme="majorBidi" w:cs="Times New Roman" w:hint="cs"/>
          <w:rtl/>
        </w:rPr>
        <w:t>لوحة</w:t>
      </w:r>
      <w:r w:rsidRPr="00E81E24">
        <w:rPr>
          <w:rFonts w:asciiTheme="majorBidi" w:hAnsiTheme="majorBidi" w:cs="Times New Roman"/>
          <w:rtl/>
        </w:rPr>
        <w:t xml:space="preserve"> </w:t>
      </w:r>
      <w:r w:rsidRPr="00E81E24">
        <w:rPr>
          <w:rFonts w:asciiTheme="majorBidi" w:hAnsiTheme="majorBidi" w:cs="Times New Roman" w:hint="cs"/>
          <w:rtl/>
        </w:rPr>
        <w:t>القيادة،</w:t>
      </w:r>
      <w:r w:rsidRPr="00E81E24">
        <w:rPr>
          <w:rFonts w:asciiTheme="majorBidi" w:hAnsiTheme="majorBidi" w:cs="Times New Roman"/>
          <w:rtl/>
        </w:rPr>
        <w:t xml:space="preserve"> </w:t>
      </w:r>
      <w:r w:rsidRPr="00E81E24">
        <w:rPr>
          <w:rFonts w:asciiTheme="majorBidi" w:hAnsiTheme="majorBidi" w:cs="Times New Roman" w:hint="cs"/>
          <w:rtl/>
        </w:rPr>
        <w:t>وعلى</w:t>
      </w:r>
      <w:r w:rsidRPr="00E81E24">
        <w:rPr>
          <w:rFonts w:asciiTheme="majorBidi" w:hAnsiTheme="majorBidi" w:cs="Times New Roman"/>
          <w:rtl/>
        </w:rPr>
        <w:t xml:space="preserve"> </w:t>
      </w:r>
      <w:r w:rsidRPr="00E81E24">
        <w:rPr>
          <w:rFonts w:asciiTheme="majorBidi" w:hAnsiTheme="majorBidi" w:cs="Times New Roman" w:hint="cs"/>
          <w:rtl/>
        </w:rPr>
        <w:t>وجه</w:t>
      </w:r>
      <w:r w:rsidRPr="00E81E24">
        <w:rPr>
          <w:rFonts w:asciiTheme="majorBidi" w:hAnsiTheme="majorBidi" w:cs="Times New Roman"/>
          <w:rtl/>
        </w:rPr>
        <w:t xml:space="preserve"> </w:t>
      </w:r>
      <w:r w:rsidRPr="00E81E24">
        <w:rPr>
          <w:rFonts w:asciiTheme="majorBidi" w:hAnsiTheme="majorBidi" w:cs="Times New Roman" w:hint="cs"/>
          <w:rtl/>
        </w:rPr>
        <w:t>الخصوص</w:t>
      </w:r>
      <w:r w:rsidRPr="00E81E24">
        <w:rPr>
          <w:rFonts w:asciiTheme="majorBidi" w:hAnsiTheme="majorBidi" w:cs="Times New Roman"/>
          <w:rtl/>
        </w:rPr>
        <w:t xml:space="preserve"> </w:t>
      </w:r>
      <w:r w:rsidRPr="00E81E24">
        <w:rPr>
          <w:rFonts w:asciiTheme="majorBidi" w:hAnsiTheme="majorBidi" w:cs="Times New Roman" w:hint="cs"/>
          <w:rtl/>
        </w:rPr>
        <w:t>الميزانية</w:t>
      </w:r>
      <w:r w:rsidRPr="00E81E24">
        <w:rPr>
          <w:rFonts w:asciiTheme="majorBidi" w:hAnsiTheme="majorBidi" w:cs="Times New Roman"/>
          <w:rtl/>
        </w:rPr>
        <w:t xml:space="preserve"> </w:t>
      </w:r>
      <w:r w:rsidRPr="00E81E24">
        <w:rPr>
          <w:rFonts w:asciiTheme="majorBidi" w:hAnsiTheme="majorBidi" w:cs="Times New Roman" w:hint="cs"/>
          <w:rtl/>
        </w:rPr>
        <w:t>التي</w:t>
      </w:r>
      <w:r w:rsidRPr="00E81E24">
        <w:rPr>
          <w:rFonts w:asciiTheme="majorBidi" w:hAnsiTheme="majorBidi" w:cs="Times New Roman"/>
          <w:rtl/>
        </w:rPr>
        <w:t xml:space="preserve"> </w:t>
      </w:r>
      <w:r w:rsidRPr="00E81E24">
        <w:rPr>
          <w:rFonts w:asciiTheme="majorBidi" w:hAnsiTheme="majorBidi" w:cs="Times New Roman" w:hint="cs"/>
          <w:rtl/>
        </w:rPr>
        <w:t>تؤدي</w:t>
      </w:r>
      <w:r w:rsidRPr="00E81E24">
        <w:rPr>
          <w:rFonts w:asciiTheme="majorBidi" w:hAnsiTheme="majorBidi" w:cs="Times New Roman"/>
          <w:rtl/>
        </w:rPr>
        <w:t xml:space="preserve"> </w:t>
      </w:r>
      <w:r w:rsidRPr="00E81E24">
        <w:rPr>
          <w:rFonts w:asciiTheme="majorBidi" w:hAnsiTheme="majorBidi" w:cs="Times New Roman" w:hint="cs"/>
          <w:rtl/>
        </w:rPr>
        <w:t>وظائف</w:t>
      </w:r>
      <w:r w:rsidRPr="00E81E24">
        <w:rPr>
          <w:rFonts w:asciiTheme="majorBidi" w:hAnsiTheme="majorBidi" w:cs="Times New Roman"/>
          <w:rtl/>
        </w:rPr>
        <w:t xml:space="preserve"> </w:t>
      </w:r>
      <w:r w:rsidRPr="00E81E24">
        <w:rPr>
          <w:rFonts w:asciiTheme="majorBidi" w:hAnsiTheme="majorBidi" w:cs="Times New Roman" w:hint="cs"/>
          <w:rtl/>
        </w:rPr>
        <w:t>متعددة</w:t>
      </w:r>
      <w:r w:rsidRPr="00E81E24">
        <w:rPr>
          <w:rFonts w:asciiTheme="majorBidi" w:hAnsiTheme="majorBidi" w:cs="Times New Roman"/>
          <w:rtl/>
        </w:rPr>
        <w:t xml:space="preserve">: </w:t>
      </w:r>
      <w:r w:rsidRPr="00E81E24">
        <w:rPr>
          <w:rFonts w:asciiTheme="majorBidi" w:hAnsiTheme="majorBidi" w:cs="Times New Roman" w:hint="cs"/>
          <w:rtl/>
        </w:rPr>
        <w:t>التخطيط،</w:t>
      </w:r>
      <w:r>
        <w:rPr>
          <w:rFonts w:asciiTheme="majorBidi" w:hAnsiTheme="majorBidi" w:cstheme="majorBidi"/>
        </w:rPr>
        <w:t xml:space="preserve"> </w:t>
      </w:r>
      <w:r w:rsidRPr="00E81E24">
        <w:rPr>
          <w:rFonts w:asciiTheme="majorBidi" w:hAnsiTheme="majorBidi" w:cs="Times New Roman" w:hint="cs"/>
          <w:rtl/>
        </w:rPr>
        <w:t>التنسيق،</w:t>
      </w:r>
      <w:r w:rsidRPr="00E81E24">
        <w:rPr>
          <w:rFonts w:asciiTheme="majorBidi" w:hAnsiTheme="majorBidi" w:cs="Times New Roman"/>
          <w:rtl/>
        </w:rPr>
        <w:t xml:space="preserve"> </w:t>
      </w:r>
      <w:r w:rsidRPr="00E81E24">
        <w:rPr>
          <w:rFonts w:asciiTheme="majorBidi" w:hAnsiTheme="majorBidi" w:cs="Times New Roman" w:hint="cs"/>
          <w:rtl/>
        </w:rPr>
        <w:t>التحفيز،</w:t>
      </w:r>
      <w:r w:rsidRPr="00E81E24">
        <w:rPr>
          <w:rFonts w:asciiTheme="majorBidi" w:hAnsiTheme="majorBidi" w:cs="Times New Roman"/>
          <w:rtl/>
        </w:rPr>
        <w:t xml:space="preserve"> </w:t>
      </w:r>
      <w:r w:rsidRPr="00E81E24">
        <w:rPr>
          <w:rFonts w:asciiTheme="majorBidi" w:hAnsiTheme="majorBidi" w:cs="Times New Roman" w:hint="cs"/>
          <w:rtl/>
        </w:rPr>
        <w:t>اتخاذ</w:t>
      </w:r>
      <w:r w:rsidRPr="00E81E24">
        <w:rPr>
          <w:rFonts w:asciiTheme="majorBidi" w:hAnsiTheme="majorBidi" w:cs="Times New Roman"/>
          <w:rtl/>
        </w:rPr>
        <w:t xml:space="preserve"> </w:t>
      </w:r>
      <w:r w:rsidRPr="00E81E24">
        <w:rPr>
          <w:rFonts w:asciiTheme="majorBidi" w:hAnsiTheme="majorBidi" w:cs="Times New Roman" w:hint="cs"/>
          <w:rtl/>
        </w:rPr>
        <w:t>القرار</w:t>
      </w:r>
      <w:r w:rsidRPr="00E81E24">
        <w:rPr>
          <w:rFonts w:asciiTheme="majorBidi" w:hAnsiTheme="majorBidi" w:cs="Times New Roman"/>
          <w:rtl/>
        </w:rPr>
        <w:t xml:space="preserve"> </w:t>
      </w:r>
      <w:r w:rsidRPr="00E81E24">
        <w:rPr>
          <w:rFonts w:asciiTheme="majorBidi" w:hAnsiTheme="majorBidi" w:cs="Times New Roman" w:hint="cs"/>
          <w:rtl/>
        </w:rPr>
        <w:t>والمراقبة</w:t>
      </w:r>
      <w:r w:rsidRPr="00E81E24">
        <w:rPr>
          <w:rFonts w:asciiTheme="majorBidi" w:hAnsiTheme="majorBidi" w:cstheme="majorBidi"/>
        </w:rPr>
        <w:t>.</w:t>
      </w:r>
    </w:p>
    <w:p w14:paraId="2979B3DD" w14:textId="7E9C0ED1" w:rsidR="00E81E24" w:rsidRPr="00E81E24" w:rsidRDefault="00E81E24" w:rsidP="00AE3850">
      <w:pPr>
        <w:bidi/>
        <w:spacing w:line="360" w:lineRule="auto"/>
        <w:ind w:firstLine="720"/>
        <w:jc w:val="both"/>
        <w:rPr>
          <w:rFonts w:asciiTheme="majorBidi" w:hAnsiTheme="majorBidi" w:cstheme="majorBidi"/>
        </w:rPr>
      </w:pPr>
      <w:r w:rsidRPr="00E81E24">
        <w:rPr>
          <w:rFonts w:asciiTheme="majorBidi" w:hAnsiTheme="majorBidi" w:cs="Times New Roman" w:hint="cs"/>
          <w:rtl/>
        </w:rPr>
        <w:t>أما</w:t>
      </w:r>
      <w:r w:rsidRPr="00E81E24">
        <w:rPr>
          <w:rFonts w:asciiTheme="majorBidi" w:hAnsiTheme="majorBidi" w:cs="Times New Roman"/>
          <w:rtl/>
        </w:rPr>
        <w:t xml:space="preserve"> </w:t>
      </w:r>
      <w:r w:rsidRPr="00E81E24">
        <w:rPr>
          <w:rFonts w:asciiTheme="majorBidi" w:hAnsiTheme="majorBidi" w:cs="Times New Roman" w:hint="cs"/>
          <w:rtl/>
        </w:rPr>
        <w:t>الفصل</w:t>
      </w:r>
      <w:r w:rsidRPr="00E81E24">
        <w:rPr>
          <w:rFonts w:asciiTheme="majorBidi" w:hAnsiTheme="majorBidi" w:cs="Times New Roman"/>
          <w:rtl/>
        </w:rPr>
        <w:t xml:space="preserve"> </w:t>
      </w:r>
      <w:r w:rsidRPr="00E81E24">
        <w:rPr>
          <w:rFonts w:asciiTheme="majorBidi" w:hAnsiTheme="majorBidi" w:cs="Times New Roman" w:hint="cs"/>
          <w:rtl/>
        </w:rPr>
        <w:t>الثاني،</w:t>
      </w:r>
      <w:r w:rsidRPr="00E81E24">
        <w:rPr>
          <w:rFonts w:asciiTheme="majorBidi" w:hAnsiTheme="majorBidi" w:cs="Times New Roman"/>
          <w:rtl/>
        </w:rPr>
        <w:t xml:space="preserve"> </w:t>
      </w:r>
      <w:r w:rsidRPr="00E81E24">
        <w:rPr>
          <w:rFonts w:asciiTheme="majorBidi" w:hAnsiTheme="majorBidi" w:cs="Times New Roman" w:hint="cs"/>
          <w:rtl/>
        </w:rPr>
        <w:t>ذو</w:t>
      </w:r>
      <w:r w:rsidRPr="00E81E24">
        <w:rPr>
          <w:rFonts w:asciiTheme="majorBidi" w:hAnsiTheme="majorBidi" w:cs="Times New Roman"/>
          <w:rtl/>
        </w:rPr>
        <w:t xml:space="preserve"> </w:t>
      </w:r>
      <w:r w:rsidRPr="00E81E24">
        <w:rPr>
          <w:rFonts w:asciiTheme="majorBidi" w:hAnsiTheme="majorBidi" w:cs="Times New Roman" w:hint="cs"/>
          <w:rtl/>
        </w:rPr>
        <w:t>الطابع</w:t>
      </w:r>
      <w:r w:rsidRPr="00E81E24">
        <w:rPr>
          <w:rFonts w:asciiTheme="majorBidi" w:hAnsiTheme="majorBidi" w:cs="Times New Roman"/>
          <w:rtl/>
        </w:rPr>
        <w:t xml:space="preserve"> </w:t>
      </w:r>
      <w:r w:rsidRPr="00E81E24">
        <w:rPr>
          <w:rFonts w:asciiTheme="majorBidi" w:hAnsiTheme="majorBidi" w:cs="Times New Roman" w:hint="cs"/>
          <w:rtl/>
        </w:rPr>
        <w:t>التطبيقي،</w:t>
      </w:r>
      <w:r w:rsidRPr="00E81E24">
        <w:rPr>
          <w:rFonts w:asciiTheme="majorBidi" w:hAnsiTheme="majorBidi" w:cs="Times New Roman"/>
          <w:rtl/>
        </w:rPr>
        <w:t xml:space="preserve"> </w:t>
      </w:r>
      <w:r w:rsidRPr="00E81E24">
        <w:rPr>
          <w:rFonts w:asciiTheme="majorBidi" w:hAnsiTheme="majorBidi" w:cs="Times New Roman" w:hint="cs"/>
          <w:rtl/>
        </w:rPr>
        <w:t>فيعرض</w:t>
      </w:r>
      <w:r w:rsidRPr="00E81E24">
        <w:rPr>
          <w:rFonts w:asciiTheme="majorBidi" w:hAnsiTheme="majorBidi" w:cs="Times New Roman"/>
          <w:rtl/>
        </w:rPr>
        <w:t xml:space="preserve"> </w:t>
      </w:r>
      <w:r w:rsidRPr="00E81E24">
        <w:rPr>
          <w:rFonts w:asciiTheme="majorBidi" w:hAnsiTheme="majorBidi" w:cs="Times New Roman" w:hint="cs"/>
          <w:rtl/>
        </w:rPr>
        <w:t>مؤسسة</w:t>
      </w:r>
      <w:r w:rsidRPr="00E81E24">
        <w:rPr>
          <w:rFonts w:asciiTheme="majorBidi" w:hAnsiTheme="majorBidi" w:cs="Times New Roman"/>
          <w:rtl/>
        </w:rPr>
        <w:t xml:space="preserve"> </w:t>
      </w:r>
      <w:r w:rsidRPr="00E81E24">
        <w:rPr>
          <w:rFonts w:asciiTheme="majorBidi" w:hAnsiTheme="majorBidi" w:cs="Times New Roman" w:hint="cs"/>
          <w:rtl/>
        </w:rPr>
        <w:t>اتصالات</w:t>
      </w:r>
      <w:r w:rsidRPr="00E81E24">
        <w:rPr>
          <w:rFonts w:asciiTheme="majorBidi" w:hAnsiTheme="majorBidi" w:cs="Times New Roman"/>
          <w:rtl/>
        </w:rPr>
        <w:t xml:space="preserve"> </w:t>
      </w:r>
      <w:r w:rsidRPr="00E81E24">
        <w:rPr>
          <w:rFonts w:asciiTheme="majorBidi" w:hAnsiTheme="majorBidi" w:cs="Times New Roman" w:hint="cs"/>
          <w:rtl/>
        </w:rPr>
        <w:t>الجزائر</w:t>
      </w:r>
      <w:r w:rsidRPr="00E81E24">
        <w:rPr>
          <w:rFonts w:asciiTheme="majorBidi" w:hAnsiTheme="majorBidi" w:cs="Times New Roman"/>
          <w:rtl/>
        </w:rPr>
        <w:t xml:space="preserve"> </w:t>
      </w:r>
      <w:r w:rsidRPr="00E81E24">
        <w:rPr>
          <w:rFonts w:asciiTheme="majorBidi" w:hAnsiTheme="majorBidi" w:cs="Times New Roman" w:hint="cs"/>
          <w:rtl/>
        </w:rPr>
        <w:t>ويركز</w:t>
      </w:r>
      <w:r w:rsidRPr="00E81E24">
        <w:rPr>
          <w:rFonts w:asciiTheme="majorBidi" w:hAnsiTheme="majorBidi" w:cs="Times New Roman"/>
          <w:rtl/>
        </w:rPr>
        <w:t xml:space="preserve"> </w:t>
      </w:r>
      <w:r w:rsidRPr="00E81E24">
        <w:rPr>
          <w:rFonts w:asciiTheme="majorBidi" w:hAnsiTheme="majorBidi" w:cs="Times New Roman" w:hint="cs"/>
          <w:rtl/>
        </w:rPr>
        <w:t>على</w:t>
      </w:r>
      <w:r w:rsidRPr="00E81E24">
        <w:rPr>
          <w:rFonts w:asciiTheme="majorBidi" w:hAnsiTheme="majorBidi" w:cs="Times New Roman"/>
          <w:rtl/>
        </w:rPr>
        <w:t xml:space="preserve"> </w:t>
      </w:r>
      <w:r w:rsidRPr="00E81E24">
        <w:rPr>
          <w:rFonts w:asciiTheme="majorBidi" w:hAnsiTheme="majorBidi" w:cs="Times New Roman" w:hint="cs"/>
          <w:rtl/>
        </w:rPr>
        <w:t>المديرية</w:t>
      </w:r>
      <w:r w:rsidRPr="00E81E24">
        <w:rPr>
          <w:rFonts w:asciiTheme="majorBidi" w:hAnsiTheme="majorBidi" w:cs="Times New Roman"/>
          <w:rtl/>
        </w:rPr>
        <w:t xml:space="preserve"> </w:t>
      </w:r>
      <w:r w:rsidRPr="00E81E24">
        <w:rPr>
          <w:rFonts w:asciiTheme="majorBidi" w:hAnsiTheme="majorBidi" w:cs="Times New Roman" w:hint="cs"/>
          <w:rtl/>
        </w:rPr>
        <w:t>العملياتية</w:t>
      </w:r>
      <w:r w:rsidRPr="00E81E24">
        <w:rPr>
          <w:rFonts w:asciiTheme="majorBidi" w:hAnsiTheme="majorBidi" w:cs="Times New Roman"/>
          <w:rtl/>
        </w:rPr>
        <w:t xml:space="preserve"> </w:t>
      </w:r>
      <w:r w:rsidRPr="00E81E24">
        <w:rPr>
          <w:rFonts w:asciiTheme="majorBidi" w:hAnsiTheme="majorBidi" w:cs="Times New Roman" w:hint="cs"/>
          <w:rtl/>
        </w:rPr>
        <w:t>لبني</w:t>
      </w:r>
      <w:r w:rsidRPr="00E81E24">
        <w:rPr>
          <w:rFonts w:asciiTheme="majorBidi" w:hAnsiTheme="majorBidi" w:cs="Times New Roman"/>
          <w:rtl/>
        </w:rPr>
        <w:t xml:space="preserve"> </w:t>
      </w:r>
      <w:r w:rsidRPr="00E81E24">
        <w:rPr>
          <w:rFonts w:asciiTheme="majorBidi" w:hAnsiTheme="majorBidi" w:cs="Times New Roman" w:hint="cs"/>
          <w:rtl/>
        </w:rPr>
        <w:t>مسوس،</w:t>
      </w:r>
      <w:r>
        <w:rPr>
          <w:rFonts w:asciiTheme="majorBidi" w:hAnsiTheme="majorBidi" w:cstheme="majorBidi"/>
        </w:rPr>
        <w:t xml:space="preserve"> </w:t>
      </w:r>
      <w:r w:rsidRPr="00E81E24">
        <w:rPr>
          <w:rFonts w:asciiTheme="majorBidi" w:hAnsiTheme="majorBidi" w:cs="Times New Roman" w:hint="cs"/>
          <w:rtl/>
        </w:rPr>
        <w:t>التي</w:t>
      </w:r>
      <w:r w:rsidRPr="00E81E24">
        <w:rPr>
          <w:rFonts w:asciiTheme="majorBidi" w:hAnsiTheme="majorBidi" w:cs="Times New Roman"/>
          <w:rtl/>
        </w:rPr>
        <w:t xml:space="preserve"> </w:t>
      </w:r>
      <w:r w:rsidRPr="00E81E24">
        <w:rPr>
          <w:rFonts w:asciiTheme="majorBidi" w:hAnsiTheme="majorBidi" w:cs="Times New Roman" w:hint="cs"/>
          <w:rtl/>
        </w:rPr>
        <w:t>كانت</w:t>
      </w:r>
      <w:r w:rsidRPr="00E81E24">
        <w:rPr>
          <w:rFonts w:asciiTheme="majorBidi" w:hAnsiTheme="majorBidi" w:cs="Times New Roman"/>
          <w:rtl/>
        </w:rPr>
        <w:t xml:space="preserve"> </w:t>
      </w:r>
      <w:r w:rsidRPr="00E81E24">
        <w:rPr>
          <w:rFonts w:asciiTheme="majorBidi" w:hAnsiTheme="majorBidi" w:cs="Times New Roman" w:hint="cs"/>
          <w:rtl/>
        </w:rPr>
        <w:t>ميداناً</w:t>
      </w:r>
      <w:r w:rsidRPr="00E81E24">
        <w:rPr>
          <w:rFonts w:asciiTheme="majorBidi" w:hAnsiTheme="majorBidi" w:cs="Times New Roman"/>
          <w:rtl/>
        </w:rPr>
        <w:t xml:space="preserve"> </w:t>
      </w:r>
      <w:r w:rsidRPr="00E81E24">
        <w:rPr>
          <w:rFonts w:asciiTheme="majorBidi" w:hAnsiTheme="majorBidi" w:cs="Times New Roman" w:hint="cs"/>
          <w:rtl/>
        </w:rPr>
        <w:t>للتدريب</w:t>
      </w:r>
      <w:r w:rsidRPr="00E81E24">
        <w:rPr>
          <w:rFonts w:asciiTheme="majorBidi" w:hAnsiTheme="majorBidi" w:cs="Times New Roman"/>
          <w:rtl/>
        </w:rPr>
        <w:t xml:space="preserve"> </w:t>
      </w:r>
      <w:r w:rsidRPr="00E81E24">
        <w:rPr>
          <w:rFonts w:asciiTheme="majorBidi" w:hAnsiTheme="majorBidi" w:cs="Times New Roman" w:hint="cs"/>
          <w:rtl/>
        </w:rPr>
        <w:t>الميداني</w:t>
      </w:r>
      <w:r w:rsidRPr="00E81E24">
        <w:rPr>
          <w:rFonts w:asciiTheme="majorBidi" w:hAnsiTheme="majorBidi" w:cs="Times New Roman"/>
          <w:rtl/>
        </w:rPr>
        <w:t xml:space="preserve">. </w:t>
      </w:r>
      <w:r w:rsidRPr="00E81E24">
        <w:rPr>
          <w:rFonts w:asciiTheme="majorBidi" w:hAnsiTheme="majorBidi" w:cs="Times New Roman" w:hint="cs"/>
          <w:rtl/>
        </w:rPr>
        <w:t>تسلط</w:t>
      </w:r>
      <w:r w:rsidRPr="00E81E24">
        <w:rPr>
          <w:rFonts w:asciiTheme="majorBidi" w:hAnsiTheme="majorBidi" w:cs="Times New Roman"/>
          <w:rtl/>
        </w:rPr>
        <w:t xml:space="preserve"> </w:t>
      </w:r>
      <w:r w:rsidRPr="00E81E24">
        <w:rPr>
          <w:rFonts w:asciiTheme="majorBidi" w:hAnsiTheme="majorBidi" w:cs="Times New Roman" w:hint="cs"/>
          <w:rtl/>
        </w:rPr>
        <w:t>الدراسة</w:t>
      </w:r>
      <w:r w:rsidRPr="00E81E24">
        <w:rPr>
          <w:rFonts w:asciiTheme="majorBidi" w:hAnsiTheme="majorBidi" w:cs="Times New Roman"/>
          <w:rtl/>
        </w:rPr>
        <w:t xml:space="preserve"> </w:t>
      </w:r>
      <w:r w:rsidRPr="00E81E24">
        <w:rPr>
          <w:rFonts w:asciiTheme="majorBidi" w:hAnsiTheme="majorBidi" w:cs="Times New Roman" w:hint="cs"/>
          <w:rtl/>
        </w:rPr>
        <w:t>الضوء</w:t>
      </w:r>
      <w:r w:rsidRPr="00E81E24">
        <w:rPr>
          <w:rFonts w:asciiTheme="majorBidi" w:hAnsiTheme="majorBidi" w:cs="Times New Roman"/>
          <w:rtl/>
        </w:rPr>
        <w:t xml:space="preserve"> </w:t>
      </w:r>
      <w:r w:rsidRPr="00E81E24">
        <w:rPr>
          <w:rFonts w:asciiTheme="majorBidi" w:hAnsiTheme="majorBidi" w:cs="Times New Roman" w:hint="cs"/>
          <w:rtl/>
        </w:rPr>
        <w:t>على</w:t>
      </w:r>
      <w:r w:rsidRPr="00E81E24">
        <w:rPr>
          <w:rFonts w:asciiTheme="majorBidi" w:hAnsiTheme="majorBidi" w:cs="Times New Roman"/>
          <w:rtl/>
        </w:rPr>
        <w:t xml:space="preserve"> </w:t>
      </w:r>
      <w:r w:rsidRPr="00E81E24">
        <w:rPr>
          <w:rFonts w:asciiTheme="majorBidi" w:hAnsiTheme="majorBidi" w:cs="Times New Roman" w:hint="cs"/>
          <w:rtl/>
        </w:rPr>
        <w:t>عملية</w:t>
      </w:r>
      <w:r w:rsidRPr="00E81E24">
        <w:rPr>
          <w:rFonts w:asciiTheme="majorBidi" w:hAnsiTheme="majorBidi" w:cs="Times New Roman"/>
          <w:rtl/>
        </w:rPr>
        <w:t xml:space="preserve"> </w:t>
      </w:r>
      <w:r w:rsidRPr="00E81E24">
        <w:rPr>
          <w:rFonts w:asciiTheme="majorBidi" w:hAnsiTheme="majorBidi" w:cs="Times New Roman" w:hint="cs"/>
          <w:rtl/>
        </w:rPr>
        <w:t>إعداد</w:t>
      </w:r>
      <w:r w:rsidRPr="00E81E24">
        <w:rPr>
          <w:rFonts w:asciiTheme="majorBidi" w:hAnsiTheme="majorBidi" w:cs="Times New Roman"/>
          <w:rtl/>
        </w:rPr>
        <w:t xml:space="preserve"> </w:t>
      </w:r>
      <w:r w:rsidRPr="00E81E24">
        <w:rPr>
          <w:rFonts w:asciiTheme="majorBidi" w:hAnsiTheme="majorBidi" w:cs="Times New Roman" w:hint="cs"/>
          <w:rtl/>
        </w:rPr>
        <w:t>وتنفيذ</w:t>
      </w:r>
      <w:r w:rsidRPr="00E81E24">
        <w:rPr>
          <w:rFonts w:asciiTheme="majorBidi" w:hAnsiTheme="majorBidi" w:cs="Times New Roman"/>
          <w:rtl/>
        </w:rPr>
        <w:t xml:space="preserve"> </w:t>
      </w:r>
      <w:r w:rsidRPr="00E81E24">
        <w:rPr>
          <w:rFonts w:asciiTheme="majorBidi" w:hAnsiTheme="majorBidi" w:cs="Times New Roman" w:hint="cs"/>
          <w:rtl/>
        </w:rPr>
        <w:t>ومراقبة</w:t>
      </w:r>
      <w:r w:rsidRPr="00E81E24">
        <w:rPr>
          <w:rFonts w:asciiTheme="majorBidi" w:hAnsiTheme="majorBidi" w:cs="Times New Roman"/>
          <w:rtl/>
        </w:rPr>
        <w:t xml:space="preserve"> </w:t>
      </w:r>
      <w:r w:rsidRPr="00E81E24">
        <w:rPr>
          <w:rFonts w:asciiTheme="majorBidi" w:hAnsiTheme="majorBidi" w:cs="Times New Roman" w:hint="cs"/>
          <w:rtl/>
        </w:rPr>
        <w:t>الميزانية،</w:t>
      </w:r>
      <w:r w:rsidRPr="00E81E24">
        <w:rPr>
          <w:rFonts w:asciiTheme="majorBidi" w:hAnsiTheme="majorBidi" w:cs="Times New Roman"/>
          <w:rtl/>
        </w:rPr>
        <w:t xml:space="preserve"> </w:t>
      </w:r>
      <w:r w:rsidRPr="00E81E24">
        <w:rPr>
          <w:rFonts w:asciiTheme="majorBidi" w:hAnsiTheme="majorBidi" w:cs="Times New Roman" w:hint="cs"/>
          <w:rtl/>
        </w:rPr>
        <w:t>التي</w:t>
      </w:r>
      <w:r w:rsidRPr="00E81E24">
        <w:rPr>
          <w:rFonts w:asciiTheme="majorBidi" w:hAnsiTheme="majorBidi" w:cs="Times New Roman"/>
          <w:rtl/>
        </w:rPr>
        <w:t xml:space="preserve"> </w:t>
      </w:r>
      <w:r w:rsidRPr="00E81E24">
        <w:rPr>
          <w:rFonts w:asciiTheme="majorBidi" w:hAnsiTheme="majorBidi" w:cs="Times New Roman" w:hint="cs"/>
          <w:rtl/>
        </w:rPr>
        <w:t>تمر</w:t>
      </w:r>
      <w:r w:rsidRPr="00E81E24">
        <w:rPr>
          <w:rFonts w:asciiTheme="majorBidi" w:hAnsiTheme="majorBidi" w:cs="Times New Roman"/>
          <w:rtl/>
        </w:rPr>
        <w:t xml:space="preserve"> </w:t>
      </w:r>
      <w:r w:rsidRPr="00E81E24">
        <w:rPr>
          <w:rFonts w:asciiTheme="majorBidi" w:hAnsiTheme="majorBidi" w:cs="Times New Roman" w:hint="cs"/>
          <w:rtl/>
        </w:rPr>
        <w:t>بثلاث</w:t>
      </w:r>
      <w:r>
        <w:rPr>
          <w:rFonts w:asciiTheme="majorBidi" w:hAnsiTheme="majorBidi" w:cstheme="majorBidi"/>
        </w:rPr>
        <w:t xml:space="preserve"> </w:t>
      </w:r>
      <w:r w:rsidRPr="00E81E24">
        <w:rPr>
          <w:rFonts w:asciiTheme="majorBidi" w:hAnsiTheme="majorBidi" w:cs="Times New Roman" w:hint="cs"/>
          <w:rtl/>
        </w:rPr>
        <w:t>مراحل</w:t>
      </w:r>
      <w:r w:rsidRPr="00E81E24">
        <w:rPr>
          <w:rFonts w:asciiTheme="majorBidi" w:hAnsiTheme="majorBidi" w:cs="Times New Roman"/>
          <w:rtl/>
        </w:rPr>
        <w:t xml:space="preserve"> </w:t>
      </w:r>
      <w:r w:rsidRPr="00E81E24">
        <w:rPr>
          <w:rFonts w:asciiTheme="majorBidi" w:hAnsiTheme="majorBidi" w:cs="Times New Roman" w:hint="cs"/>
          <w:rtl/>
        </w:rPr>
        <w:t>رئيسية</w:t>
      </w:r>
      <w:r w:rsidRPr="00E81E24">
        <w:rPr>
          <w:rFonts w:asciiTheme="majorBidi" w:hAnsiTheme="majorBidi" w:cs="Times New Roman"/>
          <w:rtl/>
        </w:rPr>
        <w:t xml:space="preserve">: </w:t>
      </w:r>
      <w:r w:rsidRPr="00E81E24">
        <w:rPr>
          <w:rFonts w:asciiTheme="majorBidi" w:hAnsiTheme="majorBidi" w:cs="Times New Roman" w:hint="cs"/>
          <w:rtl/>
        </w:rPr>
        <w:t>الإعداد،</w:t>
      </w:r>
      <w:r w:rsidRPr="00E81E24">
        <w:rPr>
          <w:rFonts w:asciiTheme="majorBidi" w:hAnsiTheme="majorBidi" w:cs="Times New Roman"/>
          <w:rtl/>
        </w:rPr>
        <w:t xml:space="preserve"> </w:t>
      </w:r>
      <w:r w:rsidRPr="00E81E24">
        <w:rPr>
          <w:rFonts w:asciiTheme="majorBidi" w:hAnsiTheme="majorBidi" w:cs="Times New Roman" w:hint="cs"/>
          <w:rtl/>
        </w:rPr>
        <w:t>التنفيذ،</w:t>
      </w:r>
      <w:r w:rsidRPr="00E81E24">
        <w:rPr>
          <w:rFonts w:asciiTheme="majorBidi" w:hAnsiTheme="majorBidi" w:cs="Times New Roman"/>
          <w:rtl/>
        </w:rPr>
        <w:t xml:space="preserve"> </w:t>
      </w:r>
      <w:r w:rsidRPr="00E81E24">
        <w:rPr>
          <w:rFonts w:asciiTheme="majorBidi" w:hAnsiTheme="majorBidi" w:cs="Times New Roman" w:hint="cs"/>
          <w:rtl/>
        </w:rPr>
        <w:t>والمراقبة</w:t>
      </w:r>
      <w:r w:rsidRPr="00E81E24">
        <w:rPr>
          <w:rFonts w:asciiTheme="majorBidi" w:hAnsiTheme="majorBidi" w:cs="Times New Roman"/>
          <w:rtl/>
        </w:rPr>
        <w:t xml:space="preserve">. </w:t>
      </w:r>
      <w:r w:rsidRPr="00E81E24">
        <w:rPr>
          <w:rFonts w:asciiTheme="majorBidi" w:hAnsiTheme="majorBidi" w:cs="Times New Roman" w:hint="cs"/>
          <w:rtl/>
        </w:rPr>
        <w:t>كما</w:t>
      </w:r>
      <w:r w:rsidRPr="00E81E24">
        <w:rPr>
          <w:rFonts w:asciiTheme="majorBidi" w:hAnsiTheme="majorBidi" w:cs="Times New Roman"/>
          <w:rtl/>
        </w:rPr>
        <w:t xml:space="preserve"> </w:t>
      </w:r>
      <w:r w:rsidRPr="00E81E24">
        <w:rPr>
          <w:rFonts w:asciiTheme="majorBidi" w:hAnsiTheme="majorBidi" w:cs="Times New Roman" w:hint="cs"/>
          <w:rtl/>
        </w:rPr>
        <w:t>أن</w:t>
      </w:r>
      <w:r w:rsidRPr="00E81E24">
        <w:rPr>
          <w:rFonts w:asciiTheme="majorBidi" w:hAnsiTheme="majorBidi" w:cs="Times New Roman"/>
          <w:rtl/>
        </w:rPr>
        <w:t xml:space="preserve"> </w:t>
      </w:r>
      <w:r w:rsidRPr="00E81E24">
        <w:rPr>
          <w:rFonts w:asciiTheme="majorBidi" w:hAnsiTheme="majorBidi" w:cs="Times New Roman" w:hint="cs"/>
          <w:rtl/>
        </w:rPr>
        <w:t>نظام</w:t>
      </w:r>
      <w:r w:rsidRPr="00E81E24">
        <w:rPr>
          <w:rFonts w:asciiTheme="majorBidi" w:hAnsiTheme="majorBidi" w:cs="Times New Roman"/>
          <w:rtl/>
        </w:rPr>
        <w:t xml:space="preserve"> </w:t>
      </w:r>
      <w:r w:rsidRPr="00E81E24">
        <w:rPr>
          <w:rFonts w:asciiTheme="majorBidi" w:hAnsiTheme="majorBidi" w:cs="Times New Roman" w:hint="cs"/>
          <w:rtl/>
        </w:rPr>
        <w:t>المعلومات</w:t>
      </w:r>
      <w:r w:rsidR="00A8098A">
        <w:rPr>
          <w:rFonts w:asciiTheme="majorBidi" w:hAnsiTheme="majorBidi" w:cstheme="majorBidi" w:hint="cs"/>
          <w:rtl/>
        </w:rPr>
        <w:t xml:space="preserve"> "</w:t>
      </w:r>
      <w:r w:rsidRPr="00E81E24">
        <w:rPr>
          <w:rFonts w:asciiTheme="majorBidi" w:hAnsiTheme="majorBidi" w:cs="Times New Roman" w:hint="cs"/>
          <w:rtl/>
        </w:rPr>
        <w:t>أوراكل</w:t>
      </w:r>
      <w:r w:rsidR="00A8098A">
        <w:rPr>
          <w:rFonts w:asciiTheme="majorBidi" w:hAnsiTheme="majorBidi" w:cs="Times New Roman" w:hint="cs"/>
          <w:rtl/>
        </w:rPr>
        <w:t>"</w:t>
      </w:r>
      <w:r w:rsidRPr="00E81E24">
        <w:rPr>
          <w:rFonts w:asciiTheme="majorBidi" w:hAnsiTheme="majorBidi" w:cstheme="majorBidi"/>
        </w:rPr>
        <w:t xml:space="preserve"> </w:t>
      </w:r>
      <w:r w:rsidRPr="00E81E24">
        <w:rPr>
          <w:rFonts w:asciiTheme="majorBidi" w:hAnsiTheme="majorBidi" w:cs="Times New Roman" w:hint="cs"/>
          <w:rtl/>
        </w:rPr>
        <w:t>يلعب</w:t>
      </w:r>
      <w:r w:rsidRPr="00E81E24">
        <w:rPr>
          <w:rFonts w:asciiTheme="majorBidi" w:hAnsiTheme="majorBidi" w:cs="Times New Roman"/>
          <w:rtl/>
        </w:rPr>
        <w:t xml:space="preserve"> </w:t>
      </w:r>
      <w:r w:rsidRPr="00E81E24">
        <w:rPr>
          <w:rFonts w:asciiTheme="majorBidi" w:hAnsiTheme="majorBidi" w:cs="Times New Roman" w:hint="cs"/>
          <w:rtl/>
        </w:rPr>
        <w:t>دوراً</w:t>
      </w:r>
      <w:r w:rsidRPr="00E81E24">
        <w:rPr>
          <w:rFonts w:asciiTheme="majorBidi" w:hAnsiTheme="majorBidi" w:cs="Times New Roman"/>
          <w:rtl/>
        </w:rPr>
        <w:t xml:space="preserve"> </w:t>
      </w:r>
      <w:r w:rsidRPr="00E81E24">
        <w:rPr>
          <w:rFonts w:asciiTheme="majorBidi" w:hAnsiTheme="majorBidi" w:cs="Times New Roman" w:hint="cs"/>
          <w:rtl/>
        </w:rPr>
        <w:t>مركزياً</w:t>
      </w:r>
      <w:r w:rsidRPr="00E81E24">
        <w:rPr>
          <w:rFonts w:asciiTheme="majorBidi" w:hAnsiTheme="majorBidi" w:cs="Times New Roman"/>
          <w:rtl/>
        </w:rPr>
        <w:t xml:space="preserve"> </w:t>
      </w:r>
      <w:r w:rsidRPr="00E81E24">
        <w:rPr>
          <w:rFonts w:asciiTheme="majorBidi" w:hAnsiTheme="majorBidi" w:cs="Times New Roman" w:hint="cs"/>
          <w:rtl/>
        </w:rPr>
        <w:t>في</w:t>
      </w:r>
      <w:r w:rsidRPr="00E81E24">
        <w:rPr>
          <w:rFonts w:asciiTheme="majorBidi" w:hAnsiTheme="majorBidi" w:cs="Times New Roman"/>
          <w:rtl/>
        </w:rPr>
        <w:t xml:space="preserve"> </w:t>
      </w:r>
      <w:r w:rsidRPr="00E81E24">
        <w:rPr>
          <w:rFonts w:asciiTheme="majorBidi" w:hAnsiTheme="majorBidi" w:cs="Times New Roman" w:hint="cs"/>
          <w:rtl/>
        </w:rPr>
        <w:t>ضمان</w:t>
      </w:r>
      <w:r w:rsidRPr="00E81E24">
        <w:rPr>
          <w:rFonts w:asciiTheme="majorBidi" w:hAnsiTheme="majorBidi" w:cs="Times New Roman"/>
          <w:rtl/>
        </w:rPr>
        <w:t xml:space="preserve"> </w:t>
      </w:r>
      <w:r w:rsidRPr="00E81E24">
        <w:rPr>
          <w:rFonts w:asciiTheme="majorBidi" w:hAnsiTheme="majorBidi" w:cs="Times New Roman" w:hint="cs"/>
          <w:rtl/>
        </w:rPr>
        <w:t>تتبع</w:t>
      </w:r>
      <w:r w:rsidRPr="00E81E24">
        <w:rPr>
          <w:rFonts w:asciiTheme="majorBidi" w:hAnsiTheme="majorBidi" w:cs="Times New Roman"/>
          <w:rtl/>
        </w:rPr>
        <w:t xml:space="preserve"> </w:t>
      </w:r>
      <w:r w:rsidRPr="00E81E24">
        <w:rPr>
          <w:rFonts w:asciiTheme="majorBidi" w:hAnsiTheme="majorBidi" w:cs="Times New Roman" w:hint="cs"/>
          <w:rtl/>
        </w:rPr>
        <w:t>العمليات</w:t>
      </w:r>
      <w:r>
        <w:rPr>
          <w:rFonts w:asciiTheme="majorBidi" w:hAnsiTheme="majorBidi" w:cstheme="majorBidi"/>
        </w:rPr>
        <w:t xml:space="preserve"> </w:t>
      </w:r>
      <w:r w:rsidRPr="00E81E24">
        <w:rPr>
          <w:rFonts w:asciiTheme="majorBidi" w:hAnsiTheme="majorBidi" w:cs="Times New Roman" w:hint="cs"/>
          <w:rtl/>
        </w:rPr>
        <w:t>المالية</w:t>
      </w:r>
      <w:r w:rsidRPr="00E81E24">
        <w:rPr>
          <w:rFonts w:asciiTheme="majorBidi" w:hAnsiTheme="majorBidi" w:cs="Times New Roman"/>
          <w:rtl/>
        </w:rPr>
        <w:t xml:space="preserve"> </w:t>
      </w:r>
      <w:r w:rsidRPr="00E81E24">
        <w:rPr>
          <w:rFonts w:asciiTheme="majorBidi" w:hAnsiTheme="majorBidi" w:cs="Times New Roman" w:hint="cs"/>
          <w:rtl/>
        </w:rPr>
        <w:t>بدقة</w:t>
      </w:r>
      <w:r w:rsidRPr="00E81E24">
        <w:rPr>
          <w:rFonts w:asciiTheme="majorBidi" w:hAnsiTheme="majorBidi" w:cs="Times New Roman"/>
          <w:rtl/>
        </w:rPr>
        <w:t xml:space="preserve"> </w:t>
      </w:r>
      <w:r w:rsidRPr="00E81E24">
        <w:rPr>
          <w:rFonts w:asciiTheme="majorBidi" w:hAnsiTheme="majorBidi" w:cs="Times New Roman" w:hint="cs"/>
          <w:rtl/>
        </w:rPr>
        <w:t>وشفافية</w:t>
      </w:r>
      <w:r w:rsidRPr="00E81E24">
        <w:rPr>
          <w:rFonts w:asciiTheme="majorBidi" w:hAnsiTheme="majorBidi" w:cs="Times New Roman"/>
          <w:rtl/>
        </w:rPr>
        <w:t xml:space="preserve">. </w:t>
      </w:r>
      <w:r w:rsidRPr="00E81E24">
        <w:rPr>
          <w:rFonts w:asciiTheme="majorBidi" w:hAnsiTheme="majorBidi" w:cs="Times New Roman" w:hint="cs"/>
          <w:rtl/>
        </w:rPr>
        <w:t>وقد</w:t>
      </w:r>
      <w:r w:rsidRPr="00E81E24">
        <w:rPr>
          <w:rFonts w:asciiTheme="majorBidi" w:hAnsiTheme="majorBidi" w:cs="Times New Roman"/>
          <w:rtl/>
        </w:rPr>
        <w:t xml:space="preserve"> </w:t>
      </w:r>
      <w:r w:rsidRPr="00E81E24">
        <w:rPr>
          <w:rFonts w:asciiTheme="majorBidi" w:hAnsiTheme="majorBidi" w:cs="Times New Roman" w:hint="cs"/>
          <w:rtl/>
        </w:rPr>
        <w:t>أظهرت</w:t>
      </w:r>
      <w:r w:rsidRPr="00E81E24">
        <w:rPr>
          <w:rFonts w:asciiTheme="majorBidi" w:hAnsiTheme="majorBidi" w:cs="Times New Roman"/>
          <w:rtl/>
        </w:rPr>
        <w:t xml:space="preserve"> </w:t>
      </w:r>
      <w:r w:rsidRPr="00E81E24">
        <w:rPr>
          <w:rFonts w:asciiTheme="majorBidi" w:hAnsiTheme="majorBidi" w:cs="Times New Roman" w:hint="cs"/>
          <w:rtl/>
        </w:rPr>
        <w:t>دراسة</w:t>
      </w:r>
      <w:r w:rsidRPr="00E81E24">
        <w:rPr>
          <w:rFonts w:asciiTheme="majorBidi" w:hAnsiTheme="majorBidi" w:cs="Times New Roman"/>
          <w:rtl/>
        </w:rPr>
        <w:t xml:space="preserve"> </w:t>
      </w:r>
      <w:r w:rsidRPr="00E81E24">
        <w:rPr>
          <w:rFonts w:asciiTheme="majorBidi" w:hAnsiTheme="majorBidi" w:cs="Times New Roman" w:hint="cs"/>
          <w:rtl/>
        </w:rPr>
        <w:t>ميزانية</w:t>
      </w:r>
      <w:r w:rsidRPr="00E81E24">
        <w:rPr>
          <w:rFonts w:asciiTheme="majorBidi" w:hAnsiTheme="majorBidi" w:cs="Times New Roman"/>
          <w:rtl/>
        </w:rPr>
        <w:t xml:space="preserve"> </w:t>
      </w:r>
      <w:r w:rsidRPr="00E81E24">
        <w:rPr>
          <w:rFonts w:asciiTheme="majorBidi" w:hAnsiTheme="majorBidi" w:cs="Times New Roman" w:hint="cs"/>
          <w:rtl/>
        </w:rPr>
        <w:t>سنة</w:t>
      </w:r>
      <w:r w:rsidRPr="00E81E24">
        <w:rPr>
          <w:rFonts w:asciiTheme="majorBidi" w:hAnsiTheme="majorBidi" w:cs="Times New Roman"/>
          <w:rtl/>
        </w:rPr>
        <w:t xml:space="preserve"> 2023 </w:t>
      </w:r>
      <w:r w:rsidRPr="00E81E24">
        <w:rPr>
          <w:rFonts w:asciiTheme="majorBidi" w:hAnsiTheme="majorBidi" w:cs="Times New Roman" w:hint="cs"/>
          <w:rtl/>
        </w:rPr>
        <w:t>وجود</w:t>
      </w:r>
      <w:r w:rsidRPr="00E81E24">
        <w:rPr>
          <w:rFonts w:asciiTheme="majorBidi" w:hAnsiTheme="majorBidi" w:cs="Times New Roman"/>
          <w:rtl/>
        </w:rPr>
        <w:t xml:space="preserve"> </w:t>
      </w:r>
      <w:r w:rsidRPr="00E81E24">
        <w:rPr>
          <w:rFonts w:asciiTheme="majorBidi" w:hAnsiTheme="majorBidi" w:cs="Times New Roman" w:hint="cs"/>
          <w:rtl/>
        </w:rPr>
        <w:t>فروقات</w:t>
      </w:r>
      <w:r w:rsidRPr="00E81E24">
        <w:rPr>
          <w:rFonts w:asciiTheme="majorBidi" w:hAnsiTheme="majorBidi" w:cs="Times New Roman"/>
          <w:rtl/>
        </w:rPr>
        <w:t xml:space="preserve"> </w:t>
      </w:r>
      <w:r w:rsidRPr="00E81E24">
        <w:rPr>
          <w:rFonts w:asciiTheme="majorBidi" w:hAnsiTheme="majorBidi" w:cs="Times New Roman" w:hint="cs"/>
          <w:rtl/>
        </w:rPr>
        <w:t>كبيرة</w:t>
      </w:r>
      <w:r w:rsidRPr="00E81E24">
        <w:rPr>
          <w:rFonts w:asciiTheme="majorBidi" w:hAnsiTheme="majorBidi" w:cs="Times New Roman"/>
          <w:rtl/>
        </w:rPr>
        <w:t xml:space="preserve"> </w:t>
      </w:r>
      <w:r w:rsidRPr="00E81E24">
        <w:rPr>
          <w:rFonts w:asciiTheme="majorBidi" w:hAnsiTheme="majorBidi" w:cs="Times New Roman" w:hint="cs"/>
          <w:rtl/>
        </w:rPr>
        <w:t>بين</w:t>
      </w:r>
      <w:r w:rsidRPr="00E81E24">
        <w:rPr>
          <w:rFonts w:asciiTheme="majorBidi" w:hAnsiTheme="majorBidi" w:cs="Times New Roman"/>
          <w:rtl/>
        </w:rPr>
        <w:t xml:space="preserve"> </w:t>
      </w:r>
      <w:r w:rsidRPr="00E81E24">
        <w:rPr>
          <w:rFonts w:asciiTheme="majorBidi" w:hAnsiTheme="majorBidi" w:cs="Times New Roman" w:hint="cs"/>
          <w:rtl/>
        </w:rPr>
        <w:t>التقديرات</w:t>
      </w:r>
      <w:r w:rsidRPr="00E81E24">
        <w:rPr>
          <w:rFonts w:asciiTheme="majorBidi" w:hAnsiTheme="majorBidi" w:cs="Times New Roman"/>
          <w:rtl/>
        </w:rPr>
        <w:t xml:space="preserve"> </w:t>
      </w:r>
      <w:r w:rsidRPr="00E81E24">
        <w:rPr>
          <w:rFonts w:asciiTheme="majorBidi" w:hAnsiTheme="majorBidi" w:cs="Times New Roman" w:hint="cs"/>
          <w:rtl/>
        </w:rPr>
        <w:t>والتنفيذ</w:t>
      </w:r>
      <w:r w:rsidRPr="00E81E24">
        <w:rPr>
          <w:rFonts w:asciiTheme="majorBidi" w:hAnsiTheme="majorBidi" w:cs="Times New Roman"/>
          <w:rtl/>
        </w:rPr>
        <w:t xml:space="preserve"> </w:t>
      </w:r>
      <w:r w:rsidRPr="00E81E24">
        <w:rPr>
          <w:rFonts w:asciiTheme="majorBidi" w:hAnsiTheme="majorBidi" w:cs="Times New Roman" w:hint="cs"/>
          <w:rtl/>
        </w:rPr>
        <w:t>الفعلي،</w:t>
      </w:r>
      <w:r w:rsidRPr="00E81E24">
        <w:rPr>
          <w:rFonts w:asciiTheme="majorBidi" w:hAnsiTheme="majorBidi" w:cs="Times New Roman"/>
          <w:rtl/>
        </w:rPr>
        <w:t xml:space="preserve"> </w:t>
      </w:r>
      <w:r w:rsidRPr="00E81E24">
        <w:rPr>
          <w:rFonts w:asciiTheme="majorBidi" w:hAnsiTheme="majorBidi" w:cs="Times New Roman" w:hint="cs"/>
          <w:rtl/>
        </w:rPr>
        <w:t>خاصة</w:t>
      </w:r>
      <w:r>
        <w:rPr>
          <w:rFonts w:asciiTheme="majorBidi" w:hAnsiTheme="majorBidi" w:cstheme="majorBidi"/>
        </w:rPr>
        <w:t xml:space="preserve"> </w:t>
      </w:r>
      <w:r w:rsidRPr="00E81E24">
        <w:rPr>
          <w:rFonts w:asciiTheme="majorBidi" w:hAnsiTheme="majorBidi" w:cs="Times New Roman" w:hint="cs"/>
          <w:rtl/>
        </w:rPr>
        <w:t>على</w:t>
      </w:r>
      <w:r w:rsidRPr="00E81E24">
        <w:rPr>
          <w:rFonts w:asciiTheme="majorBidi" w:hAnsiTheme="majorBidi" w:cs="Times New Roman"/>
          <w:rtl/>
        </w:rPr>
        <w:t xml:space="preserve"> </w:t>
      </w:r>
      <w:r w:rsidRPr="00E81E24">
        <w:rPr>
          <w:rFonts w:asciiTheme="majorBidi" w:hAnsiTheme="majorBidi" w:cs="Times New Roman" w:hint="cs"/>
          <w:rtl/>
        </w:rPr>
        <w:t>مستوى</w:t>
      </w:r>
      <w:r w:rsidRPr="00E81E24">
        <w:rPr>
          <w:rFonts w:asciiTheme="majorBidi" w:hAnsiTheme="majorBidi" w:cs="Times New Roman"/>
          <w:rtl/>
        </w:rPr>
        <w:t xml:space="preserve"> </w:t>
      </w:r>
      <w:r w:rsidRPr="00E81E24">
        <w:rPr>
          <w:rFonts w:asciiTheme="majorBidi" w:hAnsiTheme="majorBidi" w:cs="Times New Roman" w:hint="cs"/>
          <w:rtl/>
        </w:rPr>
        <w:t>الخدمات</w:t>
      </w:r>
      <w:r w:rsidRPr="00E81E24">
        <w:rPr>
          <w:rFonts w:asciiTheme="majorBidi" w:hAnsiTheme="majorBidi" w:cs="Times New Roman"/>
          <w:rtl/>
        </w:rPr>
        <w:t xml:space="preserve"> </w:t>
      </w:r>
      <w:r w:rsidRPr="00E81E24">
        <w:rPr>
          <w:rFonts w:asciiTheme="majorBidi" w:hAnsiTheme="majorBidi" w:cs="Times New Roman" w:hint="cs"/>
          <w:rtl/>
        </w:rPr>
        <w:t>الخارجية</w:t>
      </w:r>
      <w:r w:rsidRPr="00E81E24">
        <w:rPr>
          <w:rFonts w:asciiTheme="majorBidi" w:hAnsiTheme="majorBidi" w:cs="Times New Roman"/>
          <w:rtl/>
        </w:rPr>
        <w:t xml:space="preserve"> </w:t>
      </w:r>
      <w:r w:rsidRPr="00E81E24">
        <w:rPr>
          <w:rFonts w:asciiTheme="majorBidi" w:hAnsiTheme="majorBidi" w:cs="Times New Roman" w:hint="cs"/>
          <w:rtl/>
        </w:rPr>
        <w:t>وتكاليف</w:t>
      </w:r>
      <w:r w:rsidRPr="00E81E24">
        <w:rPr>
          <w:rFonts w:asciiTheme="majorBidi" w:hAnsiTheme="majorBidi" w:cs="Times New Roman"/>
          <w:rtl/>
        </w:rPr>
        <w:t xml:space="preserve"> </w:t>
      </w:r>
      <w:r w:rsidRPr="00E81E24">
        <w:rPr>
          <w:rFonts w:asciiTheme="majorBidi" w:hAnsiTheme="majorBidi" w:cs="Times New Roman" w:hint="cs"/>
          <w:rtl/>
        </w:rPr>
        <w:t>المستخدمين،</w:t>
      </w:r>
      <w:r w:rsidRPr="00E81E24">
        <w:rPr>
          <w:rFonts w:asciiTheme="majorBidi" w:hAnsiTheme="majorBidi" w:cs="Times New Roman"/>
          <w:rtl/>
        </w:rPr>
        <w:t xml:space="preserve"> </w:t>
      </w:r>
      <w:r w:rsidRPr="00E81E24">
        <w:rPr>
          <w:rFonts w:asciiTheme="majorBidi" w:hAnsiTheme="majorBidi" w:cs="Times New Roman" w:hint="cs"/>
          <w:rtl/>
        </w:rPr>
        <w:t>ما</w:t>
      </w:r>
      <w:r w:rsidRPr="00E81E24">
        <w:rPr>
          <w:rFonts w:asciiTheme="majorBidi" w:hAnsiTheme="majorBidi" w:cs="Times New Roman"/>
          <w:rtl/>
        </w:rPr>
        <w:t xml:space="preserve"> </w:t>
      </w:r>
      <w:r w:rsidRPr="00E81E24">
        <w:rPr>
          <w:rFonts w:asciiTheme="majorBidi" w:hAnsiTheme="majorBidi" w:cs="Times New Roman" w:hint="cs"/>
          <w:rtl/>
        </w:rPr>
        <w:t>يعكس</w:t>
      </w:r>
      <w:r w:rsidRPr="00E81E24">
        <w:rPr>
          <w:rFonts w:asciiTheme="majorBidi" w:hAnsiTheme="majorBidi" w:cs="Times New Roman"/>
          <w:rtl/>
        </w:rPr>
        <w:t xml:space="preserve"> </w:t>
      </w:r>
      <w:r w:rsidRPr="00E81E24">
        <w:rPr>
          <w:rFonts w:asciiTheme="majorBidi" w:hAnsiTheme="majorBidi" w:cs="Times New Roman" w:hint="cs"/>
          <w:rtl/>
        </w:rPr>
        <w:t>صعوبة</w:t>
      </w:r>
      <w:r w:rsidRPr="00E81E24">
        <w:rPr>
          <w:rFonts w:asciiTheme="majorBidi" w:hAnsiTheme="majorBidi" w:cs="Times New Roman"/>
          <w:rtl/>
        </w:rPr>
        <w:t xml:space="preserve"> </w:t>
      </w:r>
      <w:r w:rsidRPr="00E81E24">
        <w:rPr>
          <w:rFonts w:asciiTheme="majorBidi" w:hAnsiTheme="majorBidi" w:cs="Times New Roman" w:hint="cs"/>
          <w:rtl/>
        </w:rPr>
        <w:t>التخطيط</w:t>
      </w:r>
      <w:r w:rsidRPr="00E81E24">
        <w:rPr>
          <w:rFonts w:asciiTheme="majorBidi" w:hAnsiTheme="majorBidi" w:cs="Times New Roman"/>
          <w:rtl/>
        </w:rPr>
        <w:t xml:space="preserve"> </w:t>
      </w:r>
      <w:r w:rsidRPr="00E81E24">
        <w:rPr>
          <w:rFonts w:asciiTheme="majorBidi" w:hAnsiTheme="majorBidi" w:cs="Times New Roman" w:hint="cs"/>
          <w:rtl/>
        </w:rPr>
        <w:t>المالي</w:t>
      </w:r>
      <w:r w:rsidRPr="00E81E24">
        <w:rPr>
          <w:rFonts w:asciiTheme="majorBidi" w:hAnsiTheme="majorBidi" w:cs="Times New Roman"/>
          <w:rtl/>
        </w:rPr>
        <w:t xml:space="preserve"> </w:t>
      </w:r>
      <w:r w:rsidRPr="00E81E24">
        <w:rPr>
          <w:rFonts w:asciiTheme="majorBidi" w:hAnsiTheme="majorBidi" w:cs="Times New Roman" w:hint="cs"/>
          <w:rtl/>
        </w:rPr>
        <w:t>وضرورة</w:t>
      </w:r>
      <w:r w:rsidRPr="00E81E24">
        <w:rPr>
          <w:rFonts w:asciiTheme="majorBidi" w:hAnsiTheme="majorBidi" w:cs="Times New Roman"/>
          <w:rtl/>
        </w:rPr>
        <w:t xml:space="preserve"> </w:t>
      </w:r>
      <w:r w:rsidRPr="00E81E24">
        <w:rPr>
          <w:rFonts w:asciiTheme="majorBidi" w:hAnsiTheme="majorBidi" w:cs="Times New Roman" w:hint="cs"/>
          <w:rtl/>
        </w:rPr>
        <w:t>المتابعة</w:t>
      </w:r>
      <w:r w:rsidRPr="00E81E24">
        <w:rPr>
          <w:rFonts w:asciiTheme="majorBidi" w:hAnsiTheme="majorBidi" w:cs="Times New Roman"/>
          <w:rtl/>
        </w:rPr>
        <w:t xml:space="preserve"> </w:t>
      </w:r>
      <w:r w:rsidRPr="00E81E24">
        <w:rPr>
          <w:rFonts w:asciiTheme="majorBidi" w:hAnsiTheme="majorBidi" w:cs="Times New Roman" w:hint="cs"/>
          <w:rtl/>
        </w:rPr>
        <w:t>الدقيقة</w:t>
      </w:r>
      <w:r w:rsidRPr="00E81E24">
        <w:rPr>
          <w:rFonts w:asciiTheme="majorBidi" w:hAnsiTheme="majorBidi" w:cstheme="majorBidi"/>
        </w:rPr>
        <w:t>.</w:t>
      </w:r>
    </w:p>
    <w:p w14:paraId="0308D335" w14:textId="35B3C9B7" w:rsidR="00E81E24" w:rsidRPr="00E81E24" w:rsidRDefault="00E81E24" w:rsidP="00AE3850">
      <w:pPr>
        <w:bidi/>
        <w:spacing w:line="360" w:lineRule="auto"/>
        <w:ind w:firstLine="720"/>
        <w:jc w:val="both"/>
        <w:rPr>
          <w:rFonts w:asciiTheme="majorBidi" w:hAnsiTheme="majorBidi" w:cstheme="majorBidi"/>
        </w:rPr>
      </w:pPr>
      <w:r w:rsidRPr="00E81E24">
        <w:rPr>
          <w:rFonts w:asciiTheme="majorBidi" w:hAnsiTheme="majorBidi" w:cs="Times New Roman" w:hint="cs"/>
          <w:rtl/>
        </w:rPr>
        <w:t>من</w:t>
      </w:r>
      <w:r w:rsidRPr="00E81E24">
        <w:rPr>
          <w:rFonts w:asciiTheme="majorBidi" w:hAnsiTheme="majorBidi" w:cs="Times New Roman"/>
          <w:rtl/>
        </w:rPr>
        <w:t xml:space="preserve"> </w:t>
      </w:r>
      <w:r w:rsidRPr="00E81E24">
        <w:rPr>
          <w:rFonts w:asciiTheme="majorBidi" w:hAnsiTheme="majorBidi" w:cs="Times New Roman" w:hint="cs"/>
          <w:rtl/>
        </w:rPr>
        <w:t>خلال</w:t>
      </w:r>
      <w:r w:rsidRPr="00E81E24">
        <w:rPr>
          <w:rFonts w:asciiTheme="majorBidi" w:hAnsiTheme="majorBidi" w:cs="Times New Roman"/>
          <w:rtl/>
        </w:rPr>
        <w:t xml:space="preserve"> </w:t>
      </w:r>
      <w:r w:rsidRPr="00E81E24">
        <w:rPr>
          <w:rFonts w:asciiTheme="majorBidi" w:hAnsiTheme="majorBidi" w:cs="Times New Roman" w:hint="cs"/>
          <w:rtl/>
        </w:rPr>
        <w:t>هذه</w:t>
      </w:r>
      <w:r w:rsidRPr="00E81E24">
        <w:rPr>
          <w:rFonts w:asciiTheme="majorBidi" w:hAnsiTheme="majorBidi" w:cs="Times New Roman"/>
          <w:rtl/>
        </w:rPr>
        <w:t xml:space="preserve"> </w:t>
      </w:r>
      <w:r w:rsidRPr="00E81E24">
        <w:rPr>
          <w:rFonts w:asciiTheme="majorBidi" w:hAnsiTheme="majorBidi" w:cs="Times New Roman" w:hint="cs"/>
          <w:rtl/>
        </w:rPr>
        <w:t>الدراسة</w:t>
      </w:r>
      <w:r w:rsidRPr="00E81E24">
        <w:rPr>
          <w:rFonts w:asciiTheme="majorBidi" w:hAnsiTheme="majorBidi" w:cs="Times New Roman"/>
          <w:rtl/>
        </w:rPr>
        <w:t xml:space="preserve"> </w:t>
      </w:r>
      <w:r w:rsidRPr="00E81E24">
        <w:rPr>
          <w:rFonts w:asciiTheme="majorBidi" w:hAnsiTheme="majorBidi" w:cs="Times New Roman" w:hint="cs"/>
          <w:rtl/>
        </w:rPr>
        <w:t>التطبيقية،</w:t>
      </w:r>
      <w:r w:rsidRPr="00E81E24">
        <w:rPr>
          <w:rFonts w:asciiTheme="majorBidi" w:hAnsiTheme="majorBidi" w:cs="Times New Roman"/>
          <w:rtl/>
        </w:rPr>
        <w:t xml:space="preserve"> </w:t>
      </w:r>
      <w:r w:rsidRPr="00E81E24">
        <w:rPr>
          <w:rFonts w:asciiTheme="majorBidi" w:hAnsiTheme="majorBidi" w:cs="Times New Roman" w:hint="cs"/>
          <w:rtl/>
        </w:rPr>
        <w:t>تبرز</w:t>
      </w:r>
      <w:r w:rsidRPr="00E81E24">
        <w:rPr>
          <w:rFonts w:asciiTheme="majorBidi" w:hAnsiTheme="majorBidi" w:cs="Times New Roman"/>
          <w:rtl/>
        </w:rPr>
        <w:t xml:space="preserve"> </w:t>
      </w:r>
      <w:r w:rsidRPr="00E81E24">
        <w:rPr>
          <w:rFonts w:asciiTheme="majorBidi" w:hAnsiTheme="majorBidi" w:cs="Times New Roman" w:hint="cs"/>
          <w:rtl/>
        </w:rPr>
        <w:t>أهمية</w:t>
      </w:r>
      <w:r w:rsidRPr="00E81E24">
        <w:rPr>
          <w:rFonts w:asciiTheme="majorBidi" w:hAnsiTheme="majorBidi" w:cs="Times New Roman"/>
          <w:rtl/>
        </w:rPr>
        <w:t xml:space="preserve"> </w:t>
      </w:r>
      <w:r w:rsidRPr="00E81E24">
        <w:rPr>
          <w:rFonts w:asciiTheme="majorBidi" w:hAnsiTheme="majorBidi" w:cs="Times New Roman" w:hint="cs"/>
          <w:rtl/>
        </w:rPr>
        <w:t>إدارة</w:t>
      </w:r>
      <w:r w:rsidRPr="00E81E24">
        <w:rPr>
          <w:rFonts w:asciiTheme="majorBidi" w:hAnsiTheme="majorBidi" w:cs="Times New Roman"/>
          <w:rtl/>
        </w:rPr>
        <w:t xml:space="preserve"> </w:t>
      </w:r>
      <w:r w:rsidRPr="00E81E24">
        <w:rPr>
          <w:rFonts w:asciiTheme="majorBidi" w:hAnsiTheme="majorBidi" w:cs="Times New Roman" w:hint="cs"/>
          <w:rtl/>
        </w:rPr>
        <w:t>الميزانية</w:t>
      </w:r>
      <w:r w:rsidRPr="00E81E24">
        <w:rPr>
          <w:rFonts w:asciiTheme="majorBidi" w:hAnsiTheme="majorBidi" w:cs="Times New Roman"/>
          <w:rtl/>
        </w:rPr>
        <w:t xml:space="preserve"> </w:t>
      </w:r>
      <w:r w:rsidRPr="00E81E24">
        <w:rPr>
          <w:rFonts w:asciiTheme="majorBidi" w:hAnsiTheme="majorBidi" w:cs="Times New Roman" w:hint="cs"/>
          <w:rtl/>
        </w:rPr>
        <w:t>داخل</w:t>
      </w:r>
      <w:r w:rsidRPr="00E81E24">
        <w:rPr>
          <w:rFonts w:asciiTheme="majorBidi" w:hAnsiTheme="majorBidi" w:cs="Times New Roman"/>
          <w:rtl/>
        </w:rPr>
        <w:t xml:space="preserve"> </w:t>
      </w:r>
      <w:r w:rsidRPr="00E81E24">
        <w:rPr>
          <w:rFonts w:asciiTheme="majorBidi" w:hAnsiTheme="majorBidi" w:cs="Times New Roman" w:hint="cs"/>
          <w:rtl/>
        </w:rPr>
        <w:t>مؤسسة</w:t>
      </w:r>
      <w:r w:rsidRPr="00E81E24">
        <w:rPr>
          <w:rFonts w:asciiTheme="majorBidi" w:hAnsiTheme="majorBidi" w:cs="Times New Roman"/>
          <w:rtl/>
        </w:rPr>
        <w:t xml:space="preserve"> </w:t>
      </w:r>
      <w:r w:rsidRPr="00E81E24">
        <w:rPr>
          <w:rFonts w:asciiTheme="majorBidi" w:hAnsiTheme="majorBidi" w:cs="Times New Roman" w:hint="cs"/>
          <w:rtl/>
        </w:rPr>
        <w:t>عمومية</w:t>
      </w:r>
      <w:r w:rsidRPr="00E81E24">
        <w:rPr>
          <w:rFonts w:asciiTheme="majorBidi" w:hAnsiTheme="majorBidi" w:cs="Times New Roman"/>
          <w:rtl/>
        </w:rPr>
        <w:t xml:space="preserve"> </w:t>
      </w:r>
      <w:r w:rsidRPr="00E81E24">
        <w:rPr>
          <w:rFonts w:asciiTheme="majorBidi" w:hAnsiTheme="majorBidi" w:cs="Times New Roman" w:hint="cs"/>
          <w:rtl/>
        </w:rPr>
        <w:t>من</w:t>
      </w:r>
      <w:r w:rsidRPr="00E81E24">
        <w:rPr>
          <w:rFonts w:asciiTheme="majorBidi" w:hAnsiTheme="majorBidi" w:cs="Times New Roman"/>
          <w:rtl/>
        </w:rPr>
        <w:t xml:space="preserve"> </w:t>
      </w:r>
      <w:r w:rsidRPr="00E81E24">
        <w:rPr>
          <w:rFonts w:asciiTheme="majorBidi" w:hAnsiTheme="majorBidi" w:cs="Times New Roman" w:hint="cs"/>
          <w:rtl/>
        </w:rPr>
        <w:t>خلال</w:t>
      </w:r>
      <w:r w:rsidRPr="00E81E24">
        <w:rPr>
          <w:rFonts w:asciiTheme="majorBidi" w:hAnsiTheme="majorBidi" w:cs="Times New Roman"/>
          <w:rtl/>
        </w:rPr>
        <w:t xml:space="preserve"> </w:t>
      </w:r>
      <w:r w:rsidRPr="00E81E24">
        <w:rPr>
          <w:rFonts w:asciiTheme="majorBidi" w:hAnsiTheme="majorBidi" w:cs="Times New Roman" w:hint="cs"/>
          <w:rtl/>
        </w:rPr>
        <w:t>ضمان</w:t>
      </w:r>
      <w:r w:rsidRPr="00E81E24">
        <w:rPr>
          <w:rFonts w:asciiTheme="majorBidi" w:hAnsiTheme="majorBidi" w:cs="Times New Roman"/>
          <w:rtl/>
        </w:rPr>
        <w:t xml:space="preserve"> </w:t>
      </w:r>
      <w:r w:rsidRPr="00E81E24">
        <w:rPr>
          <w:rFonts w:asciiTheme="majorBidi" w:hAnsiTheme="majorBidi" w:cs="Times New Roman" w:hint="cs"/>
          <w:rtl/>
        </w:rPr>
        <w:t>تخصيص</w:t>
      </w:r>
      <w:r w:rsidRPr="00E81E24">
        <w:rPr>
          <w:rFonts w:asciiTheme="majorBidi" w:hAnsiTheme="majorBidi" w:cs="Times New Roman"/>
          <w:rtl/>
        </w:rPr>
        <w:t xml:space="preserve"> </w:t>
      </w:r>
      <w:r w:rsidRPr="00E81E24">
        <w:rPr>
          <w:rFonts w:asciiTheme="majorBidi" w:hAnsiTheme="majorBidi" w:cs="Times New Roman" w:hint="cs"/>
          <w:rtl/>
        </w:rPr>
        <w:t>فعال</w:t>
      </w:r>
      <w:r>
        <w:rPr>
          <w:rFonts w:asciiTheme="majorBidi" w:hAnsiTheme="majorBidi" w:cstheme="majorBidi"/>
        </w:rPr>
        <w:t xml:space="preserve"> </w:t>
      </w:r>
      <w:r w:rsidRPr="00E81E24">
        <w:rPr>
          <w:rFonts w:asciiTheme="majorBidi" w:hAnsiTheme="majorBidi" w:cs="Times New Roman" w:hint="cs"/>
          <w:rtl/>
        </w:rPr>
        <w:t>للموارد،</w:t>
      </w:r>
      <w:r w:rsidRPr="00E81E24">
        <w:rPr>
          <w:rFonts w:asciiTheme="majorBidi" w:hAnsiTheme="majorBidi" w:cs="Times New Roman"/>
          <w:rtl/>
        </w:rPr>
        <w:t xml:space="preserve"> </w:t>
      </w:r>
      <w:r w:rsidRPr="00E81E24">
        <w:rPr>
          <w:rFonts w:asciiTheme="majorBidi" w:hAnsiTheme="majorBidi" w:cs="Times New Roman" w:hint="cs"/>
          <w:rtl/>
        </w:rPr>
        <w:t>التنبؤ</w:t>
      </w:r>
      <w:r w:rsidRPr="00E81E24">
        <w:rPr>
          <w:rFonts w:asciiTheme="majorBidi" w:hAnsiTheme="majorBidi" w:cs="Times New Roman"/>
          <w:rtl/>
        </w:rPr>
        <w:t xml:space="preserve"> </w:t>
      </w:r>
      <w:r w:rsidRPr="00E81E24">
        <w:rPr>
          <w:rFonts w:asciiTheme="majorBidi" w:hAnsiTheme="majorBidi" w:cs="Times New Roman" w:hint="cs"/>
          <w:rtl/>
        </w:rPr>
        <w:t>بالاحتياجات،</w:t>
      </w:r>
      <w:r w:rsidRPr="00E81E24">
        <w:rPr>
          <w:rFonts w:asciiTheme="majorBidi" w:hAnsiTheme="majorBidi" w:cs="Times New Roman"/>
          <w:rtl/>
        </w:rPr>
        <w:t xml:space="preserve"> </w:t>
      </w:r>
      <w:r w:rsidRPr="00E81E24">
        <w:rPr>
          <w:rFonts w:asciiTheme="majorBidi" w:hAnsiTheme="majorBidi" w:cs="Times New Roman" w:hint="cs"/>
          <w:rtl/>
        </w:rPr>
        <w:t>مراقبة</w:t>
      </w:r>
      <w:r w:rsidRPr="00E81E24">
        <w:rPr>
          <w:rFonts w:asciiTheme="majorBidi" w:hAnsiTheme="majorBidi" w:cs="Times New Roman"/>
          <w:rtl/>
        </w:rPr>
        <w:t xml:space="preserve"> </w:t>
      </w:r>
      <w:r w:rsidRPr="00E81E24">
        <w:rPr>
          <w:rFonts w:asciiTheme="majorBidi" w:hAnsiTheme="majorBidi" w:cs="Times New Roman" w:hint="cs"/>
          <w:rtl/>
        </w:rPr>
        <w:t>الانحرافات،</w:t>
      </w:r>
      <w:r w:rsidRPr="00E81E24">
        <w:rPr>
          <w:rFonts w:asciiTheme="majorBidi" w:hAnsiTheme="majorBidi" w:cs="Times New Roman"/>
          <w:rtl/>
        </w:rPr>
        <w:t xml:space="preserve"> </w:t>
      </w:r>
      <w:r w:rsidRPr="00E81E24">
        <w:rPr>
          <w:rFonts w:asciiTheme="majorBidi" w:hAnsiTheme="majorBidi" w:cs="Times New Roman" w:hint="cs"/>
          <w:rtl/>
        </w:rPr>
        <w:t>واتخاذ</w:t>
      </w:r>
      <w:r w:rsidRPr="00E81E24">
        <w:rPr>
          <w:rFonts w:asciiTheme="majorBidi" w:hAnsiTheme="majorBidi" w:cs="Times New Roman"/>
          <w:rtl/>
        </w:rPr>
        <w:t xml:space="preserve"> </w:t>
      </w:r>
      <w:r w:rsidRPr="00E81E24">
        <w:rPr>
          <w:rFonts w:asciiTheme="majorBidi" w:hAnsiTheme="majorBidi" w:cs="Times New Roman" w:hint="cs"/>
          <w:rtl/>
        </w:rPr>
        <w:t>القرارات</w:t>
      </w:r>
      <w:r w:rsidRPr="00E81E24">
        <w:rPr>
          <w:rFonts w:asciiTheme="majorBidi" w:hAnsiTheme="majorBidi" w:cs="Times New Roman"/>
          <w:rtl/>
        </w:rPr>
        <w:t xml:space="preserve"> </w:t>
      </w:r>
      <w:r w:rsidRPr="00E81E24">
        <w:rPr>
          <w:rFonts w:asciiTheme="majorBidi" w:hAnsiTheme="majorBidi" w:cs="Times New Roman" w:hint="cs"/>
          <w:rtl/>
        </w:rPr>
        <w:t>المناسبة</w:t>
      </w:r>
      <w:r w:rsidRPr="00E81E24">
        <w:rPr>
          <w:rFonts w:asciiTheme="majorBidi" w:hAnsiTheme="majorBidi" w:cs="Times New Roman"/>
          <w:rtl/>
        </w:rPr>
        <w:t xml:space="preserve"> </w:t>
      </w:r>
      <w:r w:rsidRPr="00E81E24">
        <w:rPr>
          <w:rFonts w:asciiTheme="majorBidi" w:hAnsiTheme="majorBidi" w:cs="Times New Roman" w:hint="cs"/>
          <w:rtl/>
        </w:rPr>
        <w:t>في</w:t>
      </w:r>
      <w:r w:rsidRPr="00E81E24">
        <w:rPr>
          <w:rFonts w:asciiTheme="majorBidi" w:hAnsiTheme="majorBidi" w:cs="Times New Roman"/>
          <w:rtl/>
        </w:rPr>
        <w:t xml:space="preserve"> </w:t>
      </w:r>
      <w:r w:rsidRPr="00E81E24">
        <w:rPr>
          <w:rFonts w:asciiTheme="majorBidi" w:hAnsiTheme="majorBidi" w:cs="Times New Roman" w:hint="cs"/>
          <w:rtl/>
        </w:rPr>
        <w:t>الوقت</w:t>
      </w:r>
      <w:r w:rsidRPr="00E81E24">
        <w:rPr>
          <w:rFonts w:asciiTheme="majorBidi" w:hAnsiTheme="majorBidi" w:cs="Times New Roman"/>
          <w:rtl/>
        </w:rPr>
        <w:t xml:space="preserve"> </w:t>
      </w:r>
      <w:r w:rsidRPr="00E81E24">
        <w:rPr>
          <w:rFonts w:asciiTheme="majorBidi" w:hAnsiTheme="majorBidi" w:cs="Times New Roman" w:hint="cs"/>
          <w:rtl/>
        </w:rPr>
        <w:t>المناسب</w:t>
      </w:r>
      <w:r w:rsidRPr="00E81E24">
        <w:rPr>
          <w:rFonts w:asciiTheme="majorBidi" w:hAnsiTheme="majorBidi" w:cs="Times New Roman"/>
          <w:rtl/>
        </w:rPr>
        <w:t xml:space="preserve">. </w:t>
      </w:r>
      <w:r w:rsidRPr="00E81E24">
        <w:rPr>
          <w:rFonts w:asciiTheme="majorBidi" w:hAnsiTheme="majorBidi" w:cs="Times New Roman" w:hint="cs"/>
          <w:rtl/>
        </w:rPr>
        <w:t>كما</w:t>
      </w:r>
      <w:r w:rsidRPr="00E81E24">
        <w:rPr>
          <w:rFonts w:asciiTheme="majorBidi" w:hAnsiTheme="majorBidi" w:cs="Times New Roman"/>
          <w:rtl/>
        </w:rPr>
        <w:t xml:space="preserve"> </w:t>
      </w:r>
      <w:r w:rsidRPr="00E81E24">
        <w:rPr>
          <w:rFonts w:asciiTheme="majorBidi" w:hAnsiTheme="majorBidi" w:cs="Times New Roman" w:hint="cs"/>
          <w:rtl/>
        </w:rPr>
        <w:t>تبين</w:t>
      </w:r>
      <w:r w:rsidRPr="00E81E24">
        <w:rPr>
          <w:rFonts w:asciiTheme="majorBidi" w:hAnsiTheme="majorBidi" w:cs="Times New Roman"/>
          <w:rtl/>
        </w:rPr>
        <w:t xml:space="preserve"> </w:t>
      </w:r>
      <w:r w:rsidRPr="00E81E24">
        <w:rPr>
          <w:rFonts w:asciiTheme="majorBidi" w:hAnsiTheme="majorBidi" w:cs="Times New Roman" w:hint="cs"/>
          <w:rtl/>
        </w:rPr>
        <w:t>الدراسة</w:t>
      </w:r>
      <w:r w:rsidRPr="00E81E24">
        <w:rPr>
          <w:rFonts w:asciiTheme="majorBidi" w:hAnsiTheme="majorBidi" w:cs="Times New Roman"/>
          <w:rtl/>
        </w:rPr>
        <w:t xml:space="preserve"> </w:t>
      </w:r>
      <w:r w:rsidRPr="00E81E24">
        <w:rPr>
          <w:rFonts w:asciiTheme="majorBidi" w:hAnsiTheme="majorBidi" w:cs="Times New Roman" w:hint="cs"/>
          <w:rtl/>
        </w:rPr>
        <w:t>أن</w:t>
      </w:r>
      <w:r w:rsidRPr="00E81E24">
        <w:rPr>
          <w:rFonts w:asciiTheme="majorBidi" w:hAnsiTheme="majorBidi" w:cs="Times New Roman"/>
          <w:rtl/>
        </w:rPr>
        <w:t xml:space="preserve"> </w:t>
      </w:r>
      <w:r w:rsidRPr="00E81E24">
        <w:rPr>
          <w:rFonts w:asciiTheme="majorBidi" w:hAnsiTheme="majorBidi" w:cs="Times New Roman" w:hint="cs"/>
          <w:rtl/>
        </w:rPr>
        <w:t>اعتماد</w:t>
      </w:r>
      <w:r>
        <w:rPr>
          <w:rFonts w:asciiTheme="majorBidi" w:hAnsiTheme="majorBidi" w:cstheme="majorBidi"/>
        </w:rPr>
        <w:t xml:space="preserve"> </w:t>
      </w:r>
      <w:r w:rsidRPr="00E81E24">
        <w:rPr>
          <w:rFonts w:asciiTheme="majorBidi" w:hAnsiTheme="majorBidi" w:cs="Times New Roman" w:hint="cs"/>
          <w:rtl/>
        </w:rPr>
        <w:t>الأدوات</w:t>
      </w:r>
      <w:r w:rsidRPr="00E81E24">
        <w:rPr>
          <w:rFonts w:asciiTheme="majorBidi" w:hAnsiTheme="majorBidi" w:cs="Times New Roman"/>
          <w:rtl/>
        </w:rPr>
        <w:t xml:space="preserve"> </w:t>
      </w:r>
      <w:r w:rsidRPr="00E81E24">
        <w:rPr>
          <w:rFonts w:asciiTheme="majorBidi" w:hAnsiTheme="majorBidi" w:cs="Times New Roman" w:hint="cs"/>
          <w:rtl/>
        </w:rPr>
        <w:t>الرقمية</w:t>
      </w:r>
      <w:r w:rsidRPr="00E81E24">
        <w:rPr>
          <w:rFonts w:asciiTheme="majorBidi" w:hAnsiTheme="majorBidi" w:cs="Times New Roman"/>
          <w:rtl/>
        </w:rPr>
        <w:t xml:space="preserve"> </w:t>
      </w:r>
      <w:r w:rsidRPr="00E81E24">
        <w:rPr>
          <w:rFonts w:asciiTheme="majorBidi" w:hAnsiTheme="majorBidi" w:cs="Times New Roman" w:hint="cs"/>
          <w:rtl/>
        </w:rPr>
        <w:t>مثل</w:t>
      </w:r>
      <w:r w:rsidRPr="00E81E24">
        <w:rPr>
          <w:rFonts w:asciiTheme="majorBidi" w:hAnsiTheme="majorBidi" w:cs="Times New Roman"/>
          <w:rtl/>
        </w:rPr>
        <w:t xml:space="preserve"> </w:t>
      </w:r>
      <w:r w:rsidRPr="00E81E24">
        <w:rPr>
          <w:rFonts w:asciiTheme="majorBidi" w:hAnsiTheme="majorBidi" w:cs="Times New Roman" w:hint="cs"/>
          <w:rtl/>
        </w:rPr>
        <w:t>نظام</w:t>
      </w:r>
      <w:r w:rsidRPr="00E81E24">
        <w:rPr>
          <w:rFonts w:asciiTheme="majorBidi" w:hAnsiTheme="majorBidi" w:cstheme="majorBidi"/>
        </w:rPr>
        <w:t xml:space="preserve"> Oracle </w:t>
      </w:r>
      <w:r w:rsidRPr="00E81E24">
        <w:rPr>
          <w:rFonts w:asciiTheme="majorBidi" w:hAnsiTheme="majorBidi" w:cs="Times New Roman" w:hint="cs"/>
          <w:rtl/>
        </w:rPr>
        <w:t>يُعزز</w:t>
      </w:r>
      <w:r w:rsidRPr="00E81E24">
        <w:rPr>
          <w:rFonts w:asciiTheme="majorBidi" w:hAnsiTheme="majorBidi" w:cs="Times New Roman"/>
          <w:rtl/>
        </w:rPr>
        <w:t xml:space="preserve"> </w:t>
      </w:r>
      <w:r w:rsidRPr="00E81E24">
        <w:rPr>
          <w:rFonts w:asciiTheme="majorBidi" w:hAnsiTheme="majorBidi" w:cs="Times New Roman" w:hint="cs"/>
          <w:rtl/>
        </w:rPr>
        <w:t>الشفافية</w:t>
      </w:r>
      <w:r w:rsidRPr="00E81E24">
        <w:rPr>
          <w:rFonts w:asciiTheme="majorBidi" w:hAnsiTheme="majorBidi" w:cs="Times New Roman"/>
          <w:rtl/>
        </w:rPr>
        <w:t xml:space="preserve"> </w:t>
      </w:r>
      <w:r w:rsidRPr="00E81E24">
        <w:rPr>
          <w:rFonts w:asciiTheme="majorBidi" w:hAnsiTheme="majorBidi" w:cs="Times New Roman" w:hint="cs"/>
          <w:rtl/>
        </w:rPr>
        <w:t>وسرعة</w:t>
      </w:r>
      <w:r w:rsidRPr="00E81E24">
        <w:rPr>
          <w:rFonts w:asciiTheme="majorBidi" w:hAnsiTheme="majorBidi" w:cs="Times New Roman"/>
          <w:rtl/>
        </w:rPr>
        <w:t xml:space="preserve"> </w:t>
      </w:r>
      <w:r w:rsidRPr="00E81E24">
        <w:rPr>
          <w:rFonts w:asciiTheme="majorBidi" w:hAnsiTheme="majorBidi" w:cs="Times New Roman" w:hint="cs"/>
          <w:rtl/>
        </w:rPr>
        <w:t>الاستجابة</w:t>
      </w:r>
      <w:r w:rsidRPr="00E81E24">
        <w:rPr>
          <w:rFonts w:asciiTheme="majorBidi" w:hAnsiTheme="majorBidi" w:cs="Times New Roman"/>
          <w:rtl/>
        </w:rPr>
        <w:t xml:space="preserve"> </w:t>
      </w:r>
      <w:r w:rsidRPr="00E81E24">
        <w:rPr>
          <w:rFonts w:asciiTheme="majorBidi" w:hAnsiTheme="majorBidi" w:cs="Times New Roman" w:hint="cs"/>
          <w:rtl/>
        </w:rPr>
        <w:t>وكفاءة</w:t>
      </w:r>
      <w:r w:rsidRPr="00E81E24">
        <w:rPr>
          <w:rFonts w:asciiTheme="majorBidi" w:hAnsiTheme="majorBidi" w:cs="Times New Roman"/>
          <w:rtl/>
        </w:rPr>
        <w:t xml:space="preserve"> </w:t>
      </w:r>
      <w:r w:rsidRPr="00E81E24">
        <w:rPr>
          <w:rFonts w:asciiTheme="majorBidi" w:hAnsiTheme="majorBidi" w:cs="Times New Roman" w:hint="cs"/>
          <w:rtl/>
        </w:rPr>
        <w:t>العملية</w:t>
      </w:r>
      <w:r w:rsidRPr="00E81E24">
        <w:rPr>
          <w:rFonts w:asciiTheme="majorBidi" w:hAnsiTheme="majorBidi" w:cs="Times New Roman"/>
          <w:rtl/>
        </w:rPr>
        <w:t xml:space="preserve"> </w:t>
      </w:r>
      <w:r w:rsidRPr="00E81E24">
        <w:rPr>
          <w:rFonts w:asciiTheme="majorBidi" w:hAnsiTheme="majorBidi" w:cs="Times New Roman" w:hint="cs"/>
          <w:rtl/>
        </w:rPr>
        <w:t>الميزانية</w:t>
      </w:r>
      <w:r w:rsidRPr="00E81E24">
        <w:rPr>
          <w:rFonts w:asciiTheme="majorBidi" w:hAnsiTheme="majorBidi" w:cstheme="majorBidi"/>
        </w:rPr>
        <w:t>.</w:t>
      </w:r>
    </w:p>
    <w:p w14:paraId="31973CB6" w14:textId="32068C08" w:rsidR="006D10B2" w:rsidRPr="009132A6" w:rsidRDefault="00E81E24" w:rsidP="00AE3850">
      <w:pPr>
        <w:bidi/>
        <w:spacing w:line="360" w:lineRule="auto"/>
        <w:jc w:val="both"/>
        <w:rPr>
          <w:rFonts w:asciiTheme="majorBidi" w:hAnsiTheme="majorBidi" w:cstheme="majorBidi"/>
          <w:rtl/>
        </w:rPr>
      </w:pPr>
      <w:r w:rsidRPr="00E81E24">
        <w:rPr>
          <w:rFonts w:asciiTheme="majorBidi" w:hAnsiTheme="majorBidi" w:cs="Times New Roman" w:hint="cs"/>
          <w:b/>
          <w:bCs/>
          <w:rtl/>
        </w:rPr>
        <w:t>الكلمات</w:t>
      </w:r>
      <w:r w:rsidRPr="00E81E24">
        <w:rPr>
          <w:rFonts w:asciiTheme="majorBidi" w:hAnsiTheme="majorBidi" w:cs="Times New Roman"/>
          <w:b/>
          <w:bCs/>
          <w:rtl/>
        </w:rPr>
        <w:t xml:space="preserve"> </w:t>
      </w:r>
      <w:r w:rsidRPr="00E81E24">
        <w:rPr>
          <w:rFonts w:asciiTheme="majorBidi" w:hAnsiTheme="majorBidi" w:cs="Times New Roman" w:hint="cs"/>
          <w:b/>
          <w:bCs/>
          <w:rtl/>
        </w:rPr>
        <w:t>المفتاحية</w:t>
      </w:r>
      <w:r w:rsidRPr="00E81E24">
        <w:rPr>
          <w:rFonts w:asciiTheme="majorBidi" w:hAnsiTheme="majorBidi" w:cs="Times New Roman"/>
          <w:b/>
          <w:bCs/>
          <w:rtl/>
        </w:rPr>
        <w:t>:</w:t>
      </w:r>
      <w:r w:rsidRPr="00E81E24">
        <w:rPr>
          <w:rFonts w:asciiTheme="majorBidi" w:hAnsiTheme="majorBidi" w:cs="Times New Roman"/>
          <w:rtl/>
        </w:rPr>
        <w:t xml:space="preserve"> </w:t>
      </w:r>
      <w:r w:rsidRPr="00E81E24">
        <w:rPr>
          <w:rFonts w:asciiTheme="majorBidi" w:hAnsiTheme="majorBidi" w:cs="Times New Roman" w:hint="cs"/>
          <w:rtl/>
        </w:rPr>
        <w:t>لمراقبة</w:t>
      </w:r>
      <w:r w:rsidRPr="00E81E24">
        <w:rPr>
          <w:rFonts w:asciiTheme="majorBidi" w:hAnsiTheme="majorBidi" w:cs="Times New Roman"/>
          <w:rtl/>
        </w:rPr>
        <w:t xml:space="preserve"> </w:t>
      </w:r>
      <w:r w:rsidRPr="00E81E24">
        <w:rPr>
          <w:rFonts w:asciiTheme="majorBidi" w:hAnsiTheme="majorBidi" w:cs="Times New Roman" w:hint="cs"/>
          <w:rtl/>
        </w:rPr>
        <w:t>التسيير،</w:t>
      </w:r>
      <w:r w:rsidRPr="00E81E24">
        <w:rPr>
          <w:rFonts w:asciiTheme="majorBidi" w:hAnsiTheme="majorBidi" w:cs="Times New Roman"/>
          <w:rtl/>
        </w:rPr>
        <w:t xml:space="preserve"> </w:t>
      </w:r>
      <w:r w:rsidRPr="00E81E24">
        <w:rPr>
          <w:rFonts w:asciiTheme="majorBidi" w:hAnsiTheme="majorBidi" w:cs="Times New Roman" w:hint="cs"/>
          <w:rtl/>
        </w:rPr>
        <w:t>إدارة</w:t>
      </w:r>
      <w:r w:rsidRPr="00E81E24">
        <w:rPr>
          <w:rFonts w:asciiTheme="majorBidi" w:hAnsiTheme="majorBidi" w:cs="Times New Roman"/>
          <w:rtl/>
        </w:rPr>
        <w:t xml:space="preserve"> </w:t>
      </w:r>
      <w:r w:rsidRPr="00E81E24">
        <w:rPr>
          <w:rFonts w:asciiTheme="majorBidi" w:hAnsiTheme="majorBidi" w:cs="Times New Roman" w:hint="cs"/>
          <w:rtl/>
        </w:rPr>
        <w:t>الميزانية،</w:t>
      </w:r>
      <w:r w:rsidRPr="00E81E24">
        <w:rPr>
          <w:rFonts w:asciiTheme="majorBidi" w:hAnsiTheme="majorBidi" w:cs="Times New Roman"/>
          <w:rtl/>
        </w:rPr>
        <w:t xml:space="preserve"> </w:t>
      </w:r>
      <w:r w:rsidRPr="00E81E24">
        <w:rPr>
          <w:rFonts w:asciiTheme="majorBidi" w:hAnsiTheme="majorBidi" w:cs="Times New Roman" w:hint="cs"/>
          <w:rtl/>
        </w:rPr>
        <w:t>عملية</w:t>
      </w:r>
      <w:r w:rsidRPr="00E81E24">
        <w:rPr>
          <w:rFonts w:asciiTheme="majorBidi" w:hAnsiTheme="majorBidi" w:cs="Times New Roman"/>
          <w:rtl/>
        </w:rPr>
        <w:t xml:space="preserve"> </w:t>
      </w:r>
      <w:r w:rsidRPr="00E81E24">
        <w:rPr>
          <w:rFonts w:asciiTheme="majorBidi" w:hAnsiTheme="majorBidi" w:cs="Times New Roman" w:hint="cs"/>
          <w:rtl/>
        </w:rPr>
        <w:t>إعداد</w:t>
      </w:r>
      <w:r w:rsidRPr="00E81E24">
        <w:rPr>
          <w:rFonts w:asciiTheme="majorBidi" w:hAnsiTheme="majorBidi" w:cs="Times New Roman"/>
          <w:rtl/>
        </w:rPr>
        <w:t xml:space="preserve"> </w:t>
      </w:r>
      <w:r w:rsidRPr="00E81E24">
        <w:rPr>
          <w:rFonts w:asciiTheme="majorBidi" w:hAnsiTheme="majorBidi" w:cs="Times New Roman" w:hint="cs"/>
          <w:rtl/>
        </w:rPr>
        <w:t>الميزانية،</w:t>
      </w:r>
      <w:r w:rsidRPr="00E81E24">
        <w:rPr>
          <w:rFonts w:asciiTheme="majorBidi" w:hAnsiTheme="majorBidi" w:cs="Times New Roman"/>
          <w:rtl/>
        </w:rPr>
        <w:t xml:space="preserve"> </w:t>
      </w:r>
      <w:r w:rsidRPr="00E81E24">
        <w:rPr>
          <w:rFonts w:asciiTheme="majorBidi" w:hAnsiTheme="majorBidi" w:cs="Times New Roman" w:hint="cs"/>
          <w:rtl/>
        </w:rPr>
        <w:t>اتصالات</w:t>
      </w:r>
      <w:r w:rsidRPr="00E81E24">
        <w:rPr>
          <w:rFonts w:asciiTheme="majorBidi" w:hAnsiTheme="majorBidi" w:cs="Times New Roman"/>
          <w:rtl/>
        </w:rPr>
        <w:t xml:space="preserve"> </w:t>
      </w:r>
      <w:r w:rsidRPr="00E81E24">
        <w:rPr>
          <w:rFonts w:asciiTheme="majorBidi" w:hAnsiTheme="majorBidi" w:cs="Times New Roman" w:hint="cs"/>
          <w:rtl/>
        </w:rPr>
        <w:t>الجزائر،</w:t>
      </w:r>
      <w:r w:rsidRPr="00E81E24">
        <w:rPr>
          <w:rFonts w:asciiTheme="majorBidi" w:hAnsiTheme="majorBidi" w:cs="Times New Roman"/>
          <w:rtl/>
        </w:rPr>
        <w:t xml:space="preserve"> </w:t>
      </w:r>
      <w:r w:rsidRPr="00E81E24">
        <w:rPr>
          <w:rFonts w:asciiTheme="majorBidi" w:hAnsiTheme="majorBidi" w:cstheme="majorBidi"/>
        </w:rPr>
        <w:t xml:space="preserve">DOT </w:t>
      </w:r>
      <w:r w:rsidRPr="00E81E24">
        <w:rPr>
          <w:rFonts w:asciiTheme="majorBidi" w:hAnsiTheme="majorBidi" w:cs="Times New Roman" w:hint="cs"/>
          <w:rtl/>
        </w:rPr>
        <w:t>بني</w:t>
      </w:r>
      <w:r w:rsidRPr="00E81E24">
        <w:rPr>
          <w:rFonts w:asciiTheme="majorBidi" w:hAnsiTheme="majorBidi" w:cs="Times New Roman"/>
          <w:rtl/>
        </w:rPr>
        <w:t xml:space="preserve"> </w:t>
      </w:r>
      <w:r w:rsidRPr="00E81E24">
        <w:rPr>
          <w:rFonts w:asciiTheme="majorBidi" w:hAnsiTheme="majorBidi" w:cs="Times New Roman" w:hint="cs"/>
          <w:rtl/>
        </w:rPr>
        <w:t>مسوس،</w:t>
      </w:r>
      <w:r>
        <w:rPr>
          <w:rFonts w:asciiTheme="majorBidi" w:hAnsiTheme="majorBidi" w:cstheme="majorBidi"/>
        </w:rPr>
        <w:t xml:space="preserve"> </w:t>
      </w:r>
      <w:r w:rsidRPr="00E81E24">
        <w:rPr>
          <w:rFonts w:asciiTheme="majorBidi" w:hAnsiTheme="majorBidi" w:cs="Times New Roman" w:hint="cs"/>
          <w:rtl/>
        </w:rPr>
        <w:t>أوراكل،</w:t>
      </w:r>
      <w:r w:rsidRPr="00E81E24">
        <w:rPr>
          <w:rFonts w:asciiTheme="majorBidi" w:hAnsiTheme="majorBidi" w:cs="Times New Roman"/>
          <w:rtl/>
        </w:rPr>
        <w:t xml:space="preserve"> </w:t>
      </w:r>
      <w:r w:rsidRPr="00E81E24">
        <w:rPr>
          <w:rFonts w:asciiTheme="majorBidi" w:hAnsiTheme="majorBidi" w:cs="Times New Roman" w:hint="cs"/>
          <w:rtl/>
        </w:rPr>
        <w:t>تحليل</w:t>
      </w:r>
      <w:r w:rsidRPr="00E81E24">
        <w:rPr>
          <w:rFonts w:asciiTheme="majorBidi" w:hAnsiTheme="majorBidi" w:cs="Times New Roman"/>
          <w:rtl/>
        </w:rPr>
        <w:t xml:space="preserve"> </w:t>
      </w:r>
      <w:r w:rsidRPr="00E81E24">
        <w:rPr>
          <w:rFonts w:asciiTheme="majorBidi" w:hAnsiTheme="majorBidi" w:cs="Times New Roman" w:hint="cs"/>
          <w:rtl/>
        </w:rPr>
        <w:t>الفروقات،</w:t>
      </w:r>
      <w:r w:rsidRPr="00E81E24">
        <w:rPr>
          <w:rFonts w:asciiTheme="majorBidi" w:hAnsiTheme="majorBidi" w:cs="Times New Roman"/>
          <w:rtl/>
        </w:rPr>
        <w:t xml:space="preserve"> </w:t>
      </w:r>
      <w:r w:rsidRPr="00E81E24">
        <w:rPr>
          <w:rFonts w:asciiTheme="majorBidi" w:hAnsiTheme="majorBidi" w:cs="Times New Roman" w:hint="cs"/>
          <w:rtl/>
        </w:rPr>
        <w:t>التسيير</w:t>
      </w:r>
      <w:r w:rsidRPr="00E81E24">
        <w:rPr>
          <w:rFonts w:asciiTheme="majorBidi" w:hAnsiTheme="majorBidi" w:cs="Times New Roman"/>
          <w:rtl/>
        </w:rPr>
        <w:t xml:space="preserve"> </w:t>
      </w:r>
      <w:r w:rsidRPr="00E81E24">
        <w:rPr>
          <w:rFonts w:asciiTheme="majorBidi" w:hAnsiTheme="majorBidi" w:cs="Times New Roman" w:hint="cs"/>
          <w:rtl/>
        </w:rPr>
        <w:t>المالي</w:t>
      </w:r>
      <w:r w:rsidRPr="00E81E24">
        <w:rPr>
          <w:rFonts w:asciiTheme="majorBidi" w:hAnsiTheme="majorBidi" w:cstheme="majorBidi"/>
        </w:rPr>
        <w:t>.</w:t>
      </w:r>
      <w:r w:rsidR="006D10B2" w:rsidRPr="009132A6">
        <w:rPr>
          <w:rFonts w:asciiTheme="majorBidi" w:hAnsiTheme="majorBidi" w:cstheme="majorBidi"/>
          <w:rtl/>
        </w:rPr>
        <w:br w:type="page"/>
      </w:r>
    </w:p>
    <w:p w14:paraId="456F29F2" w14:textId="237187A6" w:rsidR="006D10B2" w:rsidRPr="00AA1F2E" w:rsidRDefault="006D10B2" w:rsidP="00AE3850">
      <w:pPr>
        <w:pStyle w:val="Titre1"/>
        <w:spacing w:line="360" w:lineRule="auto"/>
        <w:jc w:val="both"/>
        <w:rPr>
          <w:rFonts w:asciiTheme="majorBidi" w:hAnsiTheme="majorBidi"/>
          <w:b/>
          <w:bCs/>
          <w:color w:val="auto"/>
          <w:sz w:val="32"/>
          <w:szCs w:val="32"/>
          <w:u w:val="single"/>
          <w:lang w:val="en-CA"/>
        </w:rPr>
      </w:pPr>
      <w:bookmarkStart w:id="26" w:name="_Toc198964987"/>
      <w:bookmarkStart w:id="27" w:name="_Toc198966475"/>
      <w:bookmarkStart w:id="28" w:name="_Toc199314364"/>
      <w:bookmarkStart w:id="29" w:name="_Toc199314568"/>
      <w:r w:rsidRPr="00AA1F2E">
        <w:rPr>
          <w:rFonts w:asciiTheme="majorBidi" w:hAnsiTheme="majorBidi"/>
          <w:b/>
          <w:bCs/>
          <w:color w:val="auto"/>
          <w:sz w:val="32"/>
          <w:szCs w:val="32"/>
          <w:u w:val="single"/>
          <w:lang w:val="en-CA"/>
        </w:rPr>
        <w:lastRenderedPageBreak/>
        <w:t>Abstract</w:t>
      </w:r>
      <w:bookmarkEnd w:id="26"/>
      <w:bookmarkEnd w:id="27"/>
      <w:r w:rsidR="006F481C" w:rsidRPr="00AA1F2E">
        <w:rPr>
          <w:rFonts w:asciiTheme="majorBidi" w:hAnsiTheme="majorBidi"/>
          <w:b/>
          <w:bCs/>
          <w:color w:val="auto"/>
          <w:sz w:val="32"/>
          <w:szCs w:val="32"/>
          <w:u w:val="single"/>
          <w:lang w:val="en-CA"/>
        </w:rPr>
        <w:t>:</w:t>
      </w:r>
      <w:bookmarkEnd w:id="28"/>
      <w:bookmarkEnd w:id="29"/>
    </w:p>
    <w:p w14:paraId="25D454A0" w14:textId="5BA38EF5" w:rsidR="0014039A" w:rsidRPr="0014039A" w:rsidRDefault="0014039A" w:rsidP="00AE3850">
      <w:pPr>
        <w:spacing w:line="360" w:lineRule="auto"/>
        <w:ind w:firstLine="720"/>
        <w:jc w:val="both"/>
        <w:rPr>
          <w:rFonts w:asciiTheme="majorBidi" w:hAnsiTheme="majorBidi" w:cstheme="majorBidi"/>
          <w:lang w:val="en-CA"/>
        </w:rPr>
      </w:pPr>
      <w:r w:rsidRPr="0014039A">
        <w:rPr>
          <w:rFonts w:asciiTheme="majorBidi" w:hAnsiTheme="majorBidi" w:cstheme="majorBidi"/>
          <w:lang w:val="en-CA"/>
        </w:rPr>
        <w:t>In a context marked by digital transformation and the pursuit of efficiency in public resource</w:t>
      </w:r>
      <w:r>
        <w:rPr>
          <w:rFonts w:asciiTheme="majorBidi" w:hAnsiTheme="majorBidi" w:cstheme="majorBidi"/>
          <w:lang w:val="en-CA"/>
        </w:rPr>
        <w:t xml:space="preserve"> </w:t>
      </w:r>
      <w:r w:rsidRPr="0014039A">
        <w:rPr>
          <w:rFonts w:asciiTheme="majorBidi" w:hAnsiTheme="majorBidi" w:cstheme="majorBidi"/>
          <w:lang w:val="en-CA"/>
        </w:rPr>
        <w:t>management, management control and budgeting have become strategic levers for Algerian</w:t>
      </w:r>
      <w:r>
        <w:rPr>
          <w:rFonts w:asciiTheme="majorBidi" w:hAnsiTheme="majorBidi" w:cstheme="majorBidi"/>
          <w:lang w:val="en-CA"/>
        </w:rPr>
        <w:t xml:space="preserve"> </w:t>
      </w:r>
      <w:r w:rsidRPr="0014039A">
        <w:rPr>
          <w:rFonts w:asciiTheme="majorBidi" w:hAnsiTheme="majorBidi" w:cstheme="majorBidi"/>
          <w:lang w:val="en-CA"/>
        </w:rPr>
        <w:t>public enterprises such as Algérie Télécom. This thesis focuses on budgeting as a key tool of</w:t>
      </w:r>
      <w:r>
        <w:rPr>
          <w:rFonts w:asciiTheme="majorBidi" w:hAnsiTheme="majorBidi" w:cstheme="majorBidi"/>
          <w:lang w:val="en-CA"/>
        </w:rPr>
        <w:t xml:space="preserve"> </w:t>
      </w:r>
      <w:r w:rsidRPr="0014039A">
        <w:rPr>
          <w:rFonts w:asciiTheme="majorBidi" w:hAnsiTheme="majorBidi" w:cstheme="majorBidi"/>
          <w:lang w:val="en-CA"/>
        </w:rPr>
        <w:t>management control, through the practical case of the Operational Telecommunications</w:t>
      </w:r>
      <w:r>
        <w:rPr>
          <w:rFonts w:asciiTheme="majorBidi" w:hAnsiTheme="majorBidi" w:cstheme="majorBidi"/>
          <w:lang w:val="en-CA"/>
        </w:rPr>
        <w:t xml:space="preserve"> </w:t>
      </w:r>
      <w:r w:rsidRPr="0014039A">
        <w:rPr>
          <w:rFonts w:asciiTheme="majorBidi" w:hAnsiTheme="majorBidi" w:cstheme="majorBidi"/>
          <w:lang w:val="en-CA"/>
        </w:rPr>
        <w:t>Directorate (DOT) of Beni Messous.</w:t>
      </w:r>
    </w:p>
    <w:p w14:paraId="753F0CB5" w14:textId="2F7B759C" w:rsidR="0014039A" w:rsidRPr="0014039A" w:rsidRDefault="0014039A" w:rsidP="00AE3850">
      <w:pPr>
        <w:spacing w:line="360" w:lineRule="auto"/>
        <w:ind w:firstLine="720"/>
        <w:jc w:val="both"/>
        <w:rPr>
          <w:rFonts w:asciiTheme="majorBidi" w:hAnsiTheme="majorBidi" w:cstheme="majorBidi"/>
          <w:lang w:val="en-CA"/>
        </w:rPr>
      </w:pPr>
      <w:r w:rsidRPr="0014039A">
        <w:rPr>
          <w:rFonts w:asciiTheme="majorBidi" w:hAnsiTheme="majorBidi" w:cstheme="majorBidi"/>
          <w:lang w:val="en-CA"/>
        </w:rPr>
        <w:t>The first chapter presents the theoretical foundations of management control and budgeting.</w:t>
      </w:r>
      <w:r>
        <w:rPr>
          <w:rFonts w:asciiTheme="majorBidi" w:hAnsiTheme="majorBidi" w:cstheme="majorBidi"/>
          <w:lang w:val="en-CA"/>
        </w:rPr>
        <w:t xml:space="preserve"> </w:t>
      </w:r>
      <w:r w:rsidRPr="0014039A">
        <w:rPr>
          <w:rFonts w:asciiTheme="majorBidi" w:hAnsiTheme="majorBidi" w:cstheme="majorBidi"/>
          <w:lang w:val="en-CA"/>
        </w:rPr>
        <w:t>Management control is defined as a performance management process that aligns operational</w:t>
      </w:r>
      <w:r>
        <w:rPr>
          <w:rFonts w:asciiTheme="majorBidi" w:hAnsiTheme="majorBidi" w:cstheme="majorBidi"/>
          <w:lang w:val="en-CA"/>
        </w:rPr>
        <w:t xml:space="preserve"> </w:t>
      </w:r>
      <w:r w:rsidRPr="0014039A">
        <w:rPr>
          <w:rFonts w:asciiTheme="majorBidi" w:hAnsiTheme="majorBidi" w:cstheme="majorBidi"/>
          <w:lang w:val="en-CA"/>
        </w:rPr>
        <w:t>actions with the organization’s strategic goals. It relies on tools such as cost accounting,</w:t>
      </w:r>
      <w:r>
        <w:rPr>
          <w:rFonts w:asciiTheme="majorBidi" w:hAnsiTheme="majorBidi" w:cstheme="majorBidi"/>
          <w:lang w:val="en-CA"/>
        </w:rPr>
        <w:t xml:space="preserve"> </w:t>
      </w:r>
      <w:r w:rsidRPr="0014039A">
        <w:rPr>
          <w:rFonts w:asciiTheme="majorBidi" w:hAnsiTheme="majorBidi" w:cstheme="majorBidi"/>
          <w:lang w:val="en-CA"/>
        </w:rPr>
        <w:t>dashboards, and especially budgeting. Budgeting serves multiple functions: planning,</w:t>
      </w:r>
      <w:r w:rsidR="007E7789">
        <w:rPr>
          <w:rFonts w:asciiTheme="majorBidi" w:hAnsiTheme="majorBidi" w:cstheme="majorBidi"/>
          <w:lang w:val="en-CA"/>
        </w:rPr>
        <w:t xml:space="preserve"> </w:t>
      </w:r>
      <w:r w:rsidRPr="0014039A">
        <w:rPr>
          <w:rFonts w:asciiTheme="majorBidi" w:hAnsiTheme="majorBidi" w:cstheme="majorBidi"/>
          <w:lang w:val="en-CA"/>
        </w:rPr>
        <w:t>coordination, motivation, decision-making, and control.</w:t>
      </w:r>
    </w:p>
    <w:p w14:paraId="49536240" w14:textId="114FDFA2" w:rsidR="0014039A" w:rsidRPr="0014039A" w:rsidRDefault="0014039A" w:rsidP="00AE3850">
      <w:pPr>
        <w:spacing w:line="360" w:lineRule="auto"/>
        <w:ind w:firstLine="720"/>
        <w:jc w:val="both"/>
        <w:rPr>
          <w:rFonts w:asciiTheme="majorBidi" w:hAnsiTheme="majorBidi" w:cstheme="majorBidi"/>
          <w:lang w:val="en-CA"/>
        </w:rPr>
      </w:pPr>
      <w:r w:rsidRPr="0014039A">
        <w:rPr>
          <w:rFonts w:asciiTheme="majorBidi" w:hAnsiTheme="majorBidi" w:cstheme="majorBidi"/>
          <w:lang w:val="en-CA"/>
        </w:rPr>
        <w:t>The second chapter, which is practical, introduces Algérie Télécom and focuses on the DOT</w:t>
      </w:r>
      <w:r w:rsidR="007E7789">
        <w:rPr>
          <w:rFonts w:asciiTheme="majorBidi" w:hAnsiTheme="majorBidi" w:cstheme="majorBidi"/>
          <w:lang w:val="en-CA"/>
        </w:rPr>
        <w:t xml:space="preserve"> </w:t>
      </w:r>
      <w:r w:rsidRPr="0014039A">
        <w:rPr>
          <w:rFonts w:asciiTheme="majorBidi" w:hAnsiTheme="majorBidi" w:cstheme="majorBidi"/>
          <w:lang w:val="en-CA"/>
        </w:rPr>
        <w:t>of Beni Messous, where the internship was carried out. The study highlights the budgetary</w:t>
      </w:r>
      <w:r w:rsidR="007E7789">
        <w:rPr>
          <w:rFonts w:asciiTheme="majorBidi" w:hAnsiTheme="majorBidi" w:cstheme="majorBidi"/>
          <w:lang w:val="en-CA"/>
        </w:rPr>
        <w:t xml:space="preserve"> </w:t>
      </w:r>
      <w:r w:rsidRPr="0014039A">
        <w:rPr>
          <w:rFonts w:asciiTheme="majorBidi" w:hAnsiTheme="majorBidi" w:cstheme="majorBidi"/>
          <w:lang w:val="en-CA"/>
        </w:rPr>
        <w:t>process in place, which includes three main phases: preparation, execution, and control. The</w:t>
      </w:r>
      <w:r w:rsidR="007E7789">
        <w:rPr>
          <w:rFonts w:asciiTheme="majorBidi" w:hAnsiTheme="majorBidi" w:cstheme="majorBidi"/>
          <w:lang w:val="en-CA"/>
        </w:rPr>
        <w:t xml:space="preserve"> </w:t>
      </w:r>
      <w:r w:rsidRPr="0014039A">
        <w:rPr>
          <w:rFonts w:asciiTheme="majorBidi" w:hAnsiTheme="majorBidi" w:cstheme="majorBidi"/>
          <w:lang w:val="en-CA"/>
        </w:rPr>
        <w:t>Oracle information system plays a central role in ensuring the traceability and reliability of</w:t>
      </w:r>
      <w:r w:rsidR="007E7789">
        <w:rPr>
          <w:rFonts w:asciiTheme="majorBidi" w:hAnsiTheme="majorBidi" w:cstheme="majorBidi"/>
          <w:lang w:val="en-CA"/>
        </w:rPr>
        <w:t xml:space="preserve"> </w:t>
      </w:r>
      <w:r w:rsidRPr="0014039A">
        <w:rPr>
          <w:rFonts w:asciiTheme="majorBidi" w:hAnsiTheme="majorBidi" w:cstheme="majorBidi"/>
          <w:lang w:val="en-CA"/>
        </w:rPr>
        <w:t>financial operations. The analysis of the 2023 fiscal year reveals significant gaps between</w:t>
      </w:r>
      <w:r w:rsidR="007E7789">
        <w:rPr>
          <w:rFonts w:asciiTheme="majorBidi" w:hAnsiTheme="majorBidi" w:cstheme="majorBidi"/>
          <w:lang w:val="en-CA"/>
        </w:rPr>
        <w:t xml:space="preserve"> </w:t>
      </w:r>
      <w:r w:rsidRPr="0014039A">
        <w:rPr>
          <w:rFonts w:asciiTheme="majorBidi" w:hAnsiTheme="majorBidi" w:cstheme="majorBidi"/>
          <w:lang w:val="en-CA"/>
        </w:rPr>
        <w:t>forecasts and actuals, especially in external services and personnel costs, pointing to the</w:t>
      </w:r>
      <w:r w:rsidR="007E7789">
        <w:rPr>
          <w:rFonts w:asciiTheme="majorBidi" w:hAnsiTheme="majorBidi" w:cstheme="majorBidi"/>
          <w:lang w:val="en-CA"/>
        </w:rPr>
        <w:t xml:space="preserve"> </w:t>
      </w:r>
      <w:r w:rsidRPr="0014039A">
        <w:rPr>
          <w:rFonts w:asciiTheme="majorBidi" w:hAnsiTheme="majorBidi" w:cstheme="majorBidi"/>
          <w:lang w:val="en-CA"/>
        </w:rPr>
        <w:t>challenges of financial planning and the need for rigorous monitoring.</w:t>
      </w:r>
    </w:p>
    <w:p w14:paraId="6D6284ED" w14:textId="3C5CF082" w:rsidR="0014039A" w:rsidRPr="0014039A" w:rsidRDefault="0014039A" w:rsidP="00AE3850">
      <w:pPr>
        <w:spacing w:line="360" w:lineRule="auto"/>
        <w:ind w:firstLine="720"/>
        <w:jc w:val="both"/>
        <w:rPr>
          <w:rFonts w:asciiTheme="majorBidi" w:hAnsiTheme="majorBidi" w:cstheme="majorBidi"/>
          <w:lang w:val="en-CA"/>
        </w:rPr>
      </w:pPr>
      <w:r w:rsidRPr="0014039A">
        <w:rPr>
          <w:rFonts w:asciiTheme="majorBidi" w:hAnsiTheme="majorBidi" w:cstheme="majorBidi"/>
          <w:lang w:val="en-CA"/>
        </w:rPr>
        <w:t>Through this field study, the research underscores the importance of budgeting in a public</w:t>
      </w:r>
      <w:r w:rsidR="007E7789">
        <w:rPr>
          <w:rFonts w:asciiTheme="majorBidi" w:hAnsiTheme="majorBidi" w:cstheme="majorBidi"/>
          <w:lang w:val="en-CA"/>
        </w:rPr>
        <w:t xml:space="preserve"> </w:t>
      </w:r>
      <w:r w:rsidRPr="0014039A">
        <w:rPr>
          <w:rFonts w:asciiTheme="majorBidi" w:hAnsiTheme="majorBidi" w:cstheme="majorBidi"/>
          <w:lang w:val="en-CA"/>
        </w:rPr>
        <w:t>enterprise: ensuring efficient allocation of resources, anticipating needs, controlling variances,</w:t>
      </w:r>
      <w:r w:rsidR="007E7789">
        <w:rPr>
          <w:rFonts w:asciiTheme="majorBidi" w:hAnsiTheme="majorBidi" w:cstheme="majorBidi"/>
          <w:lang w:val="en-CA"/>
        </w:rPr>
        <w:t xml:space="preserve"> </w:t>
      </w:r>
      <w:r w:rsidRPr="0014039A">
        <w:rPr>
          <w:rFonts w:asciiTheme="majorBidi" w:hAnsiTheme="majorBidi" w:cstheme="majorBidi"/>
          <w:lang w:val="en-CA"/>
        </w:rPr>
        <w:t>and adapting decisions in real time. It also shows how digital tools like Oracle strengthen</w:t>
      </w:r>
      <w:r w:rsidR="007E7789">
        <w:rPr>
          <w:rFonts w:asciiTheme="majorBidi" w:hAnsiTheme="majorBidi" w:cstheme="majorBidi"/>
          <w:lang w:val="en-CA"/>
        </w:rPr>
        <w:t xml:space="preserve"> </w:t>
      </w:r>
      <w:r w:rsidRPr="0014039A">
        <w:rPr>
          <w:rFonts w:asciiTheme="majorBidi" w:hAnsiTheme="majorBidi" w:cstheme="majorBidi"/>
          <w:lang w:val="en-CA"/>
        </w:rPr>
        <w:t>transparency, responsiveness, and efficiency in the budget process.</w:t>
      </w:r>
    </w:p>
    <w:p w14:paraId="7B9F79E4" w14:textId="5A71B85E" w:rsidR="00AF0EFD" w:rsidRPr="008B51AE" w:rsidRDefault="0014039A" w:rsidP="00AE3850">
      <w:pPr>
        <w:spacing w:line="360" w:lineRule="auto"/>
        <w:jc w:val="both"/>
        <w:rPr>
          <w:rFonts w:asciiTheme="majorBidi" w:hAnsiTheme="majorBidi" w:cstheme="majorBidi"/>
        </w:rPr>
      </w:pPr>
      <w:r w:rsidRPr="008B51AE">
        <w:rPr>
          <w:rFonts w:asciiTheme="majorBidi" w:hAnsiTheme="majorBidi" w:cstheme="majorBidi"/>
          <w:b/>
          <w:bCs/>
        </w:rPr>
        <w:t>Keywords</w:t>
      </w:r>
      <w:r w:rsidR="003B74AD">
        <w:rPr>
          <w:rFonts w:asciiTheme="majorBidi" w:hAnsiTheme="majorBidi" w:cstheme="majorBidi"/>
          <w:b/>
          <w:bCs/>
        </w:rPr>
        <w:t xml:space="preserve"> </w:t>
      </w:r>
      <w:r w:rsidRPr="008B51AE">
        <w:rPr>
          <w:rFonts w:asciiTheme="majorBidi" w:hAnsiTheme="majorBidi" w:cstheme="majorBidi"/>
          <w:b/>
          <w:bCs/>
        </w:rPr>
        <w:t>:</w:t>
      </w:r>
      <w:r w:rsidRPr="008B51AE">
        <w:rPr>
          <w:rFonts w:asciiTheme="majorBidi" w:hAnsiTheme="majorBidi" w:cstheme="majorBidi"/>
        </w:rPr>
        <w:t xml:space="preserve"> management control, budgeting, budgetary process, Algérie Télécom, DOT Beni</w:t>
      </w:r>
      <w:r w:rsidR="007E7789" w:rsidRPr="008B51AE">
        <w:rPr>
          <w:rFonts w:asciiTheme="majorBidi" w:hAnsiTheme="majorBidi" w:cstheme="majorBidi"/>
        </w:rPr>
        <w:t xml:space="preserve"> </w:t>
      </w:r>
      <w:r w:rsidRPr="0014039A">
        <w:rPr>
          <w:rFonts w:asciiTheme="majorBidi" w:hAnsiTheme="majorBidi" w:cstheme="majorBidi"/>
        </w:rPr>
        <w:t>Messous, Oracle, budget variance, financial management.</w:t>
      </w:r>
    </w:p>
    <w:p w14:paraId="3F951DCD" w14:textId="77777777" w:rsidR="00354C9E" w:rsidRPr="0014039A" w:rsidRDefault="00354C9E" w:rsidP="00AE3850">
      <w:pPr>
        <w:spacing w:line="360" w:lineRule="auto"/>
        <w:jc w:val="both"/>
        <w:rPr>
          <w:rFonts w:asciiTheme="majorBidi" w:hAnsiTheme="majorBidi" w:cstheme="majorBidi"/>
        </w:rPr>
        <w:sectPr w:rsidR="00354C9E" w:rsidRPr="0014039A" w:rsidSect="00881CB5">
          <w:footerReference w:type="default" r:id="rId11"/>
          <w:pgSz w:w="11906" w:h="16838"/>
          <w:pgMar w:top="1418" w:right="1134" w:bottom="1418" w:left="1701" w:header="709" w:footer="709" w:gutter="0"/>
          <w:pgNumType w:fmt="upperRoman" w:start="1"/>
          <w:cols w:space="708"/>
          <w:docGrid w:linePitch="360"/>
        </w:sectPr>
      </w:pPr>
    </w:p>
    <w:p w14:paraId="7F88ABD1" w14:textId="77777777" w:rsidR="00354C9E" w:rsidRPr="0014039A" w:rsidRDefault="00354C9E" w:rsidP="00AE3850">
      <w:pPr>
        <w:spacing w:line="360" w:lineRule="auto"/>
        <w:jc w:val="both"/>
        <w:rPr>
          <w:rFonts w:asciiTheme="majorBidi" w:hAnsiTheme="majorBidi" w:cstheme="majorBidi"/>
        </w:rPr>
      </w:pPr>
    </w:p>
    <w:p w14:paraId="684EAA00" w14:textId="4790F84C" w:rsidR="00354C9E" w:rsidRPr="0014039A" w:rsidRDefault="00354C9E" w:rsidP="00AE3850">
      <w:pPr>
        <w:spacing w:line="360" w:lineRule="auto"/>
        <w:jc w:val="both"/>
        <w:rPr>
          <w:rFonts w:asciiTheme="majorBidi" w:hAnsiTheme="majorBidi" w:cstheme="majorBidi"/>
        </w:rPr>
      </w:pPr>
    </w:p>
    <w:p w14:paraId="5DEFA1ED" w14:textId="1F925021" w:rsidR="00354C9E" w:rsidRPr="0014039A" w:rsidRDefault="00354C9E" w:rsidP="00AE3850">
      <w:pPr>
        <w:spacing w:line="360" w:lineRule="auto"/>
        <w:jc w:val="both"/>
        <w:rPr>
          <w:rFonts w:asciiTheme="majorBidi" w:hAnsiTheme="majorBidi" w:cstheme="majorBidi"/>
        </w:rPr>
      </w:pPr>
      <w:r w:rsidRPr="009132A6">
        <w:rPr>
          <w:rFonts w:asciiTheme="majorBidi" w:hAnsiTheme="majorBidi" w:cstheme="majorBidi"/>
          <w:b/>
          <w:bCs/>
          <w:noProof/>
          <w:sz w:val="72"/>
          <w:szCs w:val="72"/>
          <w:lang w:eastAsia="fr-FR"/>
        </w:rPr>
        <mc:AlternateContent>
          <mc:Choice Requires="wps">
            <w:drawing>
              <wp:anchor distT="0" distB="0" distL="114300" distR="114300" simplePos="0" relativeHeight="251667456" behindDoc="0" locked="0" layoutInCell="1" allowOverlap="1" wp14:anchorId="5DA60DA7" wp14:editId="5823C807">
                <wp:simplePos x="0" y="0"/>
                <wp:positionH relativeFrom="margin">
                  <wp:align>center</wp:align>
                </wp:positionH>
                <wp:positionV relativeFrom="paragraph">
                  <wp:posOffset>2583815</wp:posOffset>
                </wp:positionV>
                <wp:extent cx="4483100" cy="2355850"/>
                <wp:effectExtent l="19050" t="19050" r="12700" b="25400"/>
                <wp:wrapNone/>
                <wp:docPr id="12" name="Rectangle : coins arrondis 12"/>
                <wp:cNvGraphicFramePr/>
                <a:graphic xmlns:a="http://schemas.openxmlformats.org/drawingml/2006/main">
                  <a:graphicData uri="http://schemas.microsoft.com/office/word/2010/wordprocessingShape">
                    <wps:wsp>
                      <wps:cNvSpPr/>
                      <wps:spPr>
                        <a:xfrm>
                          <a:off x="0" y="0"/>
                          <a:ext cx="4483100" cy="2355850"/>
                        </a:xfrm>
                        <a:prstGeom prst="roundRect">
                          <a:avLst/>
                        </a:prstGeom>
                        <a:ln w="28575">
                          <a:solidFill>
                            <a:schemeClr val="tx2">
                              <a:lumMod val="25000"/>
                              <a:lumOff val="75000"/>
                            </a:schemeClr>
                          </a:solidFill>
                        </a:ln>
                      </wps:spPr>
                      <wps:style>
                        <a:lnRef idx="2">
                          <a:schemeClr val="dk1"/>
                        </a:lnRef>
                        <a:fillRef idx="1">
                          <a:schemeClr val="lt1"/>
                        </a:fillRef>
                        <a:effectRef idx="0">
                          <a:schemeClr val="dk1"/>
                        </a:effectRef>
                        <a:fontRef idx="minor">
                          <a:schemeClr val="dk1"/>
                        </a:fontRef>
                      </wps:style>
                      <wps:txbx>
                        <w:txbxContent>
                          <w:p w14:paraId="36F11C3F" w14:textId="37B32838" w:rsidR="00AB34B8" w:rsidRPr="002B0961" w:rsidRDefault="00AB34B8" w:rsidP="002B0961">
                            <w:pPr>
                              <w:pStyle w:val="Titre1"/>
                              <w:jc w:val="center"/>
                              <w:rPr>
                                <w:rFonts w:asciiTheme="majorBidi" w:hAnsiTheme="majorBidi"/>
                                <w:b/>
                                <w:bCs/>
                                <w:color w:val="auto"/>
                                <w:sz w:val="48"/>
                                <w:szCs w:val="48"/>
                              </w:rPr>
                            </w:pPr>
                            <w:bookmarkStart w:id="30" w:name="_Toc199314365"/>
                            <w:bookmarkStart w:id="31" w:name="_Toc199314569"/>
                            <w:r w:rsidRPr="002B0961">
                              <w:rPr>
                                <w:rFonts w:asciiTheme="majorBidi" w:hAnsiTheme="majorBidi"/>
                                <w:b/>
                                <w:bCs/>
                                <w:color w:val="auto"/>
                                <w:sz w:val="48"/>
                                <w:szCs w:val="48"/>
                              </w:rPr>
                              <w:t>INTRODUCTION GENERALE</w:t>
                            </w:r>
                            <w:bookmarkEnd w:id="30"/>
                            <w:bookmarkEnd w:id="31"/>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5DA60DA7" id="Rectangle : coins arrondis 12" o:spid="_x0000_s1028" style="position:absolute;left:0;text-align:left;margin-left:0;margin-top:203.45pt;width:353pt;height:185.5pt;z-index:251667456;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" fillcolor="white [3201]" strokecolor="#a7caec [831]" strokeweight="2.25pt">
                <v:stroke joinstyle="miter"/>
                <v:textbox>
                  <w:txbxContent>
                    <w:p w14:paraId="36F11C3F" w14:textId="37B32838" w:rsidR="00771E97" w:rsidRPr="002B0961" w:rsidRDefault="00771E97" w:rsidP="002B0961">
                      <w:pPr>
                        <w:pStyle w:val="Heading1"/>
                        <w:jc w:val="center"/>
                        <w:rPr>
                          <w:rFonts w:asciiTheme="majorBidi" w:hAnsiTheme="majorBidi"/>
                          <w:b/>
                          <w:bCs/>
                          <w:color w:val="auto"/>
                          <w:sz w:val="48"/>
                          <w:szCs w:val="48"/>
                        </w:rPr>
                      </w:pPr>
                      <w:bookmarkStart w:id="32" w:name="_Toc199314365"/>
                      <w:bookmarkStart w:id="33" w:name="_Toc199314569"/>
                      <w:r w:rsidRPr="002B0961">
                        <w:rPr>
                          <w:rFonts w:asciiTheme="majorBidi" w:hAnsiTheme="majorBidi"/>
                          <w:b/>
                          <w:bCs/>
                          <w:color w:val="auto"/>
                          <w:sz w:val="48"/>
                          <w:szCs w:val="48"/>
                        </w:rPr>
                        <w:t>INTRODUCTION GENERALE</w:t>
                      </w:r>
                      <w:bookmarkEnd w:id="32"/>
                      <w:bookmarkEnd w:id="33"/>
                    </w:p>
                  </w:txbxContent>
                </v:textbox>
                <w10:wrap anchorx="margin"/>
              </v:roundrect>
            </w:pict>
          </mc:Fallback>
        </mc:AlternateContent>
      </w:r>
    </w:p>
    <w:p w14:paraId="2295C083" w14:textId="77777777" w:rsidR="00354C9E" w:rsidRPr="0014039A" w:rsidRDefault="00354C9E" w:rsidP="00AE3850">
      <w:pPr>
        <w:spacing w:line="360" w:lineRule="auto"/>
        <w:jc w:val="both"/>
        <w:rPr>
          <w:rFonts w:asciiTheme="majorBidi" w:hAnsiTheme="majorBidi" w:cstheme="majorBidi"/>
        </w:rPr>
      </w:pPr>
    </w:p>
    <w:p w14:paraId="3A04D03C" w14:textId="77777777" w:rsidR="00354C9E" w:rsidRPr="0014039A" w:rsidRDefault="00354C9E" w:rsidP="00AE3850">
      <w:pPr>
        <w:spacing w:line="360" w:lineRule="auto"/>
        <w:jc w:val="both"/>
        <w:rPr>
          <w:rFonts w:asciiTheme="majorBidi" w:hAnsiTheme="majorBidi" w:cstheme="majorBidi"/>
        </w:rPr>
      </w:pPr>
    </w:p>
    <w:p w14:paraId="7A7853D7" w14:textId="77777777" w:rsidR="00354C9E" w:rsidRPr="0014039A" w:rsidRDefault="00354C9E" w:rsidP="00AE3850">
      <w:pPr>
        <w:spacing w:line="360" w:lineRule="auto"/>
        <w:jc w:val="both"/>
        <w:rPr>
          <w:rFonts w:asciiTheme="majorBidi" w:hAnsiTheme="majorBidi" w:cstheme="majorBidi"/>
        </w:rPr>
      </w:pPr>
    </w:p>
    <w:p w14:paraId="1D147A2C" w14:textId="77777777" w:rsidR="00354C9E" w:rsidRPr="0014039A" w:rsidRDefault="00354C9E" w:rsidP="00AE3850">
      <w:pPr>
        <w:spacing w:line="360" w:lineRule="auto"/>
        <w:jc w:val="both"/>
        <w:rPr>
          <w:rFonts w:asciiTheme="majorBidi" w:hAnsiTheme="majorBidi" w:cstheme="majorBidi"/>
        </w:rPr>
      </w:pPr>
    </w:p>
    <w:p w14:paraId="4B735AFB" w14:textId="77777777" w:rsidR="00354C9E" w:rsidRPr="0014039A" w:rsidRDefault="00354C9E" w:rsidP="00AE3850">
      <w:pPr>
        <w:spacing w:line="360" w:lineRule="auto"/>
        <w:jc w:val="both"/>
        <w:rPr>
          <w:rFonts w:asciiTheme="majorBidi" w:hAnsiTheme="majorBidi" w:cstheme="majorBidi"/>
        </w:rPr>
      </w:pPr>
    </w:p>
    <w:p w14:paraId="08E247E8" w14:textId="77777777" w:rsidR="00354C9E" w:rsidRPr="0014039A" w:rsidRDefault="00354C9E" w:rsidP="00AE3850">
      <w:pPr>
        <w:spacing w:line="360" w:lineRule="auto"/>
        <w:jc w:val="both"/>
        <w:rPr>
          <w:rFonts w:asciiTheme="majorBidi" w:hAnsiTheme="majorBidi" w:cstheme="majorBidi"/>
        </w:rPr>
      </w:pPr>
    </w:p>
    <w:p w14:paraId="05C57992" w14:textId="77777777" w:rsidR="00354C9E" w:rsidRPr="0014039A" w:rsidRDefault="00354C9E" w:rsidP="00AE3850">
      <w:pPr>
        <w:spacing w:line="360" w:lineRule="auto"/>
        <w:jc w:val="both"/>
        <w:rPr>
          <w:rFonts w:asciiTheme="majorBidi" w:hAnsiTheme="majorBidi" w:cstheme="majorBidi"/>
        </w:rPr>
      </w:pPr>
    </w:p>
    <w:p w14:paraId="30B06E25" w14:textId="77777777" w:rsidR="00354C9E" w:rsidRPr="0014039A" w:rsidRDefault="00354C9E" w:rsidP="00AE3850">
      <w:pPr>
        <w:spacing w:line="360" w:lineRule="auto"/>
        <w:jc w:val="both"/>
        <w:rPr>
          <w:rFonts w:asciiTheme="majorBidi" w:hAnsiTheme="majorBidi" w:cstheme="majorBidi"/>
        </w:rPr>
      </w:pPr>
    </w:p>
    <w:p w14:paraId="38CE72D9" w14:textId="77777777" w:rsidR="00354C9E" w:rsidRPr="0014039A" w:rsidRDefault="00354C9E" w:rsidP="00AE3850">
      <w:pPr>
        <w:spacing w:line="360" w:lineRule="auto"/>
        <w:jc w:val="both"/>
        <w:rPr>
          <w:rFonts w:asciiTheme="majorBidi" w:hAnsiTheme="majorBidi" w:cstheme="majorBidi"/>
        </w:rPr>
      </w:pPr>
    </w:p>
    <w:p w14:paraId="46D1D76F" w14:textId="77777777" w:rsidR="00354C9E" w:rsidRPr="0014039A" w:rsidRDefault="00354C9E" w:rsidP="00AE3850">
      <w:pPr>
        <w:spacing w:line="360" w:lineRule="auto"/>
        <w:jc w:val="both"/>
        <w:rPr>
          <w:rFonts w:asciiTheme="majorBidi" w:hAnsiTheme="majorBidi" w:cstheme="majorBidi"/>
        </w:rPr>
      </w:pPr>
    </w:p>
    <w:p w14:paraId="468B2276" w14:textId="77777777" w:rsidR="00354C9E" w:rsidRPr="0014039A" w:rsidRDefault="00354C9E" w:rsidP="00AE3850">
      <w:pPr>
        <w:spacing w:line="360" w:lineRule="auto"/>
        <w:jc w:val="both"/>
        <w:rPr>
          <w:rFonts w:asciiTheme="majorBidi" w:hAnsiTheme="majorBidi" w:cstheme="majorBidi"/>
        </w:rPr>
      </w:pPr>
    </w:p>
    <w:p w14:paraId="77AD0114" w14:textId="77777777" w:rsidR="00354C9E" w:rsidRPr="0014039A" w:rsidRDefault="00354C9E" w:rsidP="00AE3850">
      <w:pPr>
        <w:spacing w:line="360" w:lineRule="auto"/>
        <w:jc w:val="both"/>
        <w:rPr>
          <w:rFonts w:asciiTheme="majorBidi" w:hAnsiTheme="majorBidi" w:cstheme="majorBidi"/>
        </w:rPr>
      </w:pPr>
    </w:p>
    <w:p w14:paraId="3BE0216F" w14:textId="77777777" w:rsidR="00354C9E" w:rsidRPr="0014039A" w:rsidRDefault="00354C9E" w:rsidP="00AE3850">
      <w:pPr>
        <w:spacing w:line="360" w:lineRule="auto"/>
        <w:jc w:val="both"/>
        <w:rPr>
          <w:rFonts w:asciiTheme="majorBidi" w:hAnsiTheme="majorBidi" w:cstheme="majorBidi"/>
        </w:rPr>
      </w:pPr>
    </w:p>
    <w:p w14:paraId="6C7D14F9" w14:textId="77777777" w:rsidR="00354C9E" w:rsidRPr="0014039A" w:rsidRDefault="00354C9E" w:rsidP="00AE3850">
      <w:pPr>
        <w:spacing w:line="360" w:lineRule="auto"/>
        <w:jc w:val="both"/>
        <w:rPr>
          <w:rFonts w:asciiTheme="majorBidi" w:hAnsiTheme="majorBidi" w:cstheme="majorBidi"/>
        </w:rPr>
      </w:pPr>
    </w:p>
    <w:p w14:paraId="66D8829E" w14:textId="77777777" w:rsidR="00354C9E" w:rsidRPr="0014039A" w:rsidRDefault="00354C9E" w:rsidP="00AE3850">
      <w:pPr>
        <w:spacing w:line="360" w:lineRule="auto"/>
        <w:jc w:val="both"/>
        <w:rPr>
          <w:rFonts w:asciiTheme="majorBidi" w:hAnsiTheme="majorBidi" w:cstheme="majorBidi"/>
        </w:rPr>
      </w:pPr>
    </w:p>
    <w:p w14:paraId="7E61F905" w14:textId="77777777" w:rsidR="00354C9E" w:rsidRPr="0014039A" w:rsidRDefault="00354C9E" w:rsidP="00AE3850">
      <w:pPr>
        <w:spacing w:line="360" w:lineRule="auto"/>
        <w:jc w:val="both"/>
        <w:rPr>
          <w:rFonts w:asciiTheme="majorBidi" w:hAnsiTheme="majorBidi" w:cstheme="majorBidi"/>
        </w:rPr>
      </w:pPr>
    </w:p>
    <w:p w14:paraId="5022B46D" w14:textId="77777777" w:rsidR="00354C9E" w:rsidRPr="0014039A" w:rsidRDefault="00354C9E" w:rsidP="00AE3850">
      <w:pPr>
        <w:spacing w:line="360" w:lineRule="auto"/>
        <w:jc w:val="both"/>
        <w:rPr>
          <w:rFonts w:asciiTheme="majorBidi" w:hAnsiTheme="majorBidi" w:cstheme="majorBidi"/>
        </w:rPr>
      </w:pPr>
    </w:p>
    <w:p w14:paraId="234779A9" w14:textId="77777777" w:rsidR="00354C9E" w:rsidRPr="0014039A" w:rsidRDefault="00354C9E" w:rsidP="00AE3850">
      <w:pPr>
        <w:spacing w:line="360" w:lineRule="auto"/>
        <w:jc w:val="both"/>
        <w:rPr>
          <w:rFonts w:asciiTheme="majorBidi" w:hAnsiTheme="majorBidi" w:cstheme="majorBidi"/>
        </w:rPr>
      </w:pPr>
    </w:p>
    <w:p w14:paraId="5B63CB09" w14:textId="77777777" w:rsidR="00354C9E" w:rsidRPr="0014039A" w:rsidRDefault="00354C9E" w:rsidP="00AE3850">
      <w:pPr>
        <w:spacing w:line="360" w:lineRule="auto"/>
        <w:jc w:val="both"/>
        <w:rPr>
          <w:rFonts w:asciiTheme="majorBidi" w:hAnsiTheme="majorBidi" w:cstheme="majorBidi"/>
        </w:rPr>
      </w:pPr>
    </w:p>
    <w:p w14:paraId="709CEFF8" w14:textId="77777777" w:rsidR="00354C9E" w:rsidRPr="0014039A" w:rsidRDefault="00354C9E" w:rsidP="00AE3850">
      <w:pPr>
        <w:spacing w:line="360" w:lineRule="auto"/>
        <w:jc w:val="both"/>
        <w:rPr>
          <w:rFonts w:asciiTheme="majorBidi" w:hAnsiTheme="majorBidi" w:cstheme="majorBidi"/>
        </w:rPr>
      </w:pPr>
    </w:p>
    <w:p w14:paraId="027834FD" w14:textId="77777777" w:rsidR="00354C9E" w:rsidRPr="0014039A" w:rsidRDefault="00354C9E" w:rsidP="00AE3850">
      <w:pPr>
        <w:spacing w:line="360" w:lineRule="auto"/>
        <w:jc w:val="both"/>
        <w:rPr>
          <w:rFonts w:asciiTheme="majorBidi" w:hAnsiTheme="majorBidi" w:cstheme="majorBidi"/>
        </w:rPr>
      </w:pPr>
    </w:p>
    <w:p w14:paraId="3B30504E" w14:textId="110344CC" w:rsidR="008B51AE" w:rsidRPr="008B51AE" w:rsidRDefault="008B51AE" w:rsidP="00AE3850">
      <w:pPr>
        <w:spacing w:line="360" w:lineRule="auto"/>
        <w:ind w:firstLine="720"/>
        <w:jc w:val="both"/>
        <w:rPr>
          <w:rFonts w:asciiTheme="majorBidi" w:hAnsiTheme="majorBidi" w:cstheme="majorBidi"/>
        </w:rPr>
      </w:pPr>
      <w:r w:rsidRPr="008B51AE">
        <w:rPr>
          <w:rFonts w:asciiTheme="majorBidi" w:hAnsiTheme="majorBidi" w:cstheme="majorBidi"/>
        </w:rPr>
        <w:lastRenderedPageBreak/>
        <w:t>Aujourd’hui, les entreprises, en particulier les structures publiques, doivent faire face à des budgets limités et à une gestion rigoureuse des ressources. Dans ce contexte, la gestion budgétaire joue un rôle essentiel. Elle permet de prévoir les dépenses, de planifier l’utilisation des ressources et de suivre leur exécution. Grâce à des outils comme les prévisions, les engagements et l’analyse des écarts, elle aide les responsables à garder le contrôle sur la situation financière de leur organisation. Au-delà de sa fonction de planification, la gestion budgétaire devient un véritable outil de contrôle de gestion. Elle permet de mieux encadrer les décisions, d’améliorer la transparence et de responsabiliser les différents services dans la bonne utilisation des moyens alloués.</w:t>
      </w:r>
    </w:p>
    <w:p w14:paraId="4785A1D1" w14:textId="64D1DE20" w:rsidR="008B51AE" w:rsidRPr="008B51AE" w:rsidRDefault="008B51AE" w:rsidP="00AE3850">
      <w:pPr>
        <w:spacing w:line="360" w:lineRule="auto"/>
        <w:jc w:val="both"/>
        <w:rPr>
          <w:rFonts w:asciiTheme="majorBidi" w:hAnsiTheme="majorBidi" w:cstheme="majorBidi"/>
        </w:rPr>
      </w:pPr>
      <w:r w:rsidRPr="008B51AE">
        <w:rPr>
          <w:rFonts w:asciiTheme="majorBidi" w:hAnsiTheme="majorBidi" w:cstheme="majorBidi"/>
        </w:rPr>
        <w:t xml:space="preserve"> </w:t>
      </w:r>
      <w:r w:rsidR="00E54CAB">
        <w:rPr>
          <w:rFonts w:asciiTheme="majorBidi" w:hAnsiTheme="majorBidi" w:cstheme="majorBidi"/>
          <w:rtl/>
        </w:rPr>
        <w:tab/>
      </w:r>
      <w:r w:rsidRPr="008B51AE">
        <w:rPr>
          <w:rFonts w:asciiTheme="majorBidi" w:hAnsiTheme="majorBidi" w:cstheme="majorBidi"/>
        </w:rPr>
        <w:t>Dans les entreprises publiques comme Algérie Télécom, la gestion budgétaire occupe une place centrale dans le dispositif de gouvernance interne. Elle est appelée à jouer un rôle structurant, en garantissant une utilisation rationnelle des ressources et en assurant le respect des objectifs fixés par la Direction Générale.  La Direction Opérationnelle des Télécommunications (DOT) de Beni Messous constitue à ce titre un exemple pertinent pour étudier l’efficacité du processus budgétaire à l’échelle locale, dans un cadre organisationnel régi par des normes internes, des outils numériques et des impératifs de performance. Toutefois, malgré l’existence d’un processus budgétaire structuré et l’utilisation d’un système de gestion intégré comme Oracle Finance, certaines limites ont été observées dans la mise en œuvre concrète du contrôle de gestion : dépassements budgétaires non signalés, engagements élevés non suivis de réalisations, absence d’alerte automatique, ou encore confusion entre prévision et engagement.</w:t>
      </w:r>
    </w:p>
    <w:p w14:paraId="74978E8F" w14:textId="077D7C66" w:rsidR="008B51AE" w:rsidRPr="009A4ADB" w:rsidRDefault="009A4ADB" w:rsidP="009A4ADB">
      <w:pPr>
        <w:spacing w:line="360" w:lineRule="auto"/>
        <w:rPr>
          <w:rFonts w:asciiTheme="majorBidi" w:eastAsiaTheme="majorEastAsia" w:hAnsiTheme="majorBidi" w:cstheme="majorBidi"/>
          <w:sz w:val="28"/>
          <w:szCs w:val="28"/>
          <w:lang w:eastAsia="fr-FR"/>
        </w:rPr>
      </w:pPr>
      <w:r w:rsidRPr="009A4ADB">
        <w:rPr>
          <w:rFonts w:asciiTheme="majorBidi" w:hAnsiTheme="majorBidi" w:cstheme="majorBidi"/>
        </w:rPr>
        <w:t>C’est dans ce contexte que s’inscrit notre travail, qui vise à analyser en profondeur la gestion budgétaire telle qu’elle est pratiquée à la DOT de Beni Messous, afin d’évaluer dans quelle mesure elle constitue un véritable outil de pilotage et de contrôle de gestion.</w:t>
      </w:r>
      <w:r w:rsidRPr="009A4ADB">
        <w:rPr>
          <w:rFonts w:asciiTheme="majorBidi" w:hAnsiTheme="majorBidi" w:cstheme="majorBidi"/>
        </w:rPr>
        <w:br/>
        <w:t xml:space="preserve">Plus précisément, notre étude cherchera à mesurer le </w:t>
      </w:r>
      <w:r w:rsidRPr="009A4ADB">
        <w:rPr>
          <w:rStyle w:val="lev"/>
          <w:rFonts w:asciiTheme="majorBidi" w:hAnsiTheme="majorBidi" w:cstheme="majorBidi"/>
          <w:b w:val="0"/>
          <w:bCs w:val="0"/>
        </w:rPr>
        <w:t>degré d’alignement entre les différentes phases du processus budgétaire</w:t>
      </w:r>
      <w:r w:rsidRPr="009A4ADB">
        <w:rPr>
          <w:rFonts w:asciiTheme="majorBidi" w:hAnsiTheme="majorBidi" w:cstheme="majorBidi"/>
        </w:rPr>
        <w:t xml:space="preserve"> (élaboration, exécution, suivi, réaménagement), </w:t>
      </w:r>
      <w:r w:rsidRPr="009A4ADB">
        <w:rPr>
          <w:rFonts w:asciiTheme="majorBidi" w:hAnsiTheme="majorBidi" w:cstheme="majorBidi"/>
          <w:b/>
          <w:bCs/>
        </w:rPr>
        <w:t xml:space="preserve">à </w:t>
      </w:r>
      <w:r w:rsidRPr="009A4ADB">
        <w:rPr>
          <w:rStyle w:val="lev"/>
          <w:rFonts w:asciiTheme="majorBidi" w:hAnsiTheme="majorBidi" w:cstheme="majorBidi"/>
          <w:b w:val="0"/>
          <w:bCs w:val="0"/>
        </w:rPr>
        <w:t>identifier les écarts</w:t>
      </w:r>
      <w:r w:rsidRPr="009A4ADB">
        <w:rPr>
          <w:rFonts w:asciiTheme="majorBidi" w:hAnsiTheme="majorBidi" w:cstheme="majorBidi"/>
        </w:rPr>
        <w:t xml:space="preserve"> entre prévisions, engagements et réalisations, mais également à</w:t>
      </w:r>
      <w:r w:rsidRPr="009A4ADB">
        <w:rPr>
          <w:rFonts w:asciiTheme="majorBidi" w:hAnsiTheme="majorBidi" w:cstheme="majorBidi"/>
          <w:b/>
          <w:bCs/>
        </w:rPr>
        <w:t xml:space="preserve"> </w:t>
      </w:r>
      <w:r w:rsidRPr="009A4ADB">
        <w:rPr>
          <w:rStyle w:val="lev"/>
          <w:rFonts w:asciiTheme="majorBidi" w:hAnsiTheme="majorBidi" w:cstheme="majorBidi"/>
          <w:b w:val="0"/>
          <w:bCs w:val="0"/>
        </w:rPr>
        <w:t>remettre en question certaines pratiques internes</w:t>
      </w:r>
      <w:r w:rsidRPr="009A4ADB">
        <w:rPr>
          <w:rFonts w:asciiTheme="majorBidi" w:hAnsiTheme="majorBidi" w:cstheme="majorBidi"/>
          <w:b/>
          <w:bCs/>
        </w:rPr>
        <w:t>.</w:t>
      </w:r>
      <w:r w:rsidRPr="009A4ADB">
        <w:rPr>
          <w:rFonts w:asciiTheme="majorBidi" w:hAnsiTheme="majorBidi" w:cstheme="majorBidi"/>
          <w:b/>
          <w:bCs/>
        </w:rPr>
        <w:br/>
      </w:r>
      <w:r w:rsidRPr="009A4ADB">
        <w:rPr>
          <w:rFonts w:asciiTheme="majorBidi" w:hAnsiTheme="majorBidi" w:cstheme="majorBidi"/>
        </w:rPr>
        <w:t xml:space="preserve">Cela inclut une analyse critique des </w:t>
      </w:r>
      <w:r w:rsidRPr="009A4ADB">
        <w:rPr>
          <w:rStyle w:val="lev"/>
          <w:rFonts w:asciiTheme="majorBidi" w:hAnsiTheme="majorBidi" w:cstheme="majorBidi"/>
          <w:b w:val="0"/>
          <w:bCs w:val="0"/>
        </w:rPr>
        <w:t>méthodes de calcul utilisées</w:t>
      </w:r>
      <w:r w:rsidRPr="009A4ADB">
        <w:rPr>
          <w:rFonts w:asciiTheme="majorBidi" w:hAnsiTheme="majorBidi" w:cstheme="majorBidi"/>
        </w:rPr>
        <w:t xml:space="preserve">, des </w:t>
      </w:r>
      <w:r w:rsidRPr="009A4ADB">
        <w:rPr>
          <w:rStyle w:val="lev"/>
          <w:rFonts w:asciiTheme="majorBidi" w:hAnsiTheme="majorBidi" w:cstheme="majorBidi"/>
          <w:b w:val="0"/>
          <w:bCs w:val="0"/>
        </w:rPr>
        <w:t>acteurs impliqués dans chaque étape</w:t>
      </w:r>
      <w:r w:rsidR="002D40CF">
        <w:rPr>
          <w:rFonts w:asciiTheme="majorBidi" w:hAnsiTheme="majorBidi" w:cstheme="majorBidi"/>
        </w:rPr>
        <w:t xml:space="preserve">, </w:t>
      </w:r>
      <w:r w:rsidRPr="009A4ADB">
        <w:rPr>
          <w:rFonts w:asciiTheme="majorBidi" w:hAnsiTheme="majorBidi" w:cstheme="majorBidi"/>
        </w:rPr>
        <w:t>et de la manière dont les décisions budgétaires sont formalisées et suivies.</w:t>
      </w:r>
      <w:r w:rsidRPr="009A4ADB">
        <w:rPr>
          <w:rFonts w:asciiTheme="majorBidi" w:hAnsiTheme="majorBidi" w:cstheme="majorBidi"/>
        </w:rPr>
        <w:br/>
        <w:t xml:space="preserve">Une attention particulière sera portée aux </w:t>
      </w:r>
      <w:r w:rsidRPr="00041543">
        <w:rPr>
          <w:rStyle w:val="lev"/>
          <w:rFonts w:asciiTheme="majorBidi" w:hAnsiTheme="majorBidi" w:cstheme="majorBidi"/>
          <w:b w:val="0"/>
          <w:bCs w:val="0"/>
        </w:rPr>
        <w:t>dysfonctionnements liés au système Oracle</w:t>
      </w:r>
      <w:r w:rsidRPr="00041543">
        <w:rPr>
          <w:rFonts w:asciiTheme="majorBidi" w:hAnsiTheme="majorBidi" w:cstheme="majorBidi"/>
          <w:b/>
          <w:bCs/>
        </w:rPr>
        <w:t>,</w:t>
      </w:r>
      <w:r w:rsidRPr="009A4ADB">
        <w:rPr>
          <w:rFonts w:asciiTheme="majorBidi" w:hAnsiTheme="majorBidi" w:cstheme="majorBidi"/>
        </w:rPr>
        <w:t xml:space="preserve"> </w:t>
      </w:r>
      <w:r w:rsidRPr="009A4ADB">
        <w:rPr>
          <w:rFonts w:asciiTheme="majorBidi" w:hAnsiTheme="majorBidi" w:cstheme="majorBidi"/>
        </w:rPr>
        <w:lastRenderedPageBreak/>
        <w:t>notamment en ce qui concerne le manque d’alertes, les duplications de bons de commande, et l’absence de blocage en cas d’anomalie.</w:t>
      </w:r>
      <w:r w:rsidR="008B51AE" w:rsidRPr="009A4ADB">
        <w:rPr>
          <w:rFonts w:asciiTheme="majorBidi" w:hAnsiTheme="majorBidi" w:cstheme="majorBidi"/>
          <w:sz w:val="28"/>
          <w:szCs w:val="28"/>
          <w:lang w:eastAsia="fr-FR"/>
        </w:rPr>
        <w:br w:type="page"/>
      </w:r>
    </w:p>
    <w:p w14:paraId="792F040D" w14:textId="6D7E574F" w:rsidR="008B51AE" w:rsidRPr="00690311" w:rsidRDefault="00690311" w:rsidP="00AE3850">
      <w:pPr>
        <w:pStyle w:val="Titre2"/>
        <w:spacing w:line="360" w:lineRule="auto"/>
        <w:jc w:val="both"/>
        <w:rPr>
          <w:rFonts w:asciiTheme="majorBidi" w:hAnsiTheme="majorBidi"/>
          <w:b/>
          <w:bCs/>
          <w:color w:val="auto"/>
          <w:sz w:val="28"/>
          <w:szCs w:val="28"/>
          <w:u w:val="single"/>
          <w:lang w:eastAsia="fr-FR"/>
        </w:rPr>
      </w:pPr>
      <w:bookmarkStart w:id="32" w:name="_Toc199314366"/>
      <w:bookmarkStart w:id="33" w:name="_Toc199314570"/>
      <w:r w:rsidRPr="00690311">
        <w:rPr>
          <w:rFonts w:asciiTheme="majorBidi" w:hAnsiTheme="majorBidi"/>
          <w:b/>
          <w:bCs/>
          <w:color w:val="auto"/>
          <w:sz w:val="28"/>
          <w:szCs w:val="28"/>
          <w:u w:val="single"/>
          <w:lang w:eastAsia="fr-FR"/>
        </w:rPr>
        <w:lastRenderedPageBreak/>
        <w:t>Problématique :</w:t>
      </w:r>
      <w:bookmarkEnd w:id="32"/>
      <w:bookmarkEnd w:id="33"/>
    </w:p>
    <w:p w14:paraId="1BBB5B3D" w14:textId="77777777" w:rsidR="008B51AE" w:rsidRPr="008B51AE" w:rsidRDefault="008B51AE" w:rsidP="00AE3850">
      <w:pPr>
        <w:shd w:val="clear" w:color="auto" w:fill="FFFFFF"/>
        <w:spacing w:before="100" w:beforeAutospacing="1" w:after="100" w:afterAutospacing="1" w:line="360" w:lineRule="auto"/>
        <w:ind w:firstLine="720"/>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Partant du constat que plusieurs entreprises publiques rencontrent des difficultés à maîtriser leur exécution budgétaire malgré l’existence d’outils performants, notre étude pose la question centrale suivante :</w:t>
      </w:r>
    </w:p>
    <w:p w14:paraId="2FE2AEE2" w14:textId="427B32A3" w:rsidR="008B51AE" w:rsidRPr="00771E97" w:rsidRDefault="00771E97" w:rsidP="00AE3850">
      <w:pPr>
        <w:shd w:val="clear" w:color="auto" w:fill="FFFFFF"/>
        <w:spacing w:before="100" w:beforeAutospacing="1" w:after="100" w:afterAutospacing="1" w:line="360" w:lineRule="auto"/>
        <w:jc w:val="both"/>
        <w:rPr>
          <w:rFonts w:asciiTheme="majorBidi" w:eastAsia="Times New Roman" w:hAnsiTheme="majorBidi" w:cstheme="majorBidi"/>
          <w:b/>
          <w:bCs/>
          <w:sz w:val="28"/>
          <w:szCs w:val="28"/>
          <w:lang w:eastAsia="fr-FR"/>
        </w:rPr>
      </w:pPr>
      <w:r w:rsidRPr="00771E97">
        <w:rPr>
          <w:rFonts w:asciiTheme="majorBidi" w:hAnsiTheme="majorBidi" w:cstheme="majorBidi"/>
          <w:b/>
          <w:bCs/>
          <w:sz w:val="28"/>
          <w:szCs w:val="28"/>
        </w:rPr>
        <w:t>Comment la gestion budgétaire renforce-t-elle les mécanismes de pilotage et de performance dans le secteur public ?</w:t>
      </w:r>
    </w:p>
    <w:p w14:paraId="265BF0A4" w14:textId="21F69640" w:rsidR="008B51AE" w:rsidRPr="006F481C" w:rsidRDefault="008B51AE" w:rsidP="00AE3850">
      <w:pPr>
        <w:pStyle w:val="Titre2"/>
        <w:spacing w:line="360" w:lineRule="auto"/>
        <w:jc w:val="both"/>
        <w:rPr>
          <w:rFonts w:asciiTheme="majorBidi" w:hAnsiTheme="majorBidi"/>
          <w:b/>
          <w:bCs/>
          <w:color w:val="auto"/>
          <w:sz w:val="28"/>
          <w:szCs w:val="28"/>
          <w:u w:val="single"/>
          <w:lang w:eastAsia="fr-FR"/>
        </w:rPr>
      </w:pPr>
      <w:bookmarkStart w:id="34" w:name="_Toc199314367"/>
      <w:bookmarkStart w:id="35" w:name="_Toc199314571"/>
      <w:r w:rsidRPr="006F481C">
        <w:rPr>
          <w:rFonts w:asciiTheme="majorBidi" w:hAnsiTheme="majorBidi"/>
          <w:b/>
          <w:bCs/>
          <w:color w:val="auto"/>
          <w:sz w:val="28"/>
          <w:szCs w:val="28"/>
          <w:u w:val="single"/>
          <w:lang w:eastAsia="fr-FR"/>
        </w:rPr>
        <w:t xml:space="preserve">Questions de recherche </w:t>
      </w:r>
      <w:r w:rsidR="00AA1F2E" w:rsidRPr="006F481C">
        <w:rPr>
          <w:rFonts w:asciiTheme="majorBidi" w:hAnsiTheme="majorBidi"/>
          <w:b/>
          <w:bCs/>
          <w:color w:val="auto"/>
          <w:sz w:val="28"/>
          <w:szCs w:val="28"/>
          <w:u w:val="single"/>
          <w:lang w:eastAsia="fr-FR"/>
        </w:rPr>
        <w:t>secondaires</w:t>
      </w:r>
      <w:r w:rsidR="00AA1F2E">
        <w:rPr>
          <w:rFonts w:asciiTheme="majorBidi" w:hAnsiTheme="majorBidi"/>
          <w:b/>
          <w:bCs/>
          <w:color w:val="auto"/>
          <w:sz w:val="28"/>
          <w:szCs w:val="28"/>
          <w:u w:val="single"/>
          <w:lang w:eastAsia="fr-FR"/>
        </w:rPr>
        <w:t xml:space="preserve"> :</w:t>
      </w:r>
      <w:bookmarkEnd w:id="34"/>
      <w:bookmarkEnd w:id="35"/>
    </w:p>
    <w:p w14:paraId="302B8391" w14:textId="77777777" w:rsidR="008B51AE" w:rsidRPr="008B51AE" w:rsidRDefault="008B51AE" w:rsidP="00AE3850">
      <w:p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À partir de cette problématique générale, plusieurs interrogations spécifiques émergent :</w:t>
      </w:r>
    </w:p>
    <w:p w14:paraId="1063302A" w14:textId="77777777" w:rsidR="008B51AE" w:rsidRPr="008B51AE" w:rsidRDefault="008B51AE" w:rsidP="00C13671">
      <w:pPr>
        <w:numPr>
          <w:ilvl w:val="0"/>
          <w:numId w:val="4"/>
        </w:num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Quels sont les mécanismes à travers lesquels la gestion budgétaire soutient le contrôle de gestion dans les entreprises publiques ?</w:t>
      </w:r>
    </w:p>
    <w:p w14:paraId="483B709B" w14:textId="77777777" w:rsidR="008B51AE" w:rsidRPr="008B51AE" w:rsidRDefault="008B51AE" w:rsidP="00C13671">
      <w:pPr>
        <w:numPr>
          <w:ilvl w:val="0"/>
          <w:numId w:val="4"/>
        </w:num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Les outils technologiques utilisés (comme Oracle Finance) permettent-ils un suivi efficace du budget ?</w:t>
      </w:r>
    </w:p>
    <w:p w14:paraId="1090960D" w14:textId="77777777" w:rsidR="00AB34B8" w:rsidRPr="00AB34B8" w:rsidRDefault="00AB34B8" w:rsidP="00AB34B8">
      <w:pPr>
        <w:numPr>
          <w:ilvl w:val="0"/>
          <w:numId w:val="4"/>
        </w:numPr>
        <w:spacing w:before="100" w:beforeAutospacing="1" w:after="100" w:afterAutospacing="1" w:line="360" w:lineRule="auto"/>
        <w:jc w:val="both"/>
        <w:rPr>
          <w:rFonts w:asciiTheme="majorBidi" w:eastAsia="Times New Roman" w:hAnsiTheme="majorBidi" w:cstheme="majorBidi"/>
          <w:lang w:eastAsia="fr-FR"/>
        </w:rPr>
      </w:pPr>
      <w:r w:rsidRPr="00AB34B8">
        <w:rPr>
          <w:rFonts w:asciiTheme="majorBidi" w:hAnsiTheme="majorBidi" w:cstheme="majorBidi"/>
        </w:rPr>
        <w:t>Quelles insuffisances ou dysfonctionnements affectent le processus budgétaire à la DOT de Beni Messous ?</w:t>
      </w:r>
    </w:p>
    <w:p w14:paraId="15411A58" w14:textId="15D92145" w:rsidR="008B51AE" w:rsidRPr="00AB34B8" w:rsidRDefault="008B51AE" w:rsidP="00AB34B8">
      <w:pPr>
        <w:numPr>
          <w:ilvl w:val="0"/>
          <w:numId w:val="4"/>
        </w:num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Quelles améliorations pourraient renforcer l’impact de la gestion budgétaire sur la performance organisationnelle ?</w:t>
      </w:r>
    </w:p>
    <w:p w14:paraId="7D9C627B" w14:textId="62561EA6" w:rsidR="008B51AE" w:rsidRPr="006F481C" w:rsidRDefault="008B51AE" w:rsidP="00AE3850">
      <w:pPr>
        <w:pStyle w:val="Titre2"/>
        <w:spacing w:line="360" w:lineRule="auto"/>
        <w:jc w:val="both"/>
        <w:rPr>
          <w:rFonts w:asciiTheme="majorBidi" w:hAnsiTheme="majorBidi"/>
          <w:b/>
          <w:bCs/>
          <w:u w:val="single"/>
          <w:lang w:eastAsia="fr-FR"/>
        </w:rPr>
      </w:pPr>
      <w:r w:rsidRPr="008B51AE">
        <w:rPr>
          <w:lang w:eastAsia="fr-FR"/>
        </w:rPr>
        <w:t xml:space="preserve"> </w:t>
      </w:r>
      <w:bookmarkStart w:id="36" w:name="_Toc199314368"/>
      <w:bookmarkStart w:id="37" w:name="_Toc199314572"/>
      <w:r w:rsidRPr="006F481C">
        <w:rPr>
          <w:rFonts w:asciiTheme="majorBidi" w:hAnsiTheme="majorBidi"/>
          <w:b/>
          <w:bCs/>
          <w:color w:val="auto"/>
          <w:sz w:val="28"/>
          <w:szCs w:val="28"/>
          <w:u w:val="single"/>
          <w:lang w:eastAsia="fr-FR"/>
        </w:rPr>
        <w:t xml:space="preserve">Hypothèse </w:t>
      </w:r>
      <w:r w:rsidR="005204CB" w:rsidRPr="006F481C">
        <w:rPr>
          <w:rFonts w:asciiTheme="majorBidi" w:hAnsiTheme="majorBidi"/>
          <w:b/>
          <w:bCs/>
          <w:color w:val="auto"/>
          <w:sz w:val="28"/>
          <w:szCs w:val="28"/>
          <w:u w:val="single"/>
          <w:lang w:eastAsia="fr-FR"/>
        </w:rPr>
        <w:t>générale</w:t>
      </w:r>
      <w:r w:rsidR="005204CB">
        <w:rPr>
          <w:rFonts w:asciiTheme="majorBidi" w:hAnsiTheme="majorBidi"/>
          <w:b/>
          <w:bCs/>
          <w:color w:val="auto"/>
          <w:sz w:val="28"/>
          <w:szCs w:val="28"/>
          <w:u w:val="single"/>
          <w:lang w:eastAsia="fr-FR"/>
        </w:rPr>
        <w:t xml:space="preserve"> :</w:t>
      </w:r>
      <w:bookmarkEnd w:id="36"/>
      <w:bookmarkEnd w:id="37"/>
    </w:p>
    <w:p w14:paraId="4E92C65B" w14:textId="74DCC594" w:rsidR="008B51AE" w:rsidRPr="008B51AE" w:rsidRDefault="008B51AE" w:rsidP="00AE3850">
      <w:pPr>
        <w:spacing w:beforeAutospacing="1" w:after="100" w:afterAutospacing="1" w:line="360" w:lineRule="auto"/>
        <w:ind w:firstLine="720"/>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La gestion budgétaire contribue au contrôle de gestion en structurant la planification financière, en facilitant le suivi des performances et en soutenant la prise de décision dans les entreprises publiques.</w:t>
      </w:r>
    </w:p>
    <w:p w14:paraId="318DF75B" w14:textId="77777777" w:rsidR="008B51AE" w:rsidRDefault="008B51AE" w:rsidP="00AE3850">
      <w:pPr>
        <w:spacing w:line="360" w:lineRule="auto"/>
        <w:jc w:val="both"/>
      </w:pPr>
      <w:r w:rsidRPr="008B51AE">
        <w:t xml:space="preserve"> </w:t>
      </w:r>
    </w:p>
    <w:p w14:paraId="634D5820" w14:textId="77777777" w:rsidR="008B51AE" w:rsidRDefault="008B51AE" w:rsidP="00AE3850">
      <w:pPr>
        <w:spacing w:line="360" w:lineRule="auto"/>
        <w:jc w:val="both"/>
        <w:rPr>
          <w:rFonts w:asciiTheme="majorBidi" w:eastAsiaTheme="majorEastAsia" w:hAnsiTheme="majorBidi" w:cstheme="majorBidi"/>
          <w:b/>
          <w:bCs/>
          <w:sz w:val="28"/>
          <w:szCs w:val="28"/>
        </w:rPr>
      </w:pPr>
      <w:r>
        <w:rPr>
          <w:rFonts w:asciiTheme="majorBidi" w:hAnsiTheme="majorBidi"/>
          <w:b/>
          <w:bCs/>
          <w:sz w:val="28"/>
          <w:szCs w:val="28"/>
        </w:rPr>
        <w:br w:type="page"/>
      </w:r>
    </w:p>
    <w:p w14:paraId="6FD07A2E" w14:textId="07B5A23E" w:rsidR="008B51AE" w:rsidRPr="006F481C" w:rsidRDefault="008B51AE" w:rsidP="00AE3850">
      <w:pPr>
        <w:pStyle w:val="Titre2"/>
        <w:spacing w:line="360" w:lineRule="auto"/>
        <w:jc w:val="both"/>
        <w:rPr>
          <w:rFonts w:asciiTheme="majorBidi" w:hAnsiTheme="majorBidi"/>
          <w:b/>
          <w:bCs/>
          <w:color w:val="auto"/>
          <w:sz w:val="28"/>
          <w:szCs w:val="28"/>
          <w:u w:val="single"/>
          <w:lang w:eastAsia="fr-FR"/>
        </w:rPr>
      </w:pPr>
      <w:bookmarkStart w:id="38" w:name="_Toc199314369"/>
      <w:bookmarkStart w:id="39" w:name="_Toc199314573"/>
      <w:r w:rsidRPr="006F481C">
        <w:rPr>
          <w:rFonts w:asciiTheme="majorBidi" w:hAnsiTheme="majorBidi"/>
          <w:b/>
          <w:bCs/>
          <w:color w:val="auto"/>
          <w:sz w:val="28"/>
          <w:szCs w:val="28"/>
          <w:u w:val="single"/>
          <w:lang w:eastAsia="fr-FR"/>
        </w:rPr>
        <w:lastRenderedPageBreak/>
        <w:t xml:space="preserve">Hypothèses </w:t>
      </w:r>
      <w:r w:rsidR="00AA1F2E" w:rsidRPr="006F481C">
        <w:rPr>
          <w:rFonts w:asciiTheme="majorBidi" w:hAnsiTheme="majorBidi"/>
          <w:b/>
          <w:bCs/>
          <w:color w:val="auto"/>
          <w:sz w:val="28"/>
          <w:szCs w:val="28"/>
          <w:u w:val="single"/>
          <w:lang w:eastAsia="fr-FR"/>
        </w:rPr>
        <w:t>spécifiques</w:t>
      </w:r>
      <w:r w:rsidR="00AA1F2E">
        <w:rPr>
          <w:rFonts w:asciiTheme="majorBidi" w:hAnsiTheme="majorBidi"/>
          <w:b/>
          <w:bCs/>
          <w:color w:val="auto"/>
          <w:sz w:val="28"/>
          <w:szCs w:val="28"/>
          <w:u w:val="single"/>
          <w:lang w:eastAsia="fr-FR"/>
        </w:rPr>
        <w:t xml:space="preserve"> :</w:t>
      </w:r>
      <w:bookmarkEnd w:id="38"/>
      <w:bookmarkEnd w:id="39"/>
    </w:p>
    <w:p w14:paraId="5D2AAB32" w14:textId="23C6518B" w:rsidR="008B51AE" w:rsidRPr="00E70909" w:rsidRDefault="008B51AE" w:rsidP="00AE3850">
      <w:p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b/>
          <w:bCs/>
          <w:lang w:eastAsia="fr-FR"/>
        </w:rPr>
        <w:t>H1 – Mécanismes de soutien :</w:t>
      </w:r>
      <w:r w:rsidR="00E70909">
        <w:rPr>
          <w:rFonts w:asciiTheme="majorBidi" w:eastAsia="Times New Roman" w:hAnsiTheme="majorBidi" w:cstheme="majorBidi" w:hint="cs"/>
          <w:b/>
          <w:bCs/>
          <w:rtl/>
          <w:lang w:eastAsia="fr-FR"/>
        </w:rPr>
        <w:t xml:space="preserve"> </w:t>
      </w:r>
      <w:r w:rsidRPr="00E70909">
        <w:rPr>
          <w:rFonts w:asciiTheme="majorBidi" w:hAnsiTheme="majorBidi" w:cstheme="majorBidi"/>
        </w:rPr>
        <w:t>Les différentes phases du processus budgétaire (élaboration, exécution, contrôle) permettent</w:t>
      </w:r>
      <w:r w:rsidR="00E70909">
        <w:rPr>
          <w:rFonts w:asciiTheme="majorBidi" w:hAnsiTheme="majorBidi" w:cstheme="majorBidi" w:hint="cs"/>
          <w:rtl/>
        </w:rPr>
        <w:t xml:space="preserve"> </w:t>
      </w:r>
      <w:r w:rsidRPr="00E70909">
        <w:rPr>
          <w:rFonts w:asciiTheme="majorBidi" w:hAnsiTheme="majorBidi" w:cstheme="majorBidi"/>
        </w:rPr>
        <w:t>un meilleur suivi des dépenses et une allocation optimale des ressources.</w:t>
      </w:r>
    </w:p>
    <w:p w14:paraId="3639C541" w14:textId="2DCE74B0" w:rsidR="008B51AE" w:rsidRPr="00E70909" w:rsidRDefault="008B51AE" w:rsidP="00AE3850">
      <w:p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b/>
          <w:bCs/>
          <w:lang w:eastAsia="fr-FR"/>
        </w:rPr>
        <w:t>H2 – Outils numériques :</w:t>
      </w:r>
      <w:r w:rsidR="00E70909">
        <w:rPr>
          <w:rFonts w:asciiTheme="majorBidi" w:eastAsia="Times New Roman" w:hAnsiTheme="majorBidi" w:cstheme="majorBidi" w:hint="cs"/>
          <w:rtl/>
          <w:lang w:eastAsia="fr-FR"/>
        </w:rPr>
        <w:t xml:space="preserve"> </w:t>
      </w:r>
      <w:r w:rsidRPr="00E70909">
        <w:rPr>
          <w:rFonts w:asciiTheme="majorBidi" w:eastAsia="Times New Roman" w:hAnsiTheme="majorBidi" w:cstheme="majorBidi"/>
          <w:lang w:eastAsia="fr-FR"/>
        </w:rPr>
        <w:t>L’utilisation d’un système intégré comme Oracle Finance favorise la traçabilité des opérations, améliore la production des états budgétaires et renforce la capacité d’analyse du contrôle de gestion.</w:t>
      </w:r>
    </w:p>
    <w:p w14:paraId="01503E67" w14:textId="291BD49E" w:rsidR="008B51AE" w:rsidRPr="00E70909" w:rsidRDefault="008B51AE" w:rsidP="00AE3850">
      <w:pPr>
        <w:spacing w:before="100" w:beforeAutospacing="1" w:after="100" w:afterAutospacing="1" w:line="360" w:lineRule="auto"/>
        <w:jc w:val="both"/>
        <w:rPr>
          <w:rFonts w:asciiTheme="majorBidi" w:eastAsia="Times New Roman" w:hAnsiTheme="majorBidi" w:cstheme="majorBidi"/>
          <w:b/>
          <w:bCs/>
          <w:lang w:eastAsia="fr-FR"/>
        </w:rPr>
      </w:pPr>
      <w:r w:rsidRPr="008B51AE">
        <w:rPr>
          <w:rFonts w:asciiTheme="majorBidi" w:eastAsia="Times New Roman" w:hAnsiTheme="majorBidi" w:cstheme="majorBidi"/>
          <w:b/>
          <w:bCs/>
          <w:lang w:eastAsia="fr-FR"/>
        </w:rPr>
        <w:t>H3 –sur les insuffisances :</w:t>
      </w:r>
      <w:r w:rsidR="00E70909">
        <w:rPr>
          <w:rFonts w:asciiTheme="majorBidi" w:eastAsia="Times New Roman" w:hAnsiTheme="majorBidi" w:cstheme="majorBidi" w:hint="cs"/>
          <w:b/>
          <w:bCs/>
          <w:rtl/>
          <w:lang w:eastAsia="fr-FR"/>
        </w:rPr>
        <w:t xml:space="preserve"> </w:t>
      </w:r>
      <w:r w:rsidRPr="008B51AE">
        <w:rPr>
          <w:rFonts w:asciiTheme="majorBidi" w:hAnsiTheme="majorBidi" w:cstheme="majorBidi"/>
        </w:rPr>
        <w:t>La gestion budgétaire au sein de la DOT de Beni Messous ne présente aucune faille, et tous les processus sont exécutés conformément aux prévisions</w:t>
      </w:r>
    </w:p>
    <w:p w14:paraId="5ECC398F" w14:textId="64C3AE63" w:rsidR="008B51AE" w:rsidRPr="00E70909" w:rsidRDefault="008B51AE" w:rsidP="00AE3850">
      <w:p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b/>
          <w:bCs/>
          <w:lang w:eastAsia="fr-FR"/>
        </w:rPr>
        <w:t>H4 – Améliorations possibles :</w:t>
      </w:r>
      <w:r w:rsidR="00E70909">
        <w:rPr>
          <w:rFonts w:asciiTheme="majorBidi" w:eastAsia="Times New Roman" w:hAnsiTheme="majorBidi" w:cstheme="majorBidi" w:hint="cs"/>
          <w:rtl/>
          <w:lang w:eastAsia="fr-FR"/>
        </w:rPr>
        <w:t xml:space="preserve"> </w:t>
      </w:r>
      <w:r w:rsidRPr="00E70909">
        <w:rPr>
          <w:rFonts w:asciiTheme="majorBidi" w:eastAsia="Times New Roman" w:hAnsiTheme="majorBidi" w:cstheme="majorBidi"/>
          <w:lang w:eastAsia="fr-FR"/>
        </w:rPr>
        <w:t>Des mesures comme le renforcement des compétences internes, une meilleure coordination interservices et une optimisation des outils numériques pourraient améliorer l’efficacité du pilotage budgétaire.</w:t>
      </w:r>
    </w:p>
    <w:p w14:paraId="5BC90A59" w14:textId="77777777" w:rsidR="008B51AE" w:rsidRPr="008B51AE" w:rsidRDefault="008B51AE" w:rsidP="00AE3850">
      <w:pPr>
        <w:spacing w:beforeAutospacing="1" w:after="100" w:afterAutospacing="1" w:line="360" w:lineRule="auto"/>
        <w:jc w:val="both"/>
        <w:rPr>
          <w:rFonts w:asciiTheme="majorBidi" w:eastAsia="Times New Roman" w:hAnsiTheme="majorBidi" w:cstheme="majorBidi"/>
          <w:lang w:eastAsia="fr-FR"/>
        </w:rPr>
      </w:pPr>
    </w:p>
    <w:p w14:paraId="4A9EEBA5" w14:textId="7E499B49" w:rsidR="008B51AE" w:rsidRPr="006F481C" w:rsidRDefault="008B51AE" w:rsidP="00AE3850">
      <w:pPr>
        <w:pStyle w:val="Titre2"/>
        <w:spacing w:line="360" w:lineRule="auto"/>
        <w:jc w:val="both"/>
        <w:rPr>
          <w:color w:val="auto"/>
          <w:sz w:val="36"/>
          <w:szCs w:val="36"/>
          <w:u w:val="single"/>
        </w:rPr>
      </w:pPr>
      <w:bookmarkStart w:id="40" w:name="_Toc199314370"/>
      <w:bookmarkStart w:id="41" w:name="_Toc199314574"/>
      <w:r w:rsidRPr="006F481C">
        <w:rPr>
          <w:rStyle w:val="lev"/>
          <w:rFonts w:asciiTheme="majorBidi" w:hAnsiTheme="majorBidi"/>
          <w:color w:val="auto"/>
          <w:sz w:val="28"/>
          <w:szCs w:val="28"/>
          <w:u w:val="single"/>
        </w:rPr>
        <w:t xml:space="preserve">Motifs du choix du </w:t>
      </w:r>
      <w:r w:rsidR="00AA1F2E" w:rsidRPr="006F481C">
        <w:rPr>
          <w:rStyle w:val="lev"/>
          <w:rFonts w:asciiTheme="majorBidi" w:hAnsiTheme="majorBidi"/>
          <w:color w:val="auto"/>
          <w:sz w:val="28"/>
          <w:szCs w:val="28"/>
          <w:u w:val="single"/>
        </w:rPr>
        <w:t>thème</w:t>
      </w:r>
      <w:r w:rsidR="00AA1F2E">
        <w:rPr>
          <w:rStyle w:val="lev"/>
          <w:rFonts w:asciiTheme="majorBidi" w:hAnsiTheme="majorBidi"/>
          <w:color w:val="auto"/>
          <w:sz w:val="28"/>
          <w:szCs w:val="28"/>
          <w:u w:val="single"/>
        </w:rPr>
        <w:t xml:space="preserve"> :</w:t>
      </w:r>
      <w:bookmarkEnd w:id="40"/>
      <w:bookmarkEnd w:id="41"/>
    </w:p>
    <w:p w14:paraId="4DC307AF" w14:textId="77777777" w:rsidR="008B51AE" w:rsidRPr="008B51AE" w:rsidRDefault="008B51AE" w:rsidP="00AE3850">
      <w:pPr>
        <w:spacing w:before="100" w:beforeAutospacing="1" w:after="100" w:afterAutospacing="1" w:line="360" w:lineRule="auto"/>
        <w:ind w:firstLine="720"/>
        <w:jc w:val="both"/>
        <w:rPr>
          <w:rFonts w:asciiTheme="majorBidi" w:hAnsiTheme="majorBidi" w:cstheme="majorBidi"/>
        </w:rPr>
      </w:pPr>
      <w:r w:rsidRPr="008B51AE">
        <w:rPr>
          <w:rFonts w:asciiTheme="majorBidi" w:hAnsiTheme="majorBidi" w:cstheme="majorBidi"/>
        </w:rPr>
        <w:t>Le choix de ce thème s’inscrit directement dans le prolongement de notre stage effectué au sein du Département Finances et Comptabilité de la Direction Opérationnelle des Télécommunications (DOT) de Beni Messous, relevant d’Algérie Télécom. Cette immersion professionnelle nous a offert l’opportunité d’observer concrètement le rôle central que joue la gestion budgétaire dans l’organisation et le pilotage des activités de la structure.</w:t>
      </w:r>
    </w:p>
    <w:p w14:paraId="4E0AB03F" w14:textId="77777777" w:rsidR="008B51AE" w:rsidRPr="008B51AE" w:rsidRDefault="008B51AE" w:rsidP="00AE3850">
      <w:pPr>
        <w:spacing w:before="100" w:beforeAutospacing="1" w:after="100" w:afterAutospacing="1" w:line="360" w:lineRule="auto"/>
        <w:ind w:firstLine="720"/>
        <w:jc w:val="both"/>
        <w:rPr>
          <w:rFonts w:asciiTheme="majorBidi" w:hAnsiTheme="majorBidi" w:cstheme="majorBidi"/>
        </w:rPr>
      </w:pPr>
      <w:r w:rsidRPr="008B51AE">
        <w:rPr>
          <w:rFonts w:asciiTheme="majorBidi" w:hAnsiTheme="majorBidi" w:cstheme="majorBidi"/>
        </w:rPr>
        <w:t>Ce terrain d’observation nous a également permis de relever certaines difficultés liées à l’exécution et au suivi des budgets, notamment en matière de respect des prévisions, d’analyse des écarts, et de coordination entre services. Ces constats ont éveillé notre intérêt pour une réflexion plus approfondie sur l’efficacité du dispositif budgétaire en place, et plus largement sur le rôle que peut jouer la gestion budgétaire en tant qu’outil de contrôle de gestion dans une entreprise publique.</w:t>
      </w:r>
    </w:p>
    <w:p w14:paraId="3BABA214" w14:textId="02225EA5" w:rsidR="008B51AE" w:rsidRPr="00E54CAB" w:rsidRDefault="008B51AE" w:rsidP="00AE3850">
      <w:pPr>
        <w:spacing w:before="100" w:beforeAutospacing="1" w:after="100" w:afterAutospacing="1" w:line="360" w:lineRule="auto"/>
        <w:ind w:firstLine="720"/>
        <w:jc w:val="both"/>
        <w:rPr>
          <w:rFonts w:asciiTheme="majorBidi" w:hAnsiTheme="majorBidi" w:cstheme="majorBidi"/>
        </w:rPr>
      </w:pPr>
      <w:r w:rsidRPr="008B51AE">
        <w:rPr>
          <w:rFonts w:asciiTheme="majorBidi" w:hAnsiTheme="majorBidi" w:cstheme="majorBidi"/>
        </w:rPr>
        <w:lastRenderedPageBreak/>
        <w:t>Ce thème nous a donc paru particulièrement pertinent à la fois pour sa portée théorique et pour son application concrète, en lien direct avec les enjeux actuels de performance, de transparence et de rigueur dans la gestion des ressources publiques</w:t>
      </w:r>
    </w:p>
    <w:p w14:paraId="4275B3EE" w14:textId="1F150758" w:rsidR="008B51AE" w:rsidRPr="006F481C" w:rsidRDefault="008B51AE" w:rsidP="00AE3850">
      <w:pPr>
        <w:pStyle w:val="Titre2"/>
        <w:spacing w:line="360" w:lineRule="auto"/>
        <w:jc w:val="both"/>
        <w:rPr>
          <w:rFonts w:asciiTheme="majorBidi" w:hAnsiTheme="majorBidi"/>
          <w:b/>
          <w:bCs/>
          <w:color w:val="auto"/>
          <w:sz w:val="28"/>
          <w:szCs w:val="28"/>
          <w:u w:val="single"/>
          <w:lang w:eastAsia="fr-FR"/>
        </w:rPr>
      </w:pPr>
      <w:bookmarkStart w:id="42" w:name="_Toc199314371"/>
      <w:bookmarkStart w:id="43" w:name="_Toc199314575"/>
      <w:r w:rsidRPr="006F481C">
        <w:rPr>
          <w:rFonts w:asciiTheme="majorBidi" w:hAnsiTheme="majorBidi"/>
          <w:b/>
          <w:bCs/>
          <w:color w:val="auto"/>
          <w:sz w:val="28"/>
          <w:szCs w:val="28"/>
          <w:u w:val="single"/>
          <w:lang w:eastAsia="fr-FR"/>
        </w:rPr>
        <w:t xml:space="preserve">Objectifs de la </w:t>
      </w:r>
      <w:r w:rsidR="00AA1F2E" w:rsidRPr="006F481C">
        <w:rPr>
          <w:rFonts w:asciiTheme="majorBidi" w:hAnsiTheme="majorBidi"/>
          <w:b/>
          <w:bCs/>
          <w:color w:val="auto"/>
          <w:sz w:val="28"/>
          <w:szCs w:val="28"/>
          <w:u w:val="single"/>
          <w:lang w:eastAsia="fr-FR"/>
        </w:rPr>
        <w:t>recherche</w:t>
      </w:r>
      <w:r w:rsidR="00AA1F2E">
        <w:rPr>
          <w:rFonts w:asciiTheme="majorBidi" w:hAnsiTheme="majorBidi"/>
          <w:b/>
          <w:bCs/>
          <w:color w:val="auto"/>
          <w:sz w:val="28"/>
          <w:szCs w:val="28"/>
          <w:u w:val="single"/>
          <w:lang w:eastAsia="fr-FR"/>
        </w:rPr>
        <w:t xml:space="preserve"> :</w:t>
      </w:r>
      <w:bookmarkEnd w:id="42"/>
      <w:bookmarkEnd w:id="43"/>
    </w:p>
    <w:p w14:paraId="3884830F" w14:textId="77777777" w:rsidR="008B51AE" w:rsidRPr="008B51AE" w:rsidRDefault="008B51AE" w:rsidP="00AE3850">
      <w:pPr>
        <w:spacing w:before="100" w:beforeAutospacing="1" w:after="100" w:afterAutospacing="1" w:line="360" w:lineRule="auto"/>
        <w:ind w:firstLine="720"/>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Ce travail de recherche vise à démontrer le rôle stratégique de la gestion budgétaire en tant que levier essentiel du contrôle de gestion, à travers l’analyse d’un cas concret : celui de la Direction Opérationnelle des Télécommunications (DOT) de Beni Messous, relevant d’Algérie Télécom.</w:t>
      </w:r>
    </w:p>
    <w:p w14:paraId="4EA4A8DF" w14:textId="77777777" w:rsidR="008B51AE" w:rsidRPr="008B51AE" w:rsidRDefault="008B51AE" w:rsidP="00AE3850">
      <w:p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Plus précisément, les objectifs poursuivis sont les suivants :</w:t>
      </w:r>
    </w:p>
    <w:p w14:paraId="1DEF455C" w14:textId="77777777" w:rsidR="008B51AE" w:rsidRPr="008B51AE" w:rsidRDefault="008B51AE" w:rsidP="00C13671">
      <w:pPr>
        <w:numPr>
          <w:ilvl w:val="0"/>
          <w:numId w:val="2"/>
        </w:num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b/>
          <w:bCs/>
          <w:lang w:eastAsia="fr-FR"/>
        </w:rPr>
        <w:t>Analyser le processus budgétaire mis en œuvre</w:t>
      </w:r>
      <w:r w:rsidRPr="008B51AE">
        <w:rPr>
          <w:rFonts w:asciiTheme="majorBidi" w:eastAsia="Times New Roman" w:hAnsiTheme="majorBidi" w:cstheme="majorBidi"/>
          <w:lang w:eastAsia="fr-FR"/>
        </w:rPr>
        <w:t xml:space="preserve"> au sein de la DOT, en étudiant ses différentes phases : élaboration, exécution et contrôle ;</w:t>
      </w:r>
    </w:p>
    <w:p w14:paraId="7F44A5CC" w14:textId="77777777" w:rsidR="008B51AE" w:rsidRPr="008B51AE" w:rsidRDefault="008B51AE" w:rsidP="00C13671">
      <w:pPr>
        <w:numPr>
          <w:ilvl w:val="0"/>
          <w:numId w:val="2"/>
        </w:num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b/>
          <w:bCs/>
          <w:lang w:eastAsia="fr-FR"/>
        </w:rPr>
        <w:t>Identifier les points forts et les dysfonctionnements</w:t>
      </w:r>
      <w:r w:rsidRPr="008B51AE">
        <w:rPr>
          <w:rFonts w:asciiTheme="majorBidi" w:eastAsia="Times New Roman" w:hAnsiTheme="majorBidi" w:cstheme="majorBidi"/>
          <w:lang w:eastAsia="fr-FR"/>
        </w:rPr>
        <w:t xml:space="preserve"> du système de gestion budgétaire observé ;</w:t>
      </w:r>
    </w:p>
    <w:p w14:paraId="079978FA" w14:textId="77777777" w:rsidR="008B51AE" w:rsidRPr="008B51AE" w:rsidRDefault="008B51AE" w:rsidP="00C13671">
      <w:pPr>
        <w:numPr>
          <w:ilvl w:val="0"/>
          <w:numId w:val="2"/>
        </w:num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b/>
          <w:bCs/>
          <w:lang w:eastAsia="fr-FR"/>
        </w:rPr>
        <w:t>Proposer des pistes d’amélioration réalistes</w:t>
      </w:r>
      <w:r w:rsidRPr="008B51AE">
        <w:rPr>
          <w:rFonts w:asciiTheme="majorBidi" w:eastAsia="Times New Roman" w:hAnsiTheme="majorBidi" w:cstheme="majorBidi"/>
          <w:lang w:eastAsia="fr-FR"/>
        </w:rPr>
        <w:t>, permettant de renforcer l’efficacité du pilotage financier, la rigueur dans l’utilisation des ressources, ainsi que la qualité du contrôle de gestion.</w:t>
      </w:r>
    </w:p>
    <w:p w14:paraId="59F07FEB" w14:textId="77777777" w:rsidR="00E54CAB" w:rsidRDefault="00E54CAB" w:rsidP="00AE3850">
      <w:pPr>
        <w:spacing w:line="360" w:lineRule="auto"/>
        <w:jc w:val="both"/>
        <w:rPr>
          <w:rFonts w:asciiTheme="majorBidi" w:hAnsiTheme="majorBidi" w:cstheme="majorBidi"/>
          <w:b/>
          <w:bCs/>
          <w:sz w:val="28"/>
          <w:szCs w:val="28"/>
          <w:rtl/>
          <w:lang w:eastAsia="fr-FR"/>
        </w:rPr>
      </w:pPr>
    </w:p>
    <w:p w14:paraId="3A0C81A5" w14:textId="3A0045CD" w:rsidR="008B51AE" w:rsidRPr="006F481C" w:rsidRDefault="008B51AE" w:rsidP="00AE3850">
      <w:pPr>
        <w:pStyle w:val="Titre2"/>
        <w:spacing w:line="360" w:lineRule="auto"/>
        <w:jc w:val="both"/>
        <w:rPr>
          <w:rFonts w:asciiTheme="majorBidi" w:hAnsiTheme="majorBidi"/>
          <w:b/>
          <w:bCs/>
          <w:color w:val="auto"/>
          <w:sz w:val="28"/>
          <w:szCs w:val="28"/>
          <w:u w:val="single"/>
          <w:lang w:eastAsia="fr-FR"/>
        </w:rPr>
      </w:pPr>
      <w:bookmarkStart w:id="44" w:name="_Toc199314372"/>
      <w:bookmarkStart w:id="45" w:name="_Toc199314576"/>
      <w:r w:rsidRPr="006F481C">
        <w:rPr>
          <w:rFonts w:asciiTheme="majorBidi" w:hAnsiTheme="majorBidi"/>
          <w:b/>
          <w:bCs/>
          <w:color w:val="auto"/>
          <w:sz w:val="28"/>
          <w:szCs w:val="28"/>
          <w:u w:val="single"/>
          <w:lang w:eastAsia="fr-FR"/>
        </w:rPr>
        <w:t xml:space="preserve">Méthodologie de la </w:t>
      </w:r>
      <w:r w:rsidR="00AA1F2E" w:rsidRPr="006F481C">
        <w:rPr>
          <w:rFonts w:asciiTheme="majorBidi" w:hAnsiTheme="majorBidi"/>
          <w:b/>
          <w:bCs/>
          <w:color w:val="auto"/>
          <w:sz w:val="28"/>
          <w:szCs w:val="28"/>
          <w:u w:val="single"/>
          <w:lang w:eastAsia="fr-FR"/>
        </w:rPr>
        <w:t>recherche</w:t>
      </w:r>
      <w:r w:rsidR="00AA1F2E">
        <w:rPr>
          <w:rFonts w:asciiTheme="majorBidi" w:hAnsiTheme="majorBidi"/>
          <w:b/>
          <w:bCs/>
          <w:color w:val="auto"/>
          <w:sz w:val="28"/>
          <w:szCs w:val="28"/>
          <w:u w:val="single"/>
          <w:lang w:eastAsia="fr-FR"/>
        </w:rPr>
        <w:t xml:space="preserve"> :</w:t>
      </w:r>
      <w:bookmarkEnd w:id="44"/>
      <w:bookmarkEnd w:id="45"/>
    </w:p>
    <w:p w14:paraId="0CD67A13" w14:textId="77777777" w:rsidR="008B51AE" w:rsidRPr="008B51AE" w:rsidRDefault="008B51AE" w:rsidP="00AE3850">
      <w:pPr>
        <w:spacing w:before="100" w:beforeAutospacing="1" w:after="100" w:afterAutospacing="1" w:line="360" w:lineRule="auto"/>
        <w:ind w:firstLine="720"/>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 xml:space="preserve">L’approche méthodologique adoptée dans ce mémoire est à la fois </w:t>
      </w:r>
      <w:r w:rsidRPr="008B51AE">
        <w:rPr>
          <w:rFonts w:asciiTheme="majorBidi" w:eastAsia="Times New Roman" w:hAnsiTheme="majorBidi" w:cstheme="majorBidi"/>
          <w:b/>
          <w:bCs/>
          <w:lang w:eastAsia="fr-FR"/>
        </w:rPr>
        <w:t>qualitative et descriptive</w:t>
      </w:r>
      <w:r w:rsidRPr="008B51AE">
        <w:rPr>
          <w:rFonts w:asciiTheme="majorBidi" w:eastAsia="Times New Roman" w:hAnsiTheme="majorBidi" w:cstheme="majorBidi"/>
          <w:lang w:eastAsia="fr-FR"/>
        </w:rPr>
        <w:t>. Elle s’appuie principalement sur l’expérience de terrain acquise lors d’un stage pratique effectué au sein du Département Finances et Comptabilité de la DOT de Beni Messous.</w:t>
      </w:r>
    </w:p>
    <w:p w14:paraId="1B15EA4B" w14:textId="77777777" w:rsidR="008B51AE" w:rsidRPr="008B51AE" w:rsidRDefault="008B51AE" w:rsidP="00AE3850">
      <w:p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Plusieurs outils et techniques de collecte de données ont été mobilisés :</w:t>
      </w:r>
    </w:p>
    <w:p w14:paraId="32CA0C59" w14:textId="77777777" w:rsidR="008B51AE" w:rsidRPr="008B51AE" w:rsidRDefault="008B51AE" w:rsidP="00C13671">
      <w:pPr>
        <w:numPr>
          <w:ilvl w:val="0"/>
          <w:numId w:val="3"/>
        </w:num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b/>
          <w:bCs/>
          <w:lang w:eastAsia="fr-FR"/>
        </w:rPr>
        <w:t>Analyse documentaire</w:t>
      </w:r>
      <w:r w:rsidRPr="008B51AE">
        <w:rPr>
          <w:rFonts w:asciiTheme="majorBidi" w:eastAsia="Times New Roman" w:hAnsiTheme="majorBidi" w:cstheme="majorBidi"/>
          <w:lang w:eastAsia="fr-FR"/>
        </w:rPr>
        <w:t>, à partir de rapports internes, tableaux budgétaires, états de suivi d’exécution, notes de cadrage et autres documents comptables et financiers ;</w:t>
      </w:r>
    </w:p>
    <w:p w14:paraId="0C4888A7" w14:textId="77777777" w:rsidR="008B51AE" w:rsidRPr="008B51AE" w:rsidRDefault="008B51AE" w:rsidP="00C13671">
      <w:pPr>
        <w:numPr>
          <w:ilvl w:val="0"/>
          <w:numId w:val="3"/>
        </w:num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b/>
          <w:bCs/>
          <w:lang w:eastAsia="fr-FR"/>
        </w:rPr>
        <w:t>Observation directe</w:t>
      </w:r>
      <w:r w:rsidRPr="008B51AE">
        <w:rPr>
          <w:rFonts w:asciiTheme="majorBidi" w:eastAsia="Times New Roman" w:hAnsiTheme="majorBidi" w:cstheme="majorBidi"/>
          <w:lang w:eastAsia="fr-FR"/>
        </w:rPr>
        <w:t>, réalisée au quotidien durant le stage, pour comprendre concrètement les pratiques de gestion budgétaire et les circuits de validation ;</w:t>
      </w:r>
    </w:p>
    <w:p w14:paraId="55AF2BBC" w14:textId="77777777" w:rsidR="008B51AE" w:rsidRPr="008B51AE" w:rsidRDefault="008B51AE" w:rsidP="00C13671">
      <w:pPr>
        <w:numPr>
          <w:ilvl w:val="0"/>
          <w:numId w:val="3"/>
        </w:numPr>
        <w:spacing w:before="100" w:beforeAutospacing="1" w:after="100" w:afterAutospacing="1" w:line="360" w:lineRule="auto"/>
        <w:jc w:val="both"/>
        <w:rPr>
          <w:rFonts w:asciiTheme="majorBidi" w:eastAsia="Times New Roman" w:hAnsiTheme="majorBidi" w:cstheme="majorBidi"/>
          <w:lang w:eastAsia="fr-FR"/>
        </w:rPr>
      </w:pPr>
      <w:r w:rsidRPr="008B51AE">
        <w:rPr>
          <w:rFonts w:asciiTheme="majorBidi" w:eastAsia="Times New Roman" w:hAnsiTheme="majorBidi" w:cstheme="majorBidi"/>
          <w:b/>
          <w:bCs/>
          <w:lang w:eastAsia="fr-FR"/>
        </w:rPr>
        <w:lastRenderedPageBreak/>
        <w:t>Entretiens non directifs</w:t>
      </w:r>
      <w:r w:rsidRPr="008B51AE">
        <w:rPr>
          <w:rFonts w:asciiTheme="majorBidi" w:eastAsia="Times New Roman" w:hAnsiTheme="majorBidi" w:cstheme="majorBidi"/>
          <w:lang w:eastAsia="fr-FR"/>
        </w:rPr>
        <w:t xml:space="preserve"> menés avec des agents et responsables du département, afin d’identifier les contraintes opérationnelles, les marges de manœuvre réelles, ainsi que les perceptions internes des outils utilisés (notamment le système Oracle Finance).</w:t>
      </w:r>
    </w:p>
    <w:p w14:paraId="3E5B9EEE" w14:textId="324EAA41" w:rsidR="008B51AE" w:rsidRPr="008B51AE" w:rsidRDefault="008B51AE" w:rsidP="00AE3850">
      <w:pPr>
        <w:spacing w:before="100" w:beforeAutospacing="1" w:after="100" w:afterAutospacing="1" w:line="360" w:lineRule="auto"/>
        <w:ind w:firstLine="360"/>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Cette méthodologie a permis de croiser les données théoriques et les pratiques réelles afin d’enrichir l’analyse et de formuler des propositions fondées.</w:t>
      </w:r>
    </w:p>
    <w:p w14:paraId="5BECE847" w14:textId="75302DCD" w:rsidR="008B51AE" w:rsidRPr="006F481C" w:rsidRDefault="008B51AE" w:rsidP="00AE3850">
      <w:pPr>
        <w:pStyle w:val="Titre2"/>
        <w:spacing w:line="360" w:lineRule="auto"/>
        <w:jc w:val="both"/>
        <w:rPr>
          <w:rFonts w:asciiTheme="majorBidi" w:hAnsiTheme="majorBidi"/>
          <w:b/>
          <w:bCs/>
          <w:color w:val="auto"/>
          <w:sz w:val="28"/>
          <w:szCs w:val="28"/>
          <w:u w:val="single"/>
          <w:lang w:eastAsia="fr-FR"/>
        </w:rPr>
      </w:pPr>
      <w:bookmarkStart w:id="46" w:name="_Toc199314373"/>
      <w:bookmarkStart w:id="47" w:name="_Toc199314577"/>
      <w:r w:rsidRPr="006F481C">
        <w:rPr>
          <w:rFonts w:asciiTheme="majorBidi" w:hAnsiTheme="majorBidi"/>
          <w:b/>
          <w:bCs/>
          <w:color w:val="auto"/>
          <w:sz w:val="28"/>
          <w:szCs w:val="28"/>
          <w:u w:val="single"/>
          <w:lang w:eastAsia="fr-FR"/>
        </w:rPr>
        <w:t xml:space="preserve">Le plan de </w:t>
      </w:r>
      <w:r w:rsidR="00AA1F2E" w:rsidRPr="006F481C">
        <w:rPr>
          <w:rFonts w:asciiTheme="majorBidi" w:hAnsiTheme="majorBidi"/>
          <w:b/>
          <w:bCs/>
          <w:color w:val="auto"/>
          <w:sz w:val="28"/>
          <w:szCs w:val="28"/>
          <w:u w:val="single"/>
          <w:lang w:eastAsia="fr-FR"/>
        </w:rPr>
        <w:t>travail</w:t>
      </w:r>
      <w:r w:rsidR="00AA1F2E">
        <w:rPr>
          <w:rFonts w:asciiTheme="majorBidi" w:hAnsiTheme="majorBidi"/>
          <w:b/>
          <w:bCs/>
          <w:color w:val="auto"/>
          <w:sz w:val="28"/>
          <w:szCs w:val="28"/>
          <w:u w:val="single"/>
          <w:lang w:eastAsia="fr-FR"/>
        </w:rPr>
        <w:t xml:space="preserve"> :</w:t>
      </w:r>
      <w:bookmarkEnd w:id="46"/>
      <w:bookmarkEnd w:id="47"/>
    </w:p>
    <w:p w14:paraId="2A97C123" w14:textId="77777777" w:rsidR="008B51AE" w:rsidRPr="008B51AE" w:rsidRDefault="008B51AE" w:rsidP="00AE3850">
      <w:pPr>
        <w:shd w:val="clear" w:color="auto" w:fill="FFFFFF"/>
        <w:spacing w:before="100" w:beforeAutospacing="1" w:after="100" w:afterAutospacing="1" w:line="360" w:lineRule="auto"/>
        <w:ind w:firstLine="720"/>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Le présent mémoire s’articule autour de deux chapitres principaux, organisés de manière logique pour répondre à la problématique posée.</w:t>
      </w:r>
    </w:p>
    <w:p w14:paraId="1AD93149" w14:textId="33B13249" w:rsidR="008B51AE" w:rsidRPr="008B51AE" w:rsidRDefault="008B51AE" w:rsidP="00AE3850">
      <w:pPr>
        <w:shd w:val="clear" w:color="auto" w:fill="FFFFFF"/>
        <w:spacing w:before="100" w:beforeAutospacing="1" w:after="100" w:afterAutospacing="1" w:line="360" w:lineRule="auto"/>
        <w:ind w:firstLine="720"/>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Le premier chapitre est consacré au cadre théorique. Il permet de poser les fondements conceptuels de l’étude à travers trois sections complémentaires.</w:t>
      </w:r>
      <w:r w:rsidR="00B6367B">
        <w:rPr>
          <w:rFonts w:asciiTheme="majorBidi" w:eastAsia="Times New Roman" w:hAnsiTheme="majorBidi" w:cstheme="majorBidi" w:hint="cs"/>
          <w:rtl/>
          <w:lang w:eastAsia="fr-FR"/>
        </w:rPr>
        <w:t xml:space="preserve"> </w:t>
      </w:r>
      <w:r w:rsidRPr="008B51AE">
        <w:rPr>
          <w:rFonts w:asciiTheme="majorBidi" w:eastAsia="Times New Roman" w:hAnsiTheme="majorBidi" w:cstheme="majorBidi"/>
          <w:lang w:eastAsia="fr-FR"/>
        </w:rPr>
        <w:t>La première section présente les concepts clés du contrôle de gestion, en mettant en lumière ses objectifs, ses outils et son rôle dans la performance des organisations.</w:t>
      </w:r>
      <w:r w:rsidR="00B6367B">
        <w:rPr>
          <w:rFonts w:asciiTheme="majorBidi" w:eastAsia="Times New Roman" w:hAnsiTheme="majorBidi" w:cstheme="majorBidi" w:hint="cs"/>
          <w:rtl/>
          <w:lang w:eastAsia="fr-FR"/>
        </w:rPr>
        <w:t xml:space="preserve"> </w:t>
      </w:r>
      <w:r w:rsidRPr="008B51AE">
        <w:rPr>
          <w:rFonts w:asciiTheme="majorBidi" w:eastAsia="Times New Roman" w:hAnsiTheme="majorBidi" w:cstheme="majorBidi"/>
          <w:lang w:eastAsia="fr-FR"/>
        </w:rPr>
        <w:t>La deuxième section est dédiée à la gestion budgétaire, dont elle expose les principes fondamentaux, les types de budgets et les méthodes d’élaboration.</w:t>
      </w:r>
      <w:r w:rsidR="00B6367B">
        <w:rPr>
          <w:rFonts w:asciiTheme="majorBidi" w:eastAsia="Times New Roman" w:hAnsiTheme="majorBidi" w:cstheme="majorBidi" w:hint="cs"/>
          <w:rtl/>
          <w:lang w:eastAsia="fr-FR"/>
        </w:rPr>
        <w:t xml:space="preserve"> </w:t>
      </w:r>
      <w:r w:rsidRPr="008B51AE">
        <w:rPr>
          <w:rFonts w:asciiTheme="majorBidi" w:eastAsia="Times New Roman" w:hAnsiTheme="majorBidi" w:cstheme="majorBidi"/>
          <w:lang w:eastAsia="fr-FR"/>
        </w:rPr>
        <w:t>La troisième section aborde le contrôle budgétaire, en expliquant ses étapes, ses outils de suivi, ainsi que les mécanismes d’analyse des écarts.</w:t>
      </w:r>
    </w:p>
    <w:p w14:paraId="7CB81CF5" w14:textId="35464149" w:rsidR="00354C9E" w:rsidRPr="008B51AE" w:rsidRDefault="008B51AE" w:rsidP="00AE3850">
      <w:pPr>
        <w:spacing w:line="360" w:lineRule="auto"/>
        <w:ind w:firstLine="720"/>
        <w:jc w:val="both"/>
        <w:rPr>
          <w:rFonts w:asciiTheme="majorBidi" w:eastAsia="Times New Roman" w:hAnsiTheme="majorBidi" w:cstheme="majorBidi"/>
          <w:lang w:eastAsia="fr-FR"/>
        </w:rPr>
      </w:pPr>
      <w:r w:rsidRPr="008B51AE">
        <w:rPr>
          <w:rFonts w:asciiTheme="majorBidi" w:eastAsia="Times New Roman" w:hAnsiTheme="majorBidi" w:cstheme="majorBidi"/>
          <w:lang w:eastAsia="fr-FR"/>
        </w:rPr>
        <w:t>Le deuxième chapitre est consacré à l’étude de cas portant sur la Direction Opérationnelle des Télécommunications (DOT) de Beni Messous, relevant d’Algérie Télécom.</w:t>
      </w:r>
      <w:r w:rsidR="00D53A12">
        <w:rPr>
          <w:rFonts w:asciiTheme="majorBidi" w:eastAsia="Times New Roman" w:hAnsiTheme="majorBidi" w:cstheme="majorBidi" w:hint="cs"/>
          <w:rtl/>
          <w:lang w:eastAsia="fr-FR"/>
        </w:rPr>
        <w:t xml:space="preserve"> </w:t>
      </w:r>
      <w:r w:rsidRPr="008B51AE">
        <w:rPr>
          <w:rFonts w:asciiTheme="majorBidi" w:eastAsia="Times New Roman" w:hAnsiTheme="majorBidi" w:cstheme="majorBidi"/>
          <w:lang w:eastAsia="fr-FR"/>
        </w:rPr>
        <w:t>La première section présente l’entreprise Algérie Télécom, la DOT de Beni Messous et plus précisément le Département Finances et Comptabilité, qui constitue notre terrain d’étude.</w:t>
      </w:r>
      <w:r w:rsidR="00D53A12">
        <w:rPr>
          <w:rFonts w:asciiTheme="majorBidi" w:eastAsia="Times New Roman" w:hAnsiTheme="majorBidi" w:cstheme="majorBidi" w:hint="cs"/>
          <w:rtl/>
          <w:lang w:eastAsia="fr-FR"/>
        </w:rPr>
        <w:t xml:space="preserve"> </w:t>
      </w:r>
      <w:r w:rsidRPr="008B51AE">
        <w:rPr>
          <w:rFonts w:asciiTheme="majorBidi" w:eastAsia="Times New Roman" w:hAnsiTheme="majorBidi" w:cstheme="majorBidi"/>
          <w:lang w:eastAsia="fr-FR"/>
        </w:rPr>
        <w:t>La deuxième section décrit en détail le processus budgétaire mis en œuvre au sein de la DOT, en analysant les différentes phases : élaboration, exécution, suivi et réajustements.</w:t>
      </w:r>
      <w:r w:rsidR="00D53A12">
        <w:rPr>
          <w:rFonts w:asciiTheme="majorBidi" w:eastAsia="Times New Roman" w:hAnsiTheme="majorBidi" w:cstheme="majorBidi" w:hint="cs"/>
          <w:rtl/>
          <w:lang w:eastAsia="fr-FR"/>
        </w:rPr>
        <w:t xml:space="preserve"> </w:t>
      </w:r>
      <w:r w:rsidRPr="008B51AE">
        <w:rPr>
          <w:rFonts w:asciiTheme="majorBidi" w:eastAsia="Times New Roman" w:hAnsiTheme="majorBidi" w:cstheme="majorBidi"/>
          <w:lang w:eastAsia="fr-FR"/>
        </w:rPr>
        <w:t>Enfin, la troisième section propose une étude critique du processus budgétaire observé, en identifiant ses points forts et ses limites, et en formulant des recommandations concrètes d’amélioration, tant sur le plan technique qu’organisationnel</w:t>
      </w:r>
    </w:p>
    <w:p w14:paraId="28F0D2F8" w14:textId="77777777" w:rsidR="00354C9E" w:rsidRPr="009132A6" w:rsidRDefault="00354C9E" w:rsidP="00AE3850">
      <w:pPr>
        <w:spacing w:line="360" w:lineRule="auto"/>
        <w:jc w:val="both"/>
        <w:rPr>
          <w:rFonts w:asciiTheme="majorBidi" w:hAnsiTheme="majorBidi" w:cstheme="majorBidi"/>
        </w:rPr>
      </w:pPr>
    </w:p>
    <w:p w14:paraId="71FF5F12" w14:textId="77777777" w:rsidR="00354C9E" w:rsidRPr="009132A6" w:rsidRDefault="00354C9E" w:rsidP="00AE3850">
      <w:pPr>
        <w:spacing w:line="360" w:lineRule="auto"/>
        <w:jc w:val="both"/>
        <w:rPr>
          <w:rFonts w:asciiTheme="majorBidi" w:hAnsiTheme="majorBidi" w:cstheme="majorBidi"/>
        </w:rPr>
        <w:sectPr w:rsidR="00354C9E" w:rsidRPr="009132A6" w:rsidSect="007873AC">
          <w:headerReference w:type="default" r:id="rId12"/>
          <w:footerReference w:type="default" r:id="rId13"/>
          <w:headerReference w:type="first" r:id="rId14"/>
          <w:footerReference w:type="first" r:id="rId15"/>
          <w:pgSz w:w="11906" w:h="16838"/>
          <w:pgMar w:top="1418" w:right="1134" w:bottom="1418" w:left="1701" w:header="709" w:footer="709" w:gutter="0"/>
          <w:pgNumType w:start="1"/>
          <w:cols w:space="708"/>
          <w:titlePg/>
          <w:docGrid w:linePitch="360"/>
        </w:sectPr>
      </w:pPr>
    </w:p>
    <w:p w14:paraId="266403CD" w14:textId="77777777" w:rsidR="00CD54D1" w:rsidRPr="009132A6" w:rsidRDefault="00CD54D1" w:rsidP="00AE3850">
      <w:pPr>
        <w:spacing w:line="360" w:lineRule="auto"/>
        <w:jc w:val="both"/>
        <w:rPr>
          <w:rFonts w:asciiTheme="majorBidi" w:hAnsiTheme="majorBidi" w:cstheme="majorBidi"/>
          <w:b/>
          <w:bCs/>
          <w:sz w:val="72"/>
          <w:szCs w:val="72"/>
        </w:rPr>
      </w:pPr>
      <w:bookmarkStart w:id="48" w:name="_Hlk194882578"/>
    </w:p>
    <w:p w14:paraId="65F29741" w14:textId="77777777" w:rsidR="00CD54D1" w:rsidRPr="009132A6" w:rsidRDefault="00CD54D1" w:rsidP="00AE3850">
      <w:pPr>
        <w:spacing w:line="360" w:lineRule="auto"/>
        <w:jc w:val="both"/>
        <w:rPr>
          <w:rFonts w:asciiTheme="majorBidi" w:hAnsiTheme="majorBidi" w:cstheme="majorBidi"/>
          <w:b/>
          <w:bCs/>
          <w:sz w:val="72"/>
          <w:szCs w:val="72"/>
        </w:rPr>
      </w:pPr>
    </w:p>
    <w:p w14:paraId="26A172E7" w14:textId="1C326C97" w:rsidR="00CD54D1" w:rsidRPr="009132A6" w:rsidRDefault="00CD54D1" w:rsidP="00AE3850">
      <w:pPr>
        <w:spacing w:line="360" w:lineRule="auto"/>
        <w:jc w:val="both"/>
        <w:rPr>
          <w:rFonts w:asciiTheme="majorBidi" w:hAnsiTheme="majorBidi" w:cstheme="majorBidi"/>
          <w:b/>
          <w:bCs/>
          <w:sz w:val="72"/>
          <w:szCs w:val="72"/>
        </w:rPr>
      </w:pPr>
    </w:p>
    <w:p w14:paraId="1AC1DD0A" w14:textId="1DA405EC" w:rsidR="00CD54D1" w:rsidRPr="009132A6" w:rsidRDefault="00CD54D1" w:rsidP="00AE3850">
      <w:pPr>
        <w:spacing w:line="360" w:lineRule="auto"/>
        <w:jc w:val="both"/>
        <w:rPr>
          <w:rFonts w:asciiTheme="majorBidi" w:hAnsiTheme="majorBidi" w:cstheme="majorBidi"/>
          <w:b/>
          <w:bCs/>
          <w:sz w:val="72"/>
          <w:szCs w:val="72"/>
        </w:rPr>
      </w:pPr>
    </w:p>
    <w:bookmarkEnd w:id="48"/>
    <w:p w14:paraId="1224F916" w14:textId="557CAD54" w:rsidR="00CD54D1" w:rsidRPr="009132A6" w:rsidRDefault="00F25EB3" w:rsidP="00AE3850">
      <w:pPr>
        <w:spacing w:line="360" w:lineRule="auto"/>
        <w:jc w:val="both"/>
        <w:rPr>
          <w:rFonts w:asciiTheme="majorBidi" w:hAnsiTheme="majorBidi" w:cstheme="majorBidi"/>
          <w:b/>
          <w:bCs/>
          <w:sz w:val="72"/>
          <w:szCs w:val="72"/>
        </w:rPr>
      </w:pPr>
      <w:r w:rsidRPr="009132A6">
        <w:rPr>
          <w:rFonts w:asciiTheme="majorBidi" w:hAnsiTheme="majorBidi" w:cstheme="majorBidi"/>
          <w:b/>
          <w:bCs/>
          <w:noProof/>
          <w:sz w:val="72"/>
          <w:szCs w:val="72"/>
          <w:lang w:eastAsia="fr-FR"/>
        </w:rPr>
        <mc:AlternateContent>
          <mc:Choice Requires="wps">
            <w:drawing>
              <wp:anchor distT="0" distB="0" distL="114300" distR="114300" simplePos="0" relativeHeight="251665408" behindDoc="0" locked="0" layoutInCell="1" allowOverlap="1" wp14:anchorId="40EA78D1" wp14:editId="3E8E2E9C">
                <wp:simplePos x="0" y="0"/>
                <wp:positionH relativeFrom="margin">
                  <wp:align>center</wp:align>
                </wp:positionH>
                <wp:positionV relativeFrom="paragraph">
                  <wp:posOffset>427990</wp:posOffset>
                </wp:positionV>
                <wp:extent cx="4483100" cy="2355850"/>
                <wp:effectExtent l="19050" t="19050" r="12700" b="25400"/>
                <wp:wrapNone/>
                <wp:docPr id="11" name="Rectangle : coins arrondis 11"/>
                <wp:cNvGraphicFramePr/>
                <a:graphic xmlns:a="http://schemas.openxmlformats.org/drawingml/2006/main">
                  <a:graphicData uri="http://schemas.microsoft.com/office/word/2010/wordprocessingShape">
                    <wps:wsp>
                      <wps:cNvSpPr/>
                      <wps:spPr>
                        <a:xfrm>
                          <a:off x="0" y="0"/>
                          <a:ext cx="4483100" cy="2355850"/>
                        </a:xfrm>
                        <a:prstGeom prst="roundRect">
                          <a:avLst/>
                        </a:prstGeom>
                        <a:ln w="28575">
                          <a:solidFill>
                            <a:schemeClr val="tx2">
                              <a:lumMod val="25000"/>
                              <a:lumOff val="75000"/>
                            </a:schemeClr>
                          </a:solidFill>
                        </a:ln>
                      </wps:spPr>
                      <wps:style>
                        <a:lnRef idx="2">
                          <a:schemeClr val="dk1"/>
                        </a:lnRef>
                        <a:fillRef idx="1">
                          <a:schemeClr val="lt1"/>
                        </a:fillRef>
                        <a:effectRef idx="0">
                          <a:schemeClr val="dk1"/>
                        </a:effectRef>
                        <a:fontRef idx="minor">
                          <a:schemeClr val="dk1"/>
                        </a:fontRef>
                      </wps:style>
                      <wps:txbx>
                        <w:txbxContent>
                          <w:p w14:paraId="4A4B2298" w14:textId="6CEBA5BA" w:rsidR="00AB34B8" w:rsidRPr="00BC117D" w:rsidRDefault="00AB34B8" w:rsidP="00BC117D">
                            <w:pPr>
                              <w:pStyle w:val="Titre1"/>
                              <w:jc w:val="center"/>
                              <w:rPr>
                                <w:rFonts w:asciiTheme="majorBidi" w:hAnsiTheme="majorBidi"/>
                                <w:b/>
                                <w:bCs/>
                                <w:color w:val="auto"/>
                                <w:sz w:val="48"/>
                                <w:szCs w:val="48"/>
                              </w:rPr>
                            </w:pPr>
                            <w:bookmarkStart w:id="49" w:name="_Toc199314374"/>
                            <w:bookmarkStart w:id="50" w:name="_Toc199314578"/>
                            <w:r w:rsidRPr="00BC117D">
                              <w:rPr>
                                <w:rFonts w:asciiTheme="majorBidi" w:hAnsiTheme="majorBidi"/>
                                <w:b/>
                                <w:bCs/>
                                <w:color w:val="auto"/>
                                <w:sz w:val="48"/>
                                <w:szCs w:val="48"/>
                              </w:rPr>
                              <w:t>CHAPITRE 01 :</w:t>
                            </w:r>
                            <w:r>
                              <w:rPr>
                                <w:rFonts w:asciiTheme="majorBidi" w:hAnsiTheme="majorBidi"/>
                                <w:b/>
                                <w:bCs/>
                                <w:color w:val="auto"/>
                                <w:sz w:val="48"/>
                                <w:szCs w:val="48"/>
                              </w:rPr>
                              <w:t xml:space="preserve"> </w:t>
                            </w:r>
                            <w:r w:rsidRPr="00E038EA">
                              <w:rPr>
                                <w:rFonts w:asciiTheme="majorBidi" w:hAnsiTheme="majorBidi"/>
                                <w:b/>
                                <w:bCs/>
                                <w:color w:val="auto"/>
                                <w:sz w:val="48"/>
                                <w:szCs w:val="48"/>
                              </w:rPr>
                              <w:t>Les concepts fondamentaux du contrôle de gestion et de la gestion budgétaire</w:t>
                            </w:r>
                            <w:bookmarkEnd w:id="49"/>
                            <w:bookmarkEnd w:id="50"/>
                            <w:r w:rsidRPr="00BC117D">
                              <w:rPr>
                                <w:rFonts w:asciiTheme="majorBidi" w:hAnsiTheme="majorBidi"/>
                                <w:b/>
                                <w:bCs/>
                                <w:color w:val="auto"/>
                                <w:sz w:val="48"/>
                                <w:szCs w:val="4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40EA78D1" id="Rectangle : coins arrondis 11" o:spid="_x0000_s1029" style="position:absolute;left:0;text-align:left;margin-left:0;margin-top:33.7pt;width:353pt;height:185.5pt;z-index:251665408;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" fillcolor="white [3201]" strokecolor="#a7caec [831]" strokeweight="2.25pt">
                <v:stroke joinstyle="miter"/>
                <v:textbox>
                  <w:txbxContent>
                    <w:p w14:paraId="4A4B2298" w14:textId="6CEBA5BA" w:rsidR="00771E97" w:rsidRPr="00BC117D" w:rsidRDefault="00771E97" w:rsidP="00BC117D">
                      <w:pPr>
                        <w:pStyle w:val="Heading1"/>
                        <w:jc w:val="center"/>
                        <w:rPr>
                          <w:rFonts w:asciiTheme="majorBidi" w:hAnsiTheme="majorBidi"/>
                          <w:b/>
                          <w:bCs/>
                          <w:color w:val="auto"/>
                          <w:sz w:val="48"/>
                          <w:szCs w:val="48"/>
                        </w:rPr>
                      </w:pPr>
                      <w:bookmarkStart w:id="54" w:name="_Toc199314374"/>
                      <w:bookmarkStart w:id="55" w:name="_Toc199314578"/>
                      <w:r w:rsidRPr="00BC117D">
                        <w:rPr>
                          <w:rFonts w:asciiTheme="majorBidi" w:hAnsiTheme="majorBidi"/>
                          <w:b/>
                          <w:bCs/>
                          <w:color w:val="auto"/>
                          <w:sz w:val="48"/>
                          <w:szCs w:val="48"/>
                        </w:rPr>
                        <w:t>CHAPITRE 01 :</w:t>
                      </w:r>
                      <w:r>
                        <w:rPr>
                          <w:rFonts w:asciiTheme="majorBidi" w:hAnsiTheme="majorBidi"/>
                          <w:b/>
                          <w:bCs/>
                          <w:color w:val="auto"/>
                          <w:sz w:val="48"/>
                          <w:szCs w:val="48"/>
                        </w:rPr>
                        <w:t xml:space="preserve"> </w:t>
                      </w:r>
                      <w:r w:rsidRPr="00E038EA">
                        <w:rPr>
                          <w:rFonts w:asciiTheme="majorBidi" w:hAnsiTheme="majorBidi"/>
                          <w:b/>
                          <w:bCs/>
                          <w:color w:val="auto"/>
                          <w:sz w:val="48"/>
                          <w:szCs w:val="48"/>
                        </w:rPr>
                        <w:t>Les concepts fondamentaux du contrôle de gestion et de la gestion budgétaire</w:t>
                      </w:r>
                      <w:bookmarkEnd w:id="54"/>
                      <w:bookmarkEnd w:id="55"/>
                      <w:r w:rsidRPr="00BC117D">
                        <w:rPr>
                          <w:rFonts w:asciiTheme="majorBidi" w:hAnsiTheme="majorBidi"/>
                          <w:b/>
                          <w:bCs/>
                          <w:color w:val="auto"/>
                          <w:sz w:val="48"/>
                          <w:szCs w:val="48"/>
                        </w:rPr>
                        <w:t xml:space="preserve"> </w:t>
                      </w:r>
                    </w:p>
                  </w:txbxContent>
                </v:textbox>
                <w10:wrap anchorx="margin"/>
              </v:roundrect>
            </w:pict>
          </mc:Fallback>
        </mc:AlternateContent>
      </w:r>
    </w:p>
    <w:p w14:paraId="2F74779E" w14:textId="2C3A4B92" w:rsidR="00CD54D1" w:rsidRPr="009132A6" w:rsidRDefault="00CD54D1" w:rsidP="00AE3850">
      <w:pPr>
        <w:tabs>
          <w:tab w:val="left" w:pos="1277"/>
        </w:tabs>
        <w:spacing w:line="360" w:lineRule="auto"/>
        <w:jc w:val="both"/>
        <w:rPr>
          <w:rFonts w:asciiTheme="majorBidi" w:hAnsiTheme="majorBidi" w:cstheme="majorBidi"/>
        </w:rPr>
        <w:sectPr w:rsidR="00CD54D1" w:rsidRPr="009132A6" w:rsidSect="007873AC">
          <w:footerReference w:type="default" r:id="rId16"/>
          <w:pgSz w:w="11906" w:h="16838"/>
          <w:pgMar w:top="1418" w:right="1134" w:bottom="1418" w:left="1701" w:header="709" w:footer="709" w:gutter="0"/>
          <w:cols w:space="708"/>
          <w:titlePg/>
          <w:docGrid w:linePitch="360"/>
        </w:sectPr>
      </w:pPr>
      <w:r w:rsidRPr="009132A6">
        <w:rPr>
          <w:rFonts w:asciiTheme="majorBidi" w:hAnsiTheme="majorBidi" w:cstheme="majorBidi"/>
        </w:rPr>
        <w:tab/>
      </w:r>
    </w:p>
    <w:p w14:paraId="19A1D1D5" w14:textId="77777777" w:rsidR="00E038EA" w:rsidRPr="00AA1F2E" w:rsidRDefault="00E038EA" w:rsidP="00AE3850">
      <w:pPr>
        <w:pStyle w:val="Titre1"/>
        <w:spacing w:line="360" w:lineRule="auto"/>
        <w:jc w:val="both"/>
        <w:rPr>
          <w:rFonts w:asciiTheme="majorBidi" w:eastAsia="Times New Roman" w:hAnsiTheme="majorBidi"/>
          <w:b/>
          <w:bCs/>
          <w:color w:val="auto"/>
          <w:sz w:val="28"/>
          <w:szCs w:val="28"/>
          <w:u w:val="single"/>
          <w:lang w:eastAsia="fr-FR"/>
        </w:rPr>
      </w:pPr>
      <w:bookmarkStart w:id="51" w:name="_Toc199314375"/>
      <w:bookmarkStart w:id="52" w:name="_Toc199314579"/>
      <w:r w:rsidRPr="00AA1F2E">
        <w:rPr>
          <w:rFonts w:asciiTheme="majorBidi" w:hAnsiTheme="majorBidi"/>
          <w:b/>
          <w:bCs/>
          <w:color w:val="auto"/>
          <w:sz w:val="28"/>
          <w:szCs w:val="28"/>
          <w:u w:val="single"/>
          <w:lang w:eastAsia="fr-FR"/>
        </w:rPr>
        <w:lastRenderedPageBreak/>
        <w:t>Introduction du chapitre 01 :</w:t>
      </w:r>
      <w:bookmarkEnd w:id="51"/>
      <w:bookmarkEnd w:id="52"/>
    </w:p>
    <w:p w14:paraId="6FFB913F" w14:textId="77777777" w:rsidR="00E038EA" w:rsidRPr="004224FB" w:rsidRDefault="00E038EA" w:rsidP="00AE3850">
      <w:pPr>
        <w:spacing w:before="240" w:after="240" w:line="360" w:lineRule="auto"/>
        <w:jc w:val="both"/>
        <w:rPr>
          <w:rFonts w:asciiTheme="majorBidi" w:eastAsia="Times New Roman" w:hAnsiTheme="majorBidi" w:cstheme="majorBidi"/>
          <w:sz w:val="28"/>
          <w:szCs w:val="28"/>
          <w:lang w:eastAsia="fr-FR"/>
        </w:rPr>
      </w:pPr>
      <w:r w:rsidRPr="004224FB">
        <w:rPr>
          <w:rFonts w:asciiTheme="majorBidi" w:eastAsia="Times New Roman" w:hAnsiTheme="majorBidi" w:cstheme="majorBidi"/>
          <w:lang w:eastAsia="fr-FR"/>
        </w:rPr>
        <w:t xml:space="preserve"> </w:t>
      </w:r>
      <w:r w:rsidRPr="004224FB">
        <w:rPr>
          <w:rFonts w:asciiTheme="majorBidi" w:eastAsia="Times New Roman" w:hAnsiTheme="majorBidi" w:cstheme="majorBidi"/>
          <w:lang w:eastAsia="fr-FR"/>
        </w:rPr>
        <w:tab/>
        <w:t>Le contrôle de gestion constitue aujourd’hui un levier essentiel pour accompagner les organisations dans la mise en œuvre de leurs objectifs stratégiques. Il vise à assurer la cohérence entre les plans définis par la direction et les actions réellement menées sur le terrain, à travers un dispositif structuré de suivi et d’évaluation.</w:t>
      </w:r>
    </w:p>
    <w:p w14:paraId="210018EC" w14:textId="77777777" w:rsidR="00E038EA" w:rsidRPr="004224FB" w:rsidRDefault="00E038EA" w:rsidP="00AE3850">
      <w:pPr>
        <w:spacing w:before="240" w:after="240" w:line="360" w:lineRule="auto"/>
        <w:ind w:firstLine="708"/>
        <w:jc w:val="both"/>
        <w:rPr>
          <w:rFonts w:asciiTheme="majorBidi" w:eastAsia="Times New Roman" w:hAnsiTheme="majorBidi" w:cstheme="majorBidi"/>
          <w:sz w:val="28"/>
          <w:szCs w:val="28"/>
          <w:lang w:eastAsia="fr-FR"/>
        </w:rPr>
      </w:pPr>
      <w:r w:rsidRPr="004224FB">
        <w:rPr>
          <w:rFonts w:asciiTheme="majorBidi" w:eastAsia="Times New Roman" w:hAnsiTheme="majorBidi" w:cstheme="majorBidi"/>
          <w:lang w:eastAsia="fr-FR"/>
        </w:rPr>
        <w:t xml:space="preserve">Outil d’aide à la décision et de pilotage opérationnel, le contrôle de gestion s’appuie sur un ensemble de techniques et d’instruments permettant de mesurer la performance, d’identifier les écarts et de proposer les ajustements nécessaires. Parmi ces outils, </w:t>
      </w:r>
      <w:r w:rsidRPr="004224FB">
        <w:rPr>
          <w:rFonts w:asciiTheme="majorBidi" w:eastAsia="Times New Roman" w:hAnsiTheme="majorBidi" w:cstheme="majorBidi"/>
          <w:b/>
          <w:bCs/>
          <w:lang w:eastAsia="fr-FR"/>
        </w:rPr>
        <w:t>la gestion budgétaire occupe une place déterminante</w:t>
      </w:r>
      <w:r w:rsidRPr="004224FB">
        <w:rPr>
          <w:rFonts w:asciiTheme="majorBidi" w:eastAsia="Times New Roman" w:hAnsiTheme="majorBidi" w:cstheme="majorBidi"/>
          <w:lang w:eastAsia="fr-FR"/>
        </w:rPr>
        <w:t>, puisqu’elle permet d’allouer les ressources de manière optimale et de vérifier, en continu, la pertinence des choix effectués.</w:t>
      </w:r>
    </w:p>
    <w:p w14:paraId="1BC8D31A" w14:textId="77777777" w:rsidR="00E038EA" w:rsidRPr="004224FB" w:rsidRDefault="00E038EA" w:rsidP="00AE3850">
      <w:pPr>
        <w:spacing w:before="240" w:after="240" w:line="360" w:lineRule="auto"/>
        <w:ind w:firstLine="708"/>
        <w:jc w:val="both"/>
        <w:rPr>
          <w:rFonts w:asciiTheme="majorBidi" w:eastAsia="Times New Roman" w:hAnsiTheme="majorBidi" w:cstheme="majorBidi"/>
          <w:sz w:val="28"/>
          <w:szCs w:val="28"/>
          <w:lang w:eastAsia="fr-FR"/>
        </w:rPr>
      </w:pPr>
      <w:r w:rsidRPr="004224FB">
        <w:rPr>
          <w:rFonts w:asciiTheme="majorBidi" w:eastAsia="Times New Roman" w:hAnsiTheme="majorBidi" w:cstheme="majorBidi"/>
          <w:lang w:eastAsia="fr-FR"/>
        </w:rPr>
        <w:t>Ce premier chapitre a pour objectif de poser les bases conceptuelles du mémoire, en présentant les fondements du contrôle de gestion et de la gestion budgétaire, ainsi que les liens étroits qui les unissent. La première section portera sur les principales définitions, fonctions et outils du contrôle de gestion. La seconde développera les enjeux, étapes et types de budgets dans une organisation. Enfin, la troisième section sera consacrée au contrôle budgétaire, comme mécanisme de suivi, d’analyse des écarts et de régulation de la performance.</w:t>
      </w:r>
    </w:p>
    <w:p w14:paraId="02575D39" w14:textId="77777777" w:rsidR="00E038EA" w:rsidRPr="004224FB" w:rsidRDefault="00E038EA" w:rsidP="00AE3850">
      <w:pPr>
        <w:spacing w:line="360" w:lineRule="auto"/>
        <w:jc w:val="both"/>
        <w:rPr>
          <w:rFonts w:asciiTheme="majorBidi" w:eastAsia="Times New Roman" w:hAnsiTheme="majorBidi" w:cstheme="majorBidi"/>
          <w:color w:val="000000"/>
          <w:lang w:eastAsia="fr-FR"/>
        </w:rPr>
      </w:pPr>
    </w:p>
    <w:p w14:paraId="6C9FFFD6" w14:textId="77777777" w:rsidR="00E038EA" w:rsidRPr="004224FB" w:rsidRDefault="00E038EA" w:rsidP="00AE3850">
      <w:pPr>
        <w:spacing w:line="360" w:lineRule="auto"/>
        <w:jc w:val="both"/>
        <w:rPr>
          <w:rFonts w:asciiTheme="majorBidi" w:eastAsia="Times New Roman" w:hAnsiTheme="majorBidi" w:cstheme="majorBidi"/>
          <w:b/>
          <w:bCs/>
          <w:color w:val="000000"/>
          <w:sz w:val="28"/>
          <w:szCs w:val="28"/>
          <w:lang w:eastAsia="fr-FR"/>
        </w:rPr>
      </w:pPr>
      <w:r w:rsidRPr="004224FB">
        <w:rPr>
          <w:rFonts w:asciiTheme="majorBidi" w:eastAsia="Times New Roman" w:hAnsiTheme="majorBidi" w:cstheme="majorBidi"/>
          <w:b/>
          <w:bCs/>
          <w:color w:val="000000"/>
          <w:sz w:val="28"/>
          <w:szCs w:val="28"/>
          <w:lang w:eastAsia="fr-FR"/>
        </w:rPr>
        <w:br w:type="page"/>
      </w:r>
    </w:p>
    <w:p w14:paraId="5126B46C" w14:textId="77777777" w:rsidR="00E038EA" w:rsidRPr="00AA1F2E" w:rsidRDefault="00E038EA" w:rsidP="00AE3850">
      <w:pPr>
        <w:pStyle w:val="Titre2"/>
        <w:spacing w:line="360" w:lineRule="auto"/>
        <w:jc w:val="both"/>
        <w:rPr>
          <w:rFonts w:asciiTheme="majorBidi" w:hAnsiTheme="majorBidi"/>
          <w:b/>
          <w:bCs/>
          <w:color w:val="auto"/>
          <w:sz w:val="24"/>
          <w:szCs w:val="24"/>
          <w:u w:val="single"/>
        </w:rPr>
      </w:pPr>
      <w:bookmarkStart w:id="53" w:name="_Toc199314376"/>
      <w:bookmarkStart w:id="54" w:name="_Toc199314580"/>
      <w:r w:rsidRPr="00AA1F2E">
        <w:rPr>
          <w:rFonts w:asciiTheme="majorBidi" w:hAnsiTheme="majorBidi"/>
          <w:b/>
          <w:bCs/>
          <w:color w:val="auto"/>
          <w:sz w:val="28"/>
          <w:szCs w:val="28"/>
          <w:u w:val="single"/>
          <w:lang w:eastAsia="fr-FR"/>
        </w:rPr>
        <w:lastRenderedPageBreak/>
        <w:t>Section01 :</w:t>
      </w:r>
      <w:r w:rsidRPr="00AA1F2E">
        <w:rPr>
          <w:rFonts w:asciiTheme="majorBidi" w:hAnsiTheme="majorBidi"/>
          <w:b/>
          <w:bCs/>
          <w:color w:val="auto"/>
          <w:sz w:val="28"/>
          <w:szCs w:val="28"/>
          <w:u w:val="single"/>
        </w:rPr>
        <w:t xml:space="preserve"> </w:t>
      </w:r>
      <w:r w:rsidRPr="00AA1F2E">
        <w:rPr>
          <w:rFonts w:asciiTheme="majorBidi" w:hAnsiTheme="majorBidi"/>
          <w:b/>
          <w:bCs/>
          <w:color w:val="auto"/>
          <w:sz w:val="28"/>
          <w:szCs w:val="28"/>
          <w:u w:val="single"/>
          <w:lang w:eastAsia="fr-FR"/>
        </w:rPr>
        <w:t>Notions de base sur le contrôle de gestion</w:t>
      </w:r>
      <w:bookmarkEnd w:id="53"/>
      <w:bookmarkEnd w:id="54"/>
    </w:p>
    <w:p w14:paraId="54E47191" w14:textId="77777777" w:rsidR="00E038EA" w:rsidRPr="004224FB" w:rsidRDefault="00E038EA" w:rsidP="00AE3850">
      <w:pPr>
        <w:spacing w:line="360" w:lineRule="auto"/>
        <w:jc w:val="both"/>
        <w:rPr>
          <w:rFonts w:asciiTheme="majorBidi" w:eastAsia="Times New Roman" w:hAnsiTheme="majorBidi" w:cstheme="majorBidi"/>
          <w:b/>
          <w:bCs/>
          <w:u w:val="single"/>
          <w:lang w:eastAsia="fr-FR"/>
        </w:rPr>
      </w:pPr>
      <w:r w:rsidRPr="004224FB">
        <w:rPr>
          <w:rFonts w:asciiTheme="majorBidi" w:hAnsiTheme="majorBidi" w:cstheme="majorBidi"/>
          <w:color w:val="000000"/>
        </w:rPr>
        <w:t xml:space="preserve">    Le contrôle de gestion est une fonction essentielle au sein des organisations, visant à assurer la coordination et l’optimisation des ressources en fonction des objectifs définis. Il repose sur divers outils et techniques permettant d’évaluer la performance des différentes activités, d’anticiper les écarts et d’apporter des ajustements nécessaires.</w:t>
      </w:r>
    </w:p>
    <w:p w14:paraId="5AE5BBD0" w14:textId="3826454B" w:rsidR="00E038EA" w:rsidRPr="003528F9" w:rsidRDefault="00E038EA" w:rsidP="00C13671">
      <w:pPr>
        <w:pStyle w:val="Paragraphedeliste"/>
        <w:numPr>
          <w:ilvl w:val="0"/>
          <w:numId w:val="91"/>
        </w:numPr>
        <w:spacing w:after="200" w:line="360" w:lineRule="auto"/>
        <w:jc w:val="both"/>
        <w:rPr>
          <w:rFonts w:asciiTheme="majorBidi" w:eastAsia="Times New Roman" w:hAnsiTheme="majorBidi" w:cstheme="majorBidi"/>
          <w:b/>
          <w:bCs/>
          <w:u w:val="single"/>
          <w:lang w:eastAsia="fr-FR"/>
        </w:rPr>
      </w:pPr>
      <w:bookmarkStart w:id="55" w:name="_Toc199314377"/>
      <w:r w:rsidRPr="003528F9">
        <w:rPr>
          <w:rStyle w:val="Titre3Car"/>
          <w:rFonts w:asciiTheme="majorBidi" w:hAnsiTheme="majorBidi"/>
          <w:b/>
          <w:bCs/>
          <w:color w:val="auto"/>
          <w:sz w:val="24"/>
          <w:szCs w:val="24"/>
          <w:u w:val="single"/>
        </w:rPr>
        <w:t xml:space="preserve">L’évolution du contrôle de </w:t>
      </w:r>
      <w:r w:rsidR="00AA1F2E" w:rsidRPr="003528F9">
        <w:rPr>
          <w:rStyle w:val="Titre3Car"/>
          <w:rFonts w:asciiTheme="majorBidi" w:hAnsiTheme="majorBidi"/>
          <w:b/>
          <w:bCs/>
          <w:color w:val="auto"/>
          <w:sz w:val="24"/>
          <w:szCs w:val="24"/>
          <w:u w:val="single"/>
        </w:rPr>
        <w:t>gestion :</w:t>
      </w:r>
      <w:bookmarkEnd w:id="55"/>
      <w:r w:rsidR="00AA1F2E" w:rsidRPr="003528F9">
        <w:rPr>
          <w:rStyle w:val="Titre3Car"/>
          <w:rFonts w:asciiTheme="majorBidi" w:hAnsiTheme="majorBidi"/>
          <w:b/>
          <w:bCs/>
          <w:color w:val="auto"/>
          <w:sz w:val="24"/>
          <w:szCs w:val="24"/>
        </w:rPr>
        <w:t xml:space="preserve"> </w:t>
      </w:r>
      <w:r w:rsidRPr="00AA1F2E">
        <w:rPr>
          <w:rStyle w:val="Appelnotedebasdep"/>
          <w:rFonts w:asciiTheme="majorBidi" w:eastAsia="Times New Roman" w:hAnsiTheme="majorBidi" w:cstheme="majorBidi"/>
          <w:b/>
          <w:bCs/>
          <w:color w:val="000000"/>
          <w:lang w:eastAsia="fr-FR"/>
        </w:rPr>
        <w:footnoteReference w:id="1"/>
      </w:r>
    </w:p>
    <w:p w14:paraId="3A63093B"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 contrôle de gestion trouve ses origines aux États-Unis au début du XXe siècle, en réponse aux transformations techniques et économiques de l’époque. Il s’est d’abord développé à partir des travaux de Taylor (1905) sur le contrôle de la productivité, des recherches de Gantt (1915) portant sur la gestion des charges de structure, ainsi que des initiatives organisationnelles de General Motors (1923) et de Saint-Gobain (1935), qui ont adopté des structures décentralisées par divisions. À ses débuts, le contrôle de gestion se focalisait principalement sur l’activité de production.</w:t>
      </w:r>
    </w:p>
    <w:p w14:paraId="04660124"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Progressivement, au-delà de l’analyse des coûts, les entreprises ont introduit des outils prévisionnels tels que les budgets, ainsi que des mécanismes de suivi des réalisations permettant d’identifier les écarts. Cela a conduit à une assimilation fréquente — bien que réductrice — du contrôle de gestion au contrôle budgétaire.</w:t>
      </w:r>
    </w:p>
    <w:p w14:paraId="58467A59"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Si les premiers fondements du contrôle de gestion ont été posés entre 1850 et 1910, tant aux États-Unis qu’en Europe, les pratiques ont ensuite évolué tout au long du XXe siècle, en fonction des besoins croissants des entreprises. Dans un contexte de croissance et de diversification des produits et services, les gestionnaires ont progressivement perçu le contrôle de gestion comme un outil d’aide à la décision et de pilotage des acteurs au sein de l’organisation.</w:t>
      </w:r>
    </w:p>
    <w:p w14:paraId="22D091FC"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Jusqu’au début des années 1970, les grandes entreprises françaises ayant mis en place des dispositifs de contrôle de gestion se sont largement inspirées du modèle des firmes industrielles américaines, structuré autour de :</w:t>
      </w:r>
    </w:p>
    <w:p w14:paraId="367D285F" w14:textId="77777777" w:rsidR="00E038EA" w:rsidRPr="004224FB" w:rsidRDefault="00E038EA" w:rsidP="00C13671">
      <w:pPr>
        <w:pStyle w:val="Paragraphedeliste"/>
        <w:numPr>
          <w:ilvl w:val="0"/>
          <w:numId w:val="30"/>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Un processus articulé entre planification stratégique, gestion budgétaire et contrôle budgétaire, du long terme au court terme ;</w:t>
      </w:r>
    </w:p>
    <w:p w14:paraId="7A828459" w14:textId="77777777" w:rsidR="00E038EA" w:rsidRPr="004224FB" w:rsidRDefault="00E038EA" w:rsidP="00C13671">
      <w:pPr>
        <w:pStyle w:val="Paragraphedeliste"/>
        <w:numPr>
          <w:ilvl w:val="0"/>
          <w:numId w:val="30"/>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lastRenderedPageBreak/>
        <w:t>Une organisation hiérarchique segmentée en centres de responsabilité ;</w:t>
      </w:r>
    </w:p>
    <w:p w14:paraId="7C1C413D" w14:textId="77777777" w:rsidR="00E038EA" w:rsidRPr="004224FB" w:rsidRDefault="00E038EA" w:rsidP="00C13671">
      <w:pPr>
        <w:pStyle w:val="Paragraphedeliste"/>
        <w:numPr>
          <w:ilvl w:val="0"/>
          <w:numId w:val="30"/>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Un système de pilotage fondé sur le couplage objectifs–moyens, reposant sur la comparaison entre les résultats attendus et réalisés, afin d’orienter l’action.</w:t>
      </w:r>
    </w:p>
    <w:p w14:paraId="62FFCB8D" w14:textId="77777777" w:rsidR="00E038EA" w:rsidRPr="004224FB" w:rsidRDefault="00E038EA" w:rsidP="00AE3850">
      <w:pPr>
        <w:spacing w:line="360" w:lineRule="auto"/>
        <w:ind w:firstLine="142"/>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Ce modèle s’inscrivait dans une logique taylorienne, caractérisée par quatre principes fondamentaux :</w:t>
      </w:r>
    </w:p>
    <w:p w14:paraId="0A30CCF2" w14:textId="77777777" w:rsidR="00E038EA" w:rsidRPr="004224FB" w:rsidRDefault="00E038EA" w:rsidP="00C13671">
      <w:pPr>
        <w:pStyle w:val="Paragraphedeliste"/>
        <w:numPr>
          <w:ilvl w:val="0"/>
          <w:numId w:val="31"/>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La stabilité de l’environnement organisationnel ;</w:t>
      </w:r>
    </w:p>
    <w:p w14:paraId="0D3328E6" w14:textId="77777777" w:rsidR="00E038EA" w:rsidRPr="004224FB" w:rsidRDefault="00E038EA" w:rsidP="00C13671">
      <w:pPr>
        <w:pStyle w:val="Paragraphedeliste"/>
        <w:numPr>
          <w:ilvl w:val="0"/>
          <w:numId w:val="31"/>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Une information complète et maîtrisée par les dirigeants ;</w:t>
      </w:r>
    </w:p>
    <w:p w14:paraId="7EB4AFE1" w14:textId="77777777" w:rsidR="00E038EA" w:rsidRPr="004224FB" w:rsidRDefault="00E038EA" w:rsidP="00C13671">
      <w:pPr>
        <w:pStyle w:val="Paragraphedeliste"/>
        <w:numPr>
          <w:ilvl w:val="0"/>
          <w:numId w:val="31"/>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La recherche constante de réduction des coûts ;</w:t>
      </w:r>
    </w:p>
    <w:p w14:paraId="74CC5102" w14:textId="77777777" w:rsidR="00E038EA" w:rsidRPr="004224FB" w:rsidRDefault="00E038EA" w:rsidP="00C13671">
      <w:pPr>
        <w:pStyle w:val="Paragraphedeliste"/>
        <w:numPr>
          <w:ilvl w:val="0"/>
          <w:numId w:val="31"/>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La prédominance du coût de production dans le coût total.</w:t>
      </w:r>
    </w:p>
    <w:p w14:paraId="5D4CA6BF"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Dans ce cadre, le contrôle de gestion servait essentiellement à mesurer et maîtriser la productivité industrielle, notamment celle du travail direct.</w:t>
      </w:r>
    </w:p>
    <w:p w14:paraId="54823A9A" w14:textId="1D6D334E"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Cependant, à partir des années 1970, de nombreuses perturbations — tant internes qu’externes aux organisations — ont conduit à une remise en question en profondeur de ce modèle, tant dans ses objectifs que dans ses outils et ses modes d’utilisation.</w:t>
      </w:r>
    </w:p>
    <w:p w14:paraId="614B7DAB" w14:textId="7BA8D2CB" w:rsidR="00134A61" w:rsidRPr="00134A61" w:rsidRDefault="00134A61" w:rsidP="00AE3850">
      <w:pPr>
        <w:pStyle w:val="Lgende"/>
        <w:keepNext/>
        <w:spacing w:line="360" w:lineRule="auto"/>
        <w:jc w:val="both"/>
        <w:rPr>
          <w:rFonts w:asciiTheme="majorBidi" w:hAnsiTheme="majorBidi" w:cstheme="majorBidi"/>
          <w:b/>
          <w:bCs/>
          <w:i w:val="0"/>
          <w:iCs w:val="0"/>
          <w:color w:val="auto"/>
          <w:sz w:val="24"/>
          <w:szCs w:val="24"/>
        </w:rPr>
      </w:pPr>
      <w:bookmarkStart w:id="56" w:name="_Toc199314758"/>
      <w:r w:rsidRPr="00134A61">
        <w:rPr>
          <w:rFonts w:asciiTheme="majorBidi" w:hAnsiTheme="majorBidi" w:cstheme="majorBidi"/>
          <w:b/>
          <w:bCs/>
          <w:i w:val="0"/>
          <w:iCs w:val="0"/>
          <w:color w:val="auto"/>
          <w:sz w:val="24"/>
          <w:szCs w:val="24"/>
        </w:rPr>
        <w:t xml:space="preserve">Figure N°1- </w:t>
      </w:r>
      <w:r w:rsidRPr="00134A61">
        <w:rPr>
          <w:rFonts w:asciiTheme="majorBidi" w:hAnsiTheme="majorBidi" w:cstheme="majorBidi"/>
          <w:b/>
          <w:bCs/>
          <w:i w:val="0"/>
          <w:iCs w:val="0"/>
          <w:color w:val="auto"/>
          <w:sz w:val="24"/>
          <w:szCs w:val="24"/>
        </w:rPr>
        <w:fldChar w:fldCharType="begin"/>
      </w:r>
      <w:r w:rsidRPr="00134A61">
        <w:rPr>
          <w:rFonts w:asciiTheme="majorBidi" w:hAnsiTheme="majorBidi" w:cstheme="majorBidi"/>
          <w:b/>
          <w:bCs/>
          <w:i w:val="0"/>
          <w:iCs w:val="0"/>
          <w:color w:val="auto"/>
          <w:sz w:val="24"/>
          <w:szCs w:val="24"/>
        </w:rPr>
        <w:instrText xml:space="preserve"> SEQ Figure_N°1- \* ARABIC </w:instrText>
      </w:r>
      <w:r w:rsidRPr="00134A61">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1</w:t>
      </w:r>
      <w:r w:rsidRPr="00134A61">
        <w:rPr>
          <w:rFonts w:asciiTheme="majorBidi" w:hAnsiTheme="majorBidi" w:cstheme="majorBidi"/>
          <w:b/>
          <w:bCs/>
          <w:i w:val="0"/>
          <w:iCs w:val="0"/>
          <w:color w:val="auto"/>
          <w:sz w:val="24"/>
          <w:szCs w:val="24"/>
        </w:rPr>
        <w:fldChar w:fldCharType="end"/>
      </w:r>
      <w:r w:rsidRPr="00134A61">
        <w:rPr>
          <w:rFonts w:asciiTheme="majorBidi" w:hAnsiTheme="majorBidi" w:cstheme="majorBidi"/>
          <w:b/>
          <w:bCs/>
          <w:i w:val="0"/>
          <w:iCs w:val="0"/>
          <w:color w:val="auto"/>
          <w:sz w:val="24"/>
          <w:szCs w:val="24"/>
        </w:rPr>
        <w:t>: Rôle du contrôleur de gestion</w:t>
      </w:r>
      <w:bookmarkEnd w:id="56"/>
    </w:p>
    <w:p w14:paraId="0410CDAA" w14:textId="5782C638" w:rsidR="00E038EA" w:rsidRPr="00134A61" w:rsidRDefault="00134A61" w:rsidP="00AE3850">
      <w:pPr>
        <w:spacing w:line="360" w:lineRule="auto"/>
        <w:jc w:val="both"/>
        <w:rPr>
          <w:rFonts w:asciiTheme="majorBidi" w:eastAsia="Times New Roman" w:hAnsiTheme="majorBidi" w:cstheme="majorBidi"/>
          <w:lang w:eastAsia="fr-FR"/>
        </w:rPr>
      </w:pPr>
      <w:r>
        <w:rPr>
          <w:rFonts w:asciiTheme="majorBidi" w:eastAsia="Times New Roman" w:hAnsiTheme="majorBidi" w:cstheme="majorBidi"/>
          <w:noProof/>
          <w:lang w:eastAsia="fr-FR"/>
        </w:rPr>
        <w:drawing>
          <wp:inline distT="0" distB="0" distL="0" distR="0" wp14:anchorId="72237CF1" wp14:editId="5F55B8E2">
            <wp:extent cx="5143764" cy="2584583"/>
            <wp:effectExtent l="0" t="0" r="0" b="6350"/>
            <wp:docPr id="30" name="Image 30" descr="Une image contenant diagramme, ligne, triangle, concep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0" descr="Une image contenant diagramme, ligne, triangle, conception&#10;&#10;Le contenu généré par l’IA peut être incorrect."/>
                    <pic:cNvPicPr/>
                  </pic:nvPicPr>
                  <pic:blipFill>
                    <a:blip r:embed="rId17">
                      <a:extLst>
                        <a:ext uri="{28A0092B-C50C-407E-A947-70E740481C1C}">
                          <a14:useLocalDpi xmlns:a14="http://schemas.microsoft.com/office/drawing/2010/main" val="0"/>
                        </a:ext>
                      </a:extLst>
                    </a:blip>
                    <a:stretch>
                      <a:fillRect/>
                    </a:stretch>
                  </pic:blipFill>
                  <pic:spPr>
                    <a:xfrm>
                      <a:off x="0" y="0"/>
                      <a:ext cx="5143764" cy="2584583"/>
                    </a:xfrm>
                    <a:prstGeom prst="rect">
                      <a:avLst/>
                    </a:prstGeom>
                  </pic:spPr>
                </pic:pic>
              </a:graphicData>
            </a:graphic>
          </wp:inline>
        </w:drawing>
      </w:r>
    </w:p>
    <w:p w14:paraId="10F7901F" w14:textId="2188394B" w:rsidR="00CF7238" w:rsidRPr="005E5A10" w:rsidRDefault="00E038EA" w:rsidP="00AE3850">
      <w:pPr>
        <w:spacing w:line="360" w:lineRule="auto"/>
        <w:jc w:val="both"/>
        <w:rPr>
          <w:rFonts w:asciiTheme="majorBidi" w:eastAsia="Times New Roman" w:hAnsiTheme="majorBidi" w:cstheme="majorBidi"/>
          <w:b/>
          <w:bCs/>
          <w:color w:val="000000"/>
          <w:u w:val="single"/>
          <w:lang w:eastAsia="fr-FR"/>
        </w:rPr>
      </w:pPr>
      <w:r w:rsidRPr="005E5A10">
        <w:rPr>
          <w:rFonts w:asciiTheme="majorBidi" w:eastAsia="Times New Roman" w:hAnsiTheme="majorBidi" w:cstheme="majorBidi"/>
          <w:b/>
          <w:bCs/>
          <w:color w:val="000000"/>
          <w:lang w:eastAsia="fr-FR"/>
        </w:rPr>
        <w:t xml:space="preserve">Source : </w:t>
      </w:r>
      <w:r w:rsidRPr="005E5A10">
        <w:rPr>
          <w:rFonts w:asciiTheme="majorBidi" w:hAnsiTheme="majorBidi" w:cstheme="majorBidi"/>
          <w:b/>
          <w:bCs/>
          <w:color w:val="1F1F1F"/>
          <w:shd w:val="clear" w:color="auto" w:fill="FFFFFF"/>
        </w:rPr>
        <w:t>ALAZARD (C), et SEPARI (S), 2010, op.cit, P.34.</w:t>
      </w:r>
    </w:p>
    <w:p w14:paraId="13A4722E" w14:textId="77777777" w:rsidR="00134A61" w:rsidRDefault="00134A61" w:rsidP="00AE3850">
      <w:pPr>
        <w:spacing w:line="360" w:lineRule="auto"/>
        <w:jc w:val="both"/>
        <w:rPr>
          <w:rFonts w:asciiTheme="majorBidi" w:eastAsia="Times New Roman" w:hAnsiTheme="majorBidi" w:cstheme="majorBidi"/>
          <w:b/>
          <w:bCs/>
          <w:color w:val="000000"/>
          <w:u w:val="single"/>
          <w:lang w:eastAsia="fr-FR"/>
        </w:rPr>
      </w:pPr>
      <w:r>
        <w:rPr>
          <w:rFonts w:asciiTheme="majorBidi" w:eastAsia="Times New Roman" w:hAnsiTheme="majorBidi" w:cstheme="majorBidi"/>
          <w:b/>
          <w:bCs/>
          <w:color w:val="000000"/>
          <w:u w:val="single"/>
          <w:lang w:eastAsia="fr-FR"/>
        </w:rPr>
        <w:br w:type="page"/>
      </w:r>
    </w:p>
    <w:p w14:paraId="3B380F82" w14:textId="45D826F5" w:rsidR="00E038EA" w:rsidRPr="003528F9" w:rsidRDefault="00E038EA" w:rsidP="00C13671">
      <w:pPr>
        <w:pStyle w:val="Titre3"/>
        <w:numPr>
          <w:ilvl w:val="0"/>
          <w:numId w:val="91"/>
        </w:numPr>
        <w:spacing w:line="360" w:lineRule="auto"/>
        <w:jc w:val="both"/>
        <w:rPr>
          <w:rFonts w:asciiTheme="majorBidi" w:hAnsiTheme="majorBidi"/>
          <w:b/>
          <w:bCs/>
          <w:color w:val="auto"/>
          <w:sz w:val="24"/>
          <w:szCs w:val="24"/>
          <w:u w:val="single"/>
          <w:lang w:eastAsia="fr-FR"/>
        </w:rPr>
      </w:pPr>
      <w:bookmarkStart w:id="57" w:name="_Toc199314378"/>
      <w:r w:rsidRPr="003528F9">
        <w:rPr>
          <w:rFonts w:asciiTheme="majorBidi" w:hAnsiTheme="majorBidi"/>
          <w:b/>
          <w:bCs/>
          <w:color w:val="auto"/>
          <w:sz w:val="24"/>
          <w:szCs w:val="24"/>
          <w:u w:val="single"/>
          <w:lang w:eastAsia="fr-FR"/>
        </w:rPr>
        <w:lastRenderedPageBreak/>
        <w:t xml:space="preserve">Définition du contrôle de </w:t>
      </w:r>
      <w:r w:rsidR="001E4141" w:rsidRPr="003528F9">
        <w:rPr>
          <w:rFonts w:asciiTheme="majorBidi" w:hAnsiTheme="majorBidi"/>
          <w:b/>
          <w:bCs/>
          <w:color w:val="auto"/>
          <w:sz w:val="24"/>
          <w:szCs w:val="24"/>
          <w:u w:val="single"/>
          <w:lang w:eastAsia="fr-FR"/>
        </w:rPr>
        <w:t>gestion :</w:t>
      </w:r>
      <w:bookmarkEnd w:id="57"/>
    </w:p>
    <w:p w14:paraId="70B7B136" w14:textId="20D08207" w:rsidR="00E038EA" w:rsidRPr="006F481C" w:rsidRDefault="00E038EA" w:rsidP="00C13671">
      <w:pPr>
        <w:pStyle w:val="Paragraphedeliste"/>
        <w:numPr>
          <w:ilvl w:val="0"/>
          <w:numId w:val="38"/>
        </w:numPr>
        <w:spacing w:after="200" w:line="360" w:lineRule="auto"/>
        <w:jc w:val="both"/>
        <w:rPr>
          <w:rFonts w:asciiTheme="majorBidi" w:eastAsia="Times New Roman" w:hAnsiTheme="majorBidi" w:cstheme="majorBidi"/>
          <w:b/>
          <w:bCs/>
          <w:u w:val="single"/>
          <w:lang w:eastAsia="fr-FR"/>
        </w:rPr>
      </w:pPr>
      <w:bookmarkStart w:id="58" w:name="_Toc199314379"/>
      <w:r w:rsidRPr="003528F9">
        <w:rPr>
          <w:rStyle w:val="Titre4Car"/>
          <w:rFonts w:asciiTheme="majorBidi" w:hAnsiTheme="majorBidi"/>
          <w:b/>
          <w:bCs/>
          <w:i w:val="0"/>
          <w:iCs w:val="0"/>
          <w:color w:val="auto"/>
          <w:u w:val="single"/>
        </w:rPr>
        <w:t>La notion de contrôle</w:t>
      </w:r>
      <w:r w:rsidR="003528F9" w:rsidRPr="003528F9">
        <w:rPr>
          <w:rStyle w:val="Titre4Car"/>
          <w:rFonts w:asciiTheme="majorBidi" w:hAnsiTheme="majorBidi"/>
          <w:b/>
          <w:bCs/>
          <w:i w:val="0"/>
          <w:iCs w:val="0"/>
          <w:color w:val="auto"/>
          <w:u w:val="single"/>
        </w:rPr>
        <w:t xml:space="preserve"> </w:t>
      </w:r>
      <w:r w:rsidR="006F481C" w:rsidRPr="003528F9">
        <w:rPr>
          <w:rStyle w:val="Titre4Car"/>
          <w:rFonts w:asciiTheme="majorBidi" w:hAnsiTheme="majorBidi"/>
          <w:b/>
          <w:bCs/>
          <w:i w:val="0"/>
          <w:iCs w:val="0"/>
          <w:color w:val="auto"/>
          <w:u w:val="single"/>
        </w:rPr>
        <w:t>:</w:t>
      </w:r>
      <w:bookmarkEnd w:id="58"/>
      <w:r w:rsidR="003528F9" w:rsidRPr="003528F9">
        <w:rPr>
          <w:rStyle w:val="Appelnotedebasdep"/>
          <w:rFonts w:asciiTheme="majorBidi" w:eastAsia="Times New Roman" w:hAnsiTheme="majorBidi" w:cstheme="majorBidi"/>
          <w:b/>
          <w:bCs/>
          <w:i/>
          <w:iCs/>
          <w:u w:val="single"/>
          <w:lang w:eastAsia="fr-FR"/>
        </w:rPr>
        <w:t xml:space="preserve"> </w:t>
      </w:r>
      <w:r w:rsidR="003528F9" w:rsidRPr="003528F9">
        <w:rPr>
          <w:rStyle w:val="Appelnotedebasdep"/>
          <w:rFonts w:asciiTheme="majorBidi" w:eastAsia="Times New Roman" w:hAnsiTheme="majorBidi" w:cstheme="majorBidi"/>
          <w:b/>
          <w:bCs/>
          <w:color w:val="000000"/>
          <w:lang w:eastAsia="fr-FR"/>
        </w:rPr>
        <w:footnoteReference w:id="2"/>
      </w:r>
    </w:p>
    <w:p w14:paraId="52164D4B" w14:textId="77777777" w:rsidR="00E038EA" w:rsidRPr="004224FB" w:rsidRDefault="00E038EA" w:rsidP="00AE3850">
      <w:pPr>
        <w:spacing w:line="360" w:lineRule="auto"/>
        <w:ind w:firstLine="360"/>
        <w:jc w:val="both"/>
        <w:rPr>
          <w:rFonts w:asciiTheme="majorBidi" w:hAnsiTheme="majorBidi" w:cstheme="majorBidi"/>
        </w:rPr>
      </w:pPr>
      <w:r w:rsidRPr="004224FB">
        <w:rPr>
          <w:rFonts w:asciiTheme="majorBidi" w:hAnsiTheme="majorBidi" w:cstheme="majorBidi"/>
        </w:rPr>
        <w:t>Le terme « contrôler » revêt plusieurs significations selon le contexte dans lequel il est employé.</w:t>
      </w:r>
    </w:p>
    <w:p w14:paraId="3CA006A5" w14:textId="77777777" w:rsidR="00E038EA" w:rsidRPr="004224FB" w:rsidRDefault="00E038EA" w:rsidP="00AE3850">
      <w:pPr>
        <w:spacing w:line="360" w:lineRule="auto"/>
        <w:ind w:firstLine="360"/>
        <w:jc w:val="both"/>
        <w:rPr>
          <w:rFonts w:asciiTheme="majorBidi" w:hAnsiTheme="majorBidi" w:cstheme="majorBidi"/>
        </w:rPr>
      </w:pPr>
      <w:r w:rsidRPr="004224FB">
        <w:rPr>
          <w:rFonts w:asciiTheme="majorBidi" w:hAnsiTheme="majorBidi" w:cstheme="majorBidi"/>
        </w:rPr>
        <w:t xml:space="preserve">Tout d’abord, </w:t>
      </w:r>
      <w:r w:rsidRPr="004224FB">
        <w:rPr>
          <w:rStyle w:val="lev"/>
          <w:rFonts w:asciiTheme="majorBidi" w:hAnsiTheme="majorBidi"/>
        </w:rPr>
        <w:t>contrôler signifie « vérifier »</w:t>
      </w:r>
      <w:r w:rsidRPr="004224FB">
        <w:rPr>
          <w:rFonts w:asciiTheme="majorBidi" w:hAnsiTheme="majorBidi" w:cstheme="majorBidi"/>
        </w:rPr>
        <w:t xml:space="preserve">. Dans cette optique, le contrôle de gestion remplit une fonction de </w:t>
      </w:r>
      <w:r w:rsidRPr="004224FB">
        <w:rPr>
          <w:rStyle w:val="lev"/>
          <w:rFonts w:asciiTheme="majorBidi" w:hAnsiTheme="majorBidi"/>
        </w:rPr>
        <w:t>vérification de la conformité</w:t>
      </w:r>
      <w:r w:rsidRPr="004224FB">
        <w:rPr>
          <w:rFonts w:asciiTheme="majorBidi" w:hAnsiTheme="majorBidi" w:cstheme="majorBidi"/>
        </w:rPr>
        <w:t xml:space="preserve"> des actions et des comportements par rapport à un référentiel prédéfini, qu’il s’agisse de règles, d’objectifs ou de standards budgétaires. Le contrôle s’accompagne ainsi nécessairement d’une </w:t>
      </w:r>
      <w:r w:rsidRPr="004224FB">
        <w:rPr>
          <w:rStyle w:val="lev"/>
          <w:rFonts w:asciiTheme="majorBidi" w:hAnsiTheme="majorBidi"/>
        </w:rPr>
        <w:t>comparaison</w:t>
      </w:r>
      <w:r w:rsidRPr="004224FB">
        <w:rPr>
          <w:rFonts w:asciiTheme="majorBidi" w:hAnsiTheme="majorBidi" w:cstheme="majorBidi"/>
        </w:rPr>
        <w:t xml:space="preserve"> entre ce qui est prévu et ce qui est réalisé.</w:t>
      </w:r>
    </w:p>
    <w:p w14:paraId="622BBDF5" w14:textId="77777777" w:rsidR="00E038EA" w:rsidRPr="004224FB" w:rsidRDefault="00E038EA" w:rsidP="00AE3850">
      <w:pPr>
        <w:spacing w:line="360" w:lineRule="auto"/>
        <w:ind w:firstLine="360"/>
        <w:jc w:val="both"/>
        <w:rPr>
          <w:rFonts w:asciiTheme="majorBidi" w:hAnsiTheme="majorBidi" w:cstheme="majorBidi"/>
        </w:rPr>
      </w:pPr>
      <w:r w:rsidRPr="004224FB">
        <w:rPr>
          <w:rFonts w:asciiTheme="majorBidi" w:hAnsiTheme="majorBidi" w:cstheme="majorBidi"/>
        </w:rPr>
        <w:t xml:space="preserve">Ensuite, </w:t>
      </w:r>
      <w:r w:rsidRPr="004224FB">
        <w:rPr>
          <w:rStyle w:val="lev"/>
          <w:rFonts w:asciiTheme="majorBidi" w:hAnsiTheme="majorBidi"/>
        </w:rPr>
        <w:t>contrôler peut aussi signifier « maîtriser »</w:t>
      </w:r>
      <w:r w:rsidRPr="004224FB">
        <w:rPr>
          <w:rFonts w:asciiTheme="majorBidi" w:hAnsiTheme="majorBidi" w:cstheme="majorBidi"/>
        </w:rPr>
        <w:t>. Le contrôle de gestion permet, dans ce sens, d’</w:t>
      </w:r>
      <w:r w:rsidRPr="004224FB">
        <w:rPr>
          <w:rStyle w:val="lev"/>
          <w:rFonts w:asciiTheme="majorBidi" w:hAnsiTheme="majorBidi"/>
        </w:rPr>
        <w:t>assurer la maîtrise des évolutions</w:t>
      </w:r>
      <w:r w:rsidRPr="004224FB">
        <w:rPr>
          <w:rFonts w:asciiTheme="majorBidi" w:hAnsiTheme="majorBidi" w:cstheme="majorBidi"/>
        </w:rPr>
        <w:t xml:space="preserve"> de l’organisation face aux incertitudes ou aux perturbations de son environnement. Cette acception met en avant la </w:t>
      </w:r>
      <w:r w:rsidRPr="004224FB">
        <w:rPr>
          <w:rStyle w:val="lev"/>
          <w:rFonts w:asciiTheme="majorBidi" w:hAnsiTheme="majorBidi"/>
        </w:rPr>
        <w:t>dimension de pilotage</w:t>
      </w:r>
      <w:r w:rsidRPr="004224FB">
        <w:rPr>
          <w:rFonts w:asciiTheme="majorBidi" w:hAnsiTheme="majorBidi" w:cstheme="majorBidi"/>
        </w:rPr>
        <w:t xml:space="preserve"> inhérente au contrôle.</w:t>
      </w:r>
    </w:p>
    <w:p w14:paraId="43234DED" w14:textId="77777777" w:rsidR="00E038EA" w:rsidRPr="004224FB" w:rsidRDefault="00E038EA" w:rsidP="00AE3850">
      <w:pPr>
        <w:spacing w:line="360" w:lineRule="auto"/>
        <w:ind w:firstLine="360"/>
        <w:jc w:val="both"/>
        <w:rPr>
          <w:rFonts w:asciiTheme="majorBidi" w:hAnsiTheme="majorBidi" w:cstheme="majorBidi"/>
        </w:rPr>
      </w:pPr>
      <w:r w:rsidRPr="004224FB">
        <w:rPr>
          <w:rFonts w:asciiTheme="majorBidi" w:hAnsiTheme="majorBidi" w:cstheme="majorBidi"/>
        </w:rPr>
        <w:t xml:space="preserve">Enfin, </w:t>
      </w:r>
      <w:r w:rsidRPr="004224FB">
        <w:rPr>
          <w:rStyle w:val="lev"/>
          <w:rFonts w:asciiTheme="majorBidi" w:hAnsiTheme="majorBidi"/>
        </w:rPr>
        <w:t>contrôler peut renvoyer à l’idée d’« influencer »</w:t>
      </w:r>
      <w:r w:rsidRPr="004224FB">
        <w:rPr>
          <w:rFonts w:asciiTheme="majorBidi" w:hAnsiTheme="majorBidi" w:cstheme="majorBidi"/>
        </w:rPr>
        <w:t>. Il s’agit ici d’</w:t>
      </w:r>
      <w:r w:rsidRPr="004224FB">
        <w:rPr>
          <w:rStyle w:val="lev"/>
          <w:rFonts w:asciiTheme="majorBidi" w:hAnsiTheme="majorBidi"/>
        </w:rPr>
        <w:t>orienter les comportements</w:t>
      </w:r>
      <w:r w:rsidRPr="004224FB">
        <w:rPr>
          <w:rFonts w:asciiTheme="majorBidi" w:hAnsiTheme="majorBidi" w:cstheme="majorBidi"/>
        </w:rPr>
        <w:t xml:space="preserve"> des acteurs internes afin de favoriser l’atteinte des </w:t>
      </w:r>
      <w:r w:rsidRPr="004224FB">
        <w:rPr>
          <w:rStyle w:val="lev"/>
          <w:rFonts w:asciiTheme="majorBidi" w:hAnsiTheme="majorBidi"/>
        </w:rPr>
        <w:t>objectifs organisationnels.</w:t>
      </w:r>
    </w:p>
    <w:p w14:paraId="3C71427B" w14:textId="77777777" w:rsidR="00E038EA" w:rsidRPr="004224FB" w:rsidRDefault="00E038EA" w:rsidP="00AE3850">
      <w:pPr>
        <w:spacing w:line="360" w:lineRule="auto"/>
        <w:jc w:val="both"/>
        <w:rPr>
          <w:rFonts w:asciiTheme="majorBidi" w:eastAsia="Times New Roman" w:hAnsiTheme="majorBidi" w:cstheme="majorBidi"/>
          <w:color w:val="000000"/>
          <w:lang w:eastAsia="fr-FR"/>
        </w:rPr>
      </w:pPr>
    </w:p>
    <w:p w14:paraId="60104A2A" w14:textId="77777777" w:rsidR="00E038EA" w:rsidRPr="003528F9" w:rsidRDefault="00E038EA" w:rsidP="00C13671">
      <w:pPr>
        <w:pStyle w:val="Titre4"/>
        <w:numPr>
          <w:ilvl w:val="0"/>
          <w:numId w:val="38"/>
        </w:numPr>
        <w:spacing w:line="360" w:lineRule="auto"/>
        <w:jc w:val="both"/>
        <w:rPr>
          <w:rFonts w:asciiTheme="majorBidi" w:hAnsiTheme="majorBidi"/>
          <w:b/>
          <w:bCs/>
          <w:i w:val="0"/>
          <w:iCs w:val="0"/>
          <w:color w:val="auto"/>
          <w:u w:val="single"/>
          <w:lang w:eastAsia="fr-FR"/>
        </w:rPr>
      </w:pPr>
      <w:bookmarkStart w:id="59" w:name="_Toc199314380"/>
      <w:r w:rsidRPr="003528F9">
        <w:rPr>
          <w:rFonts w:asciiTheme="majorBidi" w:hAnsiTheme="majorBidi"/>
          <w:b/>
          <w:bCs/>
          <w:i w:val="0"/>
          <w:iCs w:val="0"/>
          <w:color w:val="auto"/>
          <w:u w:val="single"/>
          <w:lang w:eastAsia="fr-FR"/>
        </w:rPr>
        <w:t>Qu’est-ce que le contrôle de gestion ?</w:t>
      </w:r>
      <w:bookmarkEnd w:id="59"/>
    </w:p>
    <w:p w14:paraId="6BFA1328"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w:t>
      </w:r>
      <w:r w:rsidRPr="004224FB">
        <w:rPr>
          <w:rFonts w:asciiTheme="majorBidi" w:eastAsia="Times New Roman" w:hAnsiTheme="majorBidi" w:cstheme="majorBidi"/>
          <w:color w:val="000000"/>
          <w:lang w:eastAsia="fr-FR"/>
        </w:rPr>
        <w:tab/>
        <w:t>Le contrôle de gestion repose sur l’interaction entre le contrôle, garantissant la supervision des activités, et la gestion, visant l’optimisation des ressources. Il assure la mise en œuvre efficace de la stratégie d’entreprise en alignant objectifs et actions opérationnelles.</w:t>
      </w:r>
    </w:p>
    <w:p w14:paraId="73BDE6EE"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Plusieurs définitions ont été élaborées par des différents auteurs, nous pouvons retenir : </w:t>
      </w:r>
    </w:p>
    <w:p w14:paraId="57512CF9"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Selon ANTHONY Robert (1965) : </w:t>
      </w:r>
      <w:r w:rsidRPr="004224FB">
        <w:rPr>
          <w:rFonts w:asciiTheme="majorBidi" w:eastAsia="Times New Roman" w:hAnsiTheme="majorBidi" w:cstheme="majorBidi"/>
          <w:i/>
          <w:iCs/>
          <w:color w:val="000000"/>
          <w:lang w:eastAsia="fr-FR"/>
        </w:rPr>
        <w:t>« le contrôle de gestion est le processus par lequel les managers obtiennent l’assurance que les ressources sont obtenues et utilisées de manière efficace et efficiente pour la réalisation des objectifs de l’organisation</w:t>
      </w:r>
      <w:r w:rsidRPr="004224FB">
        <w:rPr>
          <w:rFonts w:asciiTheme="majorBidi" w:eastAsia="Times New Roman" w:hAnsiTheme="majorBidi" w:cstheme="majorBidi"/>
          <w:color w:val="000000"/>
          <w:lang w:eastAsia="fr-FR"/>
        </w:rPr>
        <w:t xml:space="preserve"> ».</w:t>
      </w:r>
      <w:r w:rsidRPr="004224FB">
        <w:rPr>
          <w:rStyle w:val="Appelnotedebasdep"/>
          <w:rFonts w:asciiTheme="majorBidi" w:eastAsia="Times New Roman" w:hAnsiTheme="majorBidi" w:cstheme="majorBidi"/>
          <w:color w:val="000000"/>
          <w:lang w:eastAsia="fr-FR"/>
        </w:rPr>
        <w:footnoteReference w:id="3"/>
      </w:r>
    </w:p>
    <w:p w14:paraId="603737AE"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lastRenderedPageBreak/>
        <w:t xml:space="preserve">Pour CHANDLER Alfred, le contrôle de gestion est un outil permettant de « </w:t>
      </w:r>
      <w:r w:rsidRPr="004224FB">
        <w:rPr>
          <w:rFonts w:asciiTheme="majorBidi" w:eastAsia="Times New Roman" w:hAnsiTheme="majorBidi" w:cstheme="majorBidi"/>
          <w:i/>
          <w:iCs/>
          <w:color w:val="000000"/>
          <w:lang w:eastAsia="fr-FR"/>
        </w:rPr>
        <w:t>coordonner, juger et planifier</w:t>
      </w:r>
      <w:r w:rsidRPr="004224FB">
        <w:rPr>
          <w:rFonts w:asciiTheme="majorBidi" w:eastAsia="Times New Roman" w:hAnsiTheme="majorBidi" w:cstheme="majorBidi"/>
          <w:color w:val="000000"/>
          <w:lang w:eastAsia="fr-FR"/>
        </w:rPr>
        <w:t xml:space="preserve"> ». </w:t>
      </w:r>
    </w:p>
    <w:p w14:paraId="415FE547"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Ainsi, BOUQUIN Henri, définit le contrôle de gestion comme : « </w:t>
      </w:r>
      <w:r w:rsidRPr="004224FB">
        <w:rPr>
          <w:rFonts w:asciiTheme="majorBidi" w:eastAsia="Times New Roman" w:hAnsiTheme="majorBidi" w:cstheme="majorBidi"/>
          <w:i/>
          <w:iCs/>
          <w:color w:val="000000"/>
          <w:lang w:eastAsia="fr-FR"/>
        </w:rPr>
        <w:t xml:space="preserve">on conviendra d’appeler contrôle de gestion les dispositifs et processus qui garantissent la cohérence entre la stratégie et les actions concrètes et quotidienne </w:t>
      </w:r>
      <w:r w:rsidRPr="004224FB">
        <w:rPr>
          <w:rFonts w:asciiTheme="majorBidi" w:eastAsia="Times New Roman" w:hAnsiTheme="majorBidi" w:cstheme="majorBidi"/>
          <w:color w:val="000000"/>
          <w:lang w:eastAsia="fr-FR"/>
        </w:rPr>
        <w:t>».</w:t>
      </w:r>
      <w:r w:rsidRPr="004224FB">
        <w:rPr>
          <w:rStyle w:val="Appelnotedebasdep"/>
          <w:rFonts w:asciiTheme="majorBidi" w:eastAsia="Times New Roman" w:hAnsiTheme="majorBidi" w:cstheme="majorBidi"/>
          <w:color w:val="000000"/>
          <w:lang w:eastAsia="fr-FR"/>
        </w:rPr>
        <w:footnoteReference w:id="4"/>
      </w:r>
    </w:p>
    <w:p w14:paraId="16EBB12F" w14:textId="77777777" w:rsidR="00E038EA" w:rsidRPr="004224FB"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Ainsi, le contrôle de gestion dépasse une simple approche comptable ou financière. Il constitue un levier d’analyse et de mesure de la performance, permettant d’évaluer la rentabilité, d’orienter la prise de décision et d’ajuster les stratégies d’entreprise.</w:t>
      </w:r>
    </w:p>
    <w:p w14:paraId="6AF90A20"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w:t>
      </w:r>
      <w:r w:rsidRPr="004224FB">
        <w:rPr>
          <w:rFonts w:asciiTheme="majorBidi" w:eastAsia="Times New Roman" w:hAnsiTheme="majorBidi" w:cstheme="majorBidi"/>
          <w:color w:val="000000"/>
          <w:lang w:eastAsia="fr-FR"/>
        </w:rPr>
        <w:tab/>
        <w:t>Au-delà des indicateurs financiers, le contrôle de gestion intègre également des dimensions qualitatives : satisfaction client, qualité des produits et gestion des ressources humaines. Des outils comme les enquêtes de satisfaction, les audits qualité et les indicateurs RH sont utilisés pour affiner l’analyse et assurer une performance globale.</w:t>
      </w:r>
    </w:p>
    <w:p w14:paraId="6F065459"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w:t>
      </w:r>
      <w:r w:rsidRPr="004224FB">
        <w:rPr>
          <w:rFonts w:asciiTheme="majorBidi" w:eastAsia="Times New Roman" w:hAnsiTheme="majorBidi" w:cstheme="majorBidi"/>
          <w:color w:val="000000"/>
          <w:lang w:eastAsia="fr-FR"/>
        </w:rPr>
        <w:tab/>
        <w:t>Face aux évolutions économiques, technologiques et réglementaires, le contrôle de gestion doit s’adapter en permanence afin de garantir la compétitivité et la pérennité des entreprises.</w:t>
      </w:r>
    </w:p>
    <w:p w14:paraId="21B6C7A4" w14:textId="531D712A" w:rsidR="00ED3EB5" w:rsidRPr="00ED3EB5" w:rsidRDefault="00ED3EB5" w:rsidP="00AE3850">
      <w:pPr>
        <w:pStyle w:val="Lgende"/>
        <w:keepNext/>
        <w:spacing w:line="360" w:lineRule="auto"/>
        <w:jc w:val="both"/>
        <w:rPr>
          <w:rFonts w:asciiTheme="majorBidi" w:hAnsiTheme="majorBidi" w:cstheme="majorBidi"/>
          <w:b/>
          <w:bCs/>
          <w:i w:val="0"/>
          <w:iCs w:val="0"/>
          <w:color w:val="auto"/>
          <w:sz w:val="24"/>
          <w:szCs w:val="24"/>
        </w:rPr>
      </w:pPr>
      <w:bookmarkStart w:id="60" w:name="_Toc199314759"/>
      <w:r w:rsidRPr="00ED3EB5">
        <w:rPr>
          <w:rFonts w:asciiTheme="majorBidi" w:hAnsiTheme="majorBidi" w:cstheme="majorBidi"/>
          <w:b/>
          <w:bCs/>
          <w:i w:val="0"/>
          <w:iCs w:val="0"/>
          <w:color w:val="auto"/>
          <w:sz w:val="24"/>
          <w:szCs w:val="24"/>
        </w:rPr>
        <w:t xml:space="preserve">Figure N°1- </w:t>
      </w:r>
      <w:r w:rsidRPr="00ED3EB5">
        <w:rPr>
          <w:rFonts w:asciiTheme="majorBidi" w:hAnsiTheme="majorBidi" w:cstheme="majorBidi"/>
          <w:b/>
          <w:bCs/>
          <w:i w:val="0"/>
          <w:iCs w:val="0"/>
          <w:color w:val="auto"/>
          <w:sz w:val="24"/>
          <w:szCs w:val="24"/>
        </w:rPr>
        <w:fldChar w:fldCharType="begin"/>
      </w:r>
      <w:r w:rsidRPr="00ED3EB5">
        <w:rPr>
          <w:rFonts w:asciiTheme="majorBidi" w:hAnsiTheme="majorBidi" w:cstheme="majorBidi"/>
          <w:b/>
          <w:bCs/>
          <w:i w:val="0"/>
          <w:iCs w:val="0"/>
          <w:color w:val="auto"/>
          <w:sz w:val="24"/>
          <w:szCs w:val="24"/>
        </w:rPr>
        <w:instrText xml:space="preserve"> SEQ Figure_N°1- \* ARABIC </w:instrText>
      </w:r>
      <w:r w:rsidRPr="00ED3EB5">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2</w:t>
      </w:r>
      <w:r w:rsidRPr="00ED3EB5">
        <w:rPr>
          <w:rFonts w:asciiTheme="majorBidi" w:hAnsiTheme="majorBidi" w:cstheme="majorBidi"/>
          <w:b/>
          <w:bCs/>
          <w:i w:val="0"/>
          <w:iCs w:val="0"/>
          <w:color w:val="auto"/>
          <w:sz w:val="24"/>
          <w:szCs w:val="24"/>
        </w:rPr>
        <w:fldChar w:fldCharType="end"/>
      </w:r>
      <w:r w:rsidRPr="00ED3EB5">
        <w:rPr>
          <w:rFonts w:asciiTheme="majorBidi" w:hAnsiTheme="majorBidi" w:cstheme="majorBidi"/>
          <w:b/>
          <w:bCs/>
          <w:i w:val="0"/>
          <w:iCs w:val="0"/>
          <w:color w:val="auto"/>
          <w:sz w:val="24"/>
          <w:szCs w:val="24"/>
        </w:rPr>
        <w:t>: le triangle du contrôle de gestion</w:t>
      </w:r>
      <w:bookmarkEnd w:id="60"/>
    </w:p>
    <w:p w14:paraId="60DEDBBB" w14:textId="67BD54F4" w:rsidR="00E038EA" w:rsidRPr="004224FB" w:rsidRDefault="00ED3EB5" w:rsidP="00AE3850">
      <w:pPr>
        <w:spacing w:line="360" w:lineRule="auto"/>
        <w:jc w:val="both"/>
        <w:rPr>
          <w:rFonts w:asciiTheme="majorBidi" w:eastAsia="Times New Roman" w:hAnsiTheme="majorBidi" w:cstheme="majorBidi"/>
          <w:lang w:eastAsia="fr-FR"/>
        </w:rPr>
      </w:pPr>
      <w:r>
        <w:rPr>
          <w:rFonts w:asciiTheme="majorBidi" w:eastAsia="Times New Roman" w:hAnsiTheme="majorBidi" w:cstheme="majorBidi"/>
          <w:noProof/>
          <w:lang w:eastAsia="fr-FR"/>
        </w:rPr>
        <w:drawing>
          <wp:inline distT="0" distB="0" distL="0" distR="0" wp14:anchorId="6570F6DF" wp14:editId="6BFBAFFB">
            <wp:extent cx="4800600" cy="2019300"/>
            <wp:effectExtent l="0" t="0" r="0" b="0"/>
            <wp:docPr id="31" name="Image 31" descr="Une image contenant ligne, texte, diagramme, Polic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31" descr="Une image contenant ligne, texte, diagramme, Police&#10;&#10;Le contenu généré par l’IA peut être incorrect."/>
                    <pic:cNvPicPr/>
                  </pic:nvPicPr>
                  <pic:blipFill>
                    <a:blip r:embed="rId18">
                      <a:extLst>
                        <a:ext uri="{28A0092B-C50C-407E-A947-70E740481C1C}">
                          <a14:useLocalDpi xmlns:a14="http://schemas.microsoft.com/office/drawing/2010/main" val="0"/>
                        </a:ext>
                      </a:extLst>
                    </a:blip>
                    <a:stretch>
                      <a:fillRect/>
                    </a:stretch>
                  </pic:blipFill>
                  <pic:spPr>
                    <a:xfrm>
                      <a:off x="0" y="0"/>
                      <a:ext cx="4800847" cy="2019404"/>
                    </a:xfrm>
                    <a:prstGeom prst="rect">
                      <a:avLst/>
                    </a:prstGeom>
                  </pic:spPr>
                </pic:pic>
              </a:graphicData>
            </a:graphic>
          </wp:inline>
        </w:drawing>
      </w:r>
    </w:p>
    <w:p w14:paraId="60A08972" w14:textId="77777777" w:rsidR="00E038EA" w:rsidRDefault="00E038EA" w:rsidP="00AE3850">
      <w:pPr>
        <w:spacing w:line="360" w:lineRule="auto"/>
        <w:jc w:val="both"/>
        <w:rPr>
          <w:rFonts w:asciiTheme="majorBidi" w:hAnsiTheme="majorBidi" w:cstheme="majorBidi"/>
          <w:b/>
          <w:bCs/>
          <w:shd w:val="clear" w:color="auto" w:fill="FFFFFF"/>
        </w:rPr>
      </w:pPr>
      <w:r w:rsidRPr="004224FB">
        <w:rPr>
          <w:rFonts w:asciiTheme="majorBidi" w:hAnsiTheme="majorBidi" w:cstheme="majorBidi"/>
          <w:b/>
          <w:bCs/>
          <w:shd w:val="clear" w:color="auto" w:fill="FFFFFF"/>
        </w:rPr>
        <w:t>Source : LONING (H) et autres : Le contrôle de gestion, organisation, outils et pratiques, DUNOD, 3ème édition, Paris, 2008, p.6.</w:t>
      </w:r>
    </w:p>
    <w:p w14:paraId="319B2DFD" w14:textId="77777777" w:rsidR="005C262F" w:rsidRPr="00D14499" w:rsidRDefault="005C262F" w:rsidP="00AE3850">
      <w:pPr>
        <w:spacing w:line="360" w:lineRule="auto"/>
        <w:jc w:val="both"/>
        <w:rPr>
          <w:rFonts w:asciiTheme="majorBidi" w:eastAsia="Times New Roman" w:hAnsiTheme="majorBidi" w:cstheme="majorBidi"/>
          <w:b/>
          <w:bCs/>
          <w:color w:val="000000"/>
          <w:lang w:eastAsia="fr-FR"/>
        </w:rPr>
      </w:pPr>
    </w:p>
    <w:p w14:paraId="09C5C591" w14:textId="4179AE58" w:rsidR="00E038EA" w:rsidRPr="004224FB" w:rsidRDefault="00E038EA" w:rsidP="00C13671">
      <w:pPr>
        <w:pStyle w:val="Paragraphedeliste"/>
        <w:numPr>
          <w:ilvl w:val="0"/>
          <w:numId w:val="91"/>
        </w:numPr>
        <w:spacing w:after="200" w:line="360" w:lineRule="auto"/>
        <w:jc w:val="both"/>
        <w:rPr>
          <w:rFonts w:asciiTheme="majorBidi" w:eastAsia="Times New Roman" w:hAnsiTheme="majorBidi" w:cstheme="majorBidi"/>
          <w:b/>
          <w:bCs/>
          <w:u w:val="single"/>
          <w:lang w:eastAsia="fr-FR"/>
        </w:rPr>
      </w:pPr>
      <w:bookmarkStart w:id="61" w:name="_Toc199314381"/>
      <w:r w:rsidRPr="00ED3EB5">
        <w:rPr>
          <w:rStyle w:val="Titre3Car"/>
          <w:rFonts w:asciiTheme="majorBidi" w:hAnsiTheme="majorBidi"/>
          <w:b/>
          <w:bCs/>
          <w:color w:val="auto"/>
          <w:sz w:val="24"/>
          <w:szCs w:val="24"/>
          <w:u w:val="single"/>
        </w:rPr>
        <w:lastRenderedPageBreak/>
        <w:t>Les objectifs du contrôle de gestion</w:t>
      </w:r>
      <w:r w:rsidR="00ED3EB5" w:rsidRPr="00ED3EB5">
        <w:rPr>
          <w:rStyle w:val="Titre3Car"/>
          <w:rFonts w:asciiTheme="majorBidi" w:hAnsiTheme="majorBidi"/>
          <w:b/>
          <w:bCs/>
          <w:color w:val="auto"/>
          <w:sz w:val="24"/>
          <w:szCs w:val="24"/>
          <w:u w:val="single"/>
        </w:rPr>
        <w:t xml:space="preserve"> :</w:t>
      </w:r>
      <w:bookmarkEnd w:id="61"/>
      <w:r w:rsidR="00ED3EB5" w:rsidRPr="00ED3EB5">
        <w:rPr>
          <w:rFonts w:asciiTheme="majorBidi" w:eastAsia="Times New Roman" w:hAnsiTheme="majorBidi" w:cstheme="majorBidi"/>
          <w:b/>
          <w:bCs/>
          <w:sz w:val="22"/>
          <w:szCs w:val="22"/>
          <w:lang w:eastAsia="fr-FR"/>
        </w:rPr>
        <w:t xml:space="preserve"> </w:t>
      </w:r>
      <w:r w:rsidRPr="00ED3EB5">
        <w:rPr>
          <w:rStyle w:val="Appelnotedebasdep"/>
          <w:rFonts w:asciiTheme="majorBidi" w:eastAsia="Times New Roman" w:hAnsiTheme="majorBidi" w:cstheme="majorBidi"/>
          <w:b/>
          <w:bCs/>
          <w:color w:val="000000"/>
          <w:lang w:eastAsia="fr-FR"/>
        </w:rPr>
        <w:footnoteReference w:id="5"/>
      </w:r>
    </w:p>
    <w:p w14:paraId="0338F56A"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w:t>
      </w:r>
      <w:r w:rsidRPr="004224FB">
        <w:rPr>
          <w:rFonts w:asciiTheme="majorBidi" w:eastAsia="Times New Roman" w:hAnsiTheme="majorBidi" w:cstheme="majorBidi"/>
          <w:color w:val="000000"/>
          <w:lang w:eastAsia="fr-FR"/>
        </w:rPr>
        <w:tab/>
        <w:t>Le contrôle de gestion accompagne, coordonne, suit et évalue les décisions et actions d’une organisation afin d’optimiser son efficacité et son efficience, quel que soit son secteur d’activité ou sa taille.</w:t>
      </w:r>
    </w:p>
    <w:p w14:paraId="3B2B9DA7"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w:t>
      </w:r>
      <w:r w:rsidRPr="004224FB">
        <w:rPr>
          <w:rFonts w:asciiTheme="majorBidi" w:eastAsia="Times New Roman" w:hAnsiTheme="majorBidi" w:cstheme="majorBidi"/>
          <w:color w:val="000000"/>
          <w:lang w:eastAsia="fr-FR"/>
        </w:rPr>
        <w:tab/>
        <w:t>Selon Alazard Claude et Sépari Sabine, il assure la cohérence entre les actions menées et les objectifs globaux fixés. Il évite les remises en question stratégiques en cours de processus en concentrant les efforts sur les activités opérationnelles. Ainsi, il joue un rôle de régulation et constitue un outil d’apprentissage pour la prise de décision et l’analyse critique des normes en vigueur.</w:t>
      </w:r>
    </w:p>
    <w:p w14:paraId="134BE7B7"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Dans la mise en œuvre des stratégies, le contrôle de gestion poursuit trois objectifs majeurs :</w:t>
      </w:r>
    </w:p>
    <w:p w14:paraId="62050C01" w14:textId="37DC3AD0" w:rsidR="00E038EA" w:rsidRPr="00ED3EB5" w:rsidRDefault="00E038EA" w:rsidP="00C13671">
      <w:pPr>
        <w:pStyle w:val="Titre4"/>
        <w:numPr>
          <w:ilvl w:val="0"/>
          <w:numId w:val="92"/>
        </w:numPr>
        <w:spacing w:line="360" w:lineRule="auto"/>
        <w:jc w:val="both"/>
        <w:rPr>
          <w:rFonts w:asciiTheme="majorBidi" w:hAnsiTheme="majorBidi"/>
          <w:b/>
          <w:bCs/>
          <w:i w:val="0"/>
          <w:iCs w:val="0"/>
          <w:color w:val="auto"/>
          <w:u w:val="single"/>
          <w:lang w:eastAsia="fr-FR"/>
        </w:rPr>
      </w:pPr>
      <w:bookmarkStart w:id="62" w:name="_Toc199314382"/>
      <w:r w:rsidRPr="00ED3EB5">
        <w:rPr>
          <w:rFonts w:asciiTheme="majorBidi" w:hAnsiTheme="majorBidi"/>
          <w:b/>
          <w:bCs/>
          <w:i w:val="0"/>
          <w:iCs w:val="0"/>
          <w:color w:val="auto"/>
          <w:u w:val="single"/>
          <w:lang w:eastAsia="fr-FR"/>
        </w:rPr>
        <w:t>L’efficacité</w:t>
      </w:r>
      <w:r w:rsidR="00ED3EB5" w:rsidRPr="00ED3EB5">
        <w:rPr>
          <w:rFonts w:asciiTheme="majorBidi" w:hAnsiTheme="majorBidi"/>
          <w:b/>
          <w:bCs/>
          <w:i w:val="0"/>
          <w:iCs w:val="0"/>
          <w:color w:val="auto"/>
          <w:u w:val="single"/>
          <w:lang w:eastAsia="fr-FR"/>
        </w:rPr>
        <w:t xml:space="preserve"> :</w:t>
      </w:r>
      <w:bookmarkEnd w:id="62"/>
    </w:p>
    <w:p w14:paraId="76AA68DD"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L’efficacité d’une organisation se mesure par sa capacité à atteindre ses objectifs. Elle est évaluée à l’aide d’indicateurs variés (économiques, techniques, sociaux, organisationnels, etc.). Une organisation est dite efficace lorsqu’elle obtient les résultats escomptés tout en minimisant les effets secondaires ou imprévus.</w:t>
      </w:r>
    </w:p>
    <w:p w14:paraId="0285D2B6" w14:textId="77777777" w:rsidR="00E038EA" w:rsidRPr="00ED3EB5" w:rsidRDefault="00E038EA" w:rsidP="00AE3850">
      <w:pPr>
        <w:spacing w:line="360" w:lineRule="auto"/>
        <w:jc w:val="both"/>
        <w:rPr>
          <w:rFonts w:asciiTheme="majorBidi" w:eastAsia="Times New Roman" w:hAnsiTheme="majorBidi" w:cstheme="majorBidi"/>
          <w:b/>
          <w:bCs/>
          <w:color w:val="000000"/>
          <w:lang w:eastAsia="fr-FR"/>
        </w:rPr>
      </w:pPr>
      <w:r w:rsidRPr="00ED3EB5">
        <w:rPr>
          <w:rFonts w:asciiTheme="majorBidi" w:eastAsia="Times New Roman" w:hAnsiTheme="majorBidi" w:cstheme="majorBidi"/>
          <w:color w:val="000000"/>
          <w:lang w:eastAsia="fr-FR"/>
        </w:rPr>
        <w:t>Exemple : Une unité de production doit fabriquer 10 000 unités par semaine avec une qualité donnée. Elle est efficace si elle atteint cet objectif.</w:t>
      </w:r>
    </w:p>
    <w:p w14:paraId="62F13D4C" w14:textId="1ED40F2D" w:rsidR="00E038EA" w:rsidRPr="00ED3EB5" w:rsidRDefault="00E038EA" w:rsidP="00C13671">
      <w:pPr>
        <w:pStyle w:val="Titre4"/>
        <w:numPr>
          <w:ilvl w:val="0"/>
          <w:numId w:val="92"/>
        </w:numPr>
        <w:spacing w:line="360" w:lineRule="auto"/>
        <w:jc w:val="both"/>
        <w:rPr>
          <w:rFonts w:asciiTheme="majorBidi" w:hAnsiTheme="majorBidi"/>
          <w:b/>
          <w:bCs/>
          <w:i w:val="0"/>
          <w:iCs w:val="0"/>
          <w:color w:val="auto"/>
          <w:u w:val="single"/>
          <w:lang w:eastAsia="fr-FR"/>
        </w:rPr>
      </w:pPr>
      <w:bookmarkStart w:id="63" w:name="_Toc199314383"/>
      <w:r w:rsidRPr="00ED3EB5">
        <w:rPr>
          <w:rFonts w:asciiTheme="majorBidi" w:hAnsiTheme="majorBidi"/>
          <w:b/>
          <w:bCs/>
          <w:i w:val="0"/>
          <w:iCs w:val="0"/>
          <w:color w:val="auto"/>
          <w:u w:val="single"/>
          <w:lang w:eastAsia="fr-FR"/>
        </w:rPr>
        <w:t>L’efficience</w:t>
      </w:r>
      <w:r w:rsidR="00ED3EB5">
        <w:rPr>
          <w:rFonts w:asciiTheme="majorBidi" w:hAnsiTheme="majorBidi"/>
          <w:b/>
          <w:bCs/>
          <w:i w:val="0"/>
          <w:iCs w:val="0"/>
          <w:color w:val="auto"/>
          <w:u w:val="single"/>
          <w:lang w:eastAsia="fr-FR"/>
        </w:rPr>
        <w:t xml:space="preserve"> :</w:t>
      </w:r>
      <w:bookmarkEnd w:id="63"/>
    </w:p>
    <w:p w14:paraId="5BC97AC1"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L’efficience traduit l’optimisation des ressources utilisées pour atteindre un objectif. Elle est mesurée par le rapport entre les résultats obtenus et les moyens engagés.</w:t>
      </w:r>
    </w:p>
    <w:p w14:paraId="5B772F67"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Un système de production est efficient s’il atteint la quantité et la qualité requises tout en minimisant les coûts. Toutefois, si la réduction des coûts entraîne une baisse de qualité, le système devient simplement « économique » et non efficient.</w:t>
      </w:r>
    </w:p>
    <w:p w14:paraId="066274D6" w14:textId="77777777" w:rsidR="00E038EA" w:rsidRDefault="00E038EA" w:rsidP="00AE3850">
      <w:pPr>
        <w:spacing w:line="360" w:lineRule="auto"/>
        <w:jc w:val="both"/>
        <w:rPr>
          <w:rFonts w:asciiTheme="majorBidi" w:eastAsia="Times New Roman" w:hAnsiTheme="majorBidi" w:cstheme="majorBidi"/>
          <w:b/>
          <w:bCs/>
          <w:color w:val="000000"/>
          <w:lang w:eastAsia="fr-FR"/>
        </w:rPr>
      </w:pPr>
      <w:r>
        <w:rPr>
          <w:rFonts w:asciiTheme="majorBidi" w:eastAsia="Times New Roman" w:hAnsiTheme="majorBidi" w:cstheme="majorBidi"/>
          <w:b/>
          <w:bCs/>
          <w:color w:val="000000"/>
          <w:lang w:eastAsia="fr-FR"/>
        </w:rPr>
        <w:br w:type="page"/>
      </w:r>
    </w:p>
    <w:p w14:paraId="0A28F73C" w14:textId="4886E4F8" w:rsidR="00E038EA" w:rsidRPr="00ED3EB5" w:rsidRDefault="00E038EA" w:rsidP="00C13671">
      <w:pPr>
        <w:pStyle w:val="Titre4"/>
        <w:numPr>
          <w:ilvl w:val="0"/>
          <w:numId w:val="92"/>
        </w:numPr>
        <w:spacing w:line="360" w:lineRule="auto"/>
        <w:jc w:val="both"/>
        <w:rPr>
          <w:rFonts w:asciiTheme="majorBidi" w:hAnsiTheme="majorBidi"/>
          <w:b/>
          <w:bCs/>
          <w:i w:val="0"/>
          <w:iCs w:val="0"/>
          <w:color w:val="auto"/>
          <w:u w:val="single"/>
          <w:lang w:eastAsia="fr-FR"/>
        </w:rPr>
      </w:pPr>
      <w:bookmarkStart w:id="64" w:name="_Toc199314384"/>
      <w:r w:rsidRPr="00ED3EB5">
        <w:rPr>
          <w:rFonts w:asciiTheme="majorBidi" w:hAnsiTheme="majorBidi"/>
          <w:b/>
          <w:bCs/>
          <w:i w:val="0"/>
          <w:iCs w:val="0"/>
          <w:color w:val="auto"/>
          <w:u w:val="single"/>
          <w:lang w:eastAsia="fr-FR"/>
        </w:rPr>
        <w:lastRenderedPageBreak/>
        <w:t>L’économie</w:t>
      </w:r>
      <w:r w:rsidR="00ED3EB5" w:rsidRPr="00ED3EB5">
        <w:rPr>
          <w:rFonts w:asciiTheme="majorBidi" w:hAnsiTheme="majorBidi"/>
          <w:b/>
          <w:bCs/>
          <w:i w:val="0"/>
          <w:iCs w:val="0"/>
          <w:color w:val="auto"/>
          <w:u w:val="single"/>
          <w:lang w:eastAsia="fr-FR"/>
        </w:rPr>
        <w:t xml:space="preserve"> :</w:t>
      </w:r>
      <w:bookmarkEnd w:id="64"/>
    </w:p>
    <w:p w14:paraId="60A162D4" w14:textId="77777777" w:rsidR="00E038EA" w:rsidRPr="004224FB" w:rsidRDefault="00E038EA" w:rsidP="00AE3850">
      <w:pPr>
        <w:spacing w:line="360" w:lineRule="auto"/>
        <w:jc w:val="both"/>
        <w:rPr>
          <w:rFonts w:asciiTheme="majorBidi" w:hAnsiTheme="majorBidi" w:cstheme="majorBidi"/>
          <w:lang w:eastAsia="fr-FR"/>
        </w:rPr>
      </w:pPr>
      <w:r w:rsidRPr="004224FB">
        <w:rPr>
          <w:rFonts w:asciiTheme="majorBidi" w:hAnsiTheme="majorBidi" w:cstheme="majorBidi"/>
          <w:lang w:eastAsia="fr-FR"/>
        </w:rPr>
        <w:t>L’économie concerne l’acquisition des ressources en respectant trois critères fondamentaux :</w:t>
      </w:r>
    </w:p>
    <w:p w14:paraId="2A595B66" w14:textId="77777777" w:rsidR="00E038EA" w:rsidRPr="004224FB" w:rsidRDefault="00E038EA" w:rsidP="00C13671">
      <w:pPr>
        <w:pStyle w:val="Paragraphedeliste"/>
        <w:numPr>
          <w:ilvl w:val="0"/>
          <w:numId w:val="8"/>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Minimisation des coûts.</w:t>
      </w:r>
    </w:p>
    <w:p w14:paraId="41141F9D" w14:textId="77777777" w:rsidR="00E038EA" w:rsidRPr="004224FB" w:rsidRDefault="00E038EA" w:rsidP="00C13671">
      <w:pPr>
        <w:pStyle w:val="Paragraphedeliste"/>
        <w:numPr>
          <w:ilvl w:val="0"/>
          <w:numId w:val="8"/>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Respect des normes de qualité et de quantité.</w:t>
      </w:r>
    </w:p>
    <w:p w14:paraId="3C0D8F6B" w14:textId="77777777" w:rsidR="00E038EA" w:rsidRPr="004224FB" w:rsidRDefault="00E038EA" w:rsidP="00C13671">
      <w:pPr>
        <w:pStyle w:val="Paragraphedeliste"/>
        <w:numPr>
          <w:ilvl w:val="0"/>
          <w:numId w:val="8"/>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Approvisionnement au bon moment et au bon endroit.</w:t>
      </w:r>
    </w:p>
    <w:p w14:paraId="6F43DD5A" w14:textId="77777777" w:rsidR="00E038EA" w:rsidRPr="004224FB" w:rsidRDefault="00E038EA" w:rsidP="00AE3850">
      <w:pPr>
        <w:spacing w:line="360" w:lineRule="auto"/>
        <w:jc w:val="both"/>
        <w:rPr>
          <w:rFonts w:asciiTheme="majorBidi" w:hAnsiTheme="majorBidi" w:cstheme="majorBidi"/>
          <w:lang w:eastAsia="fr-FR"/>
        </w:rPr>
      </w:pPr>
      <w:r w:rsidRPr="004224FB">
        <w:rPr>
          <w:rFonts w:asciiTheme="majorBidi" w:hAnsiTheme="majorBidi" w:cstheme="majorBidi"/>
          <w:lang w:eastAsia="fr-FR"/>
        </w:rPr>
        <w:t xml:space="preserve">  Elle se distingue de l’efficience, qui porte sur la transformation optimale des ressources en résultats performants.</w:t>
      </w:r>
    </w:p>
    <w:p w14:paraId="198FAB9A" w14:textId="77777777" w:rsidR="00E038EA" w:rsidRPr="004224FB" w:rsidRDefault="00E038EA" w:rsidP="00AE3850">
      <w:pPr>
        <w:spacing w:line="360" w:lineRule="auto"/>
        <w:jc w:val="both"/>
        <w:rPr>
          <w:rFonts w:asciiTheme="majorBidi" w:eastAsia="Times New Roman" w:hAnsiTheme="majorBidi" w:cstheme="majorBidi"/>
          <w:b/>
          <w:bCs/>
          <w:color w:val="000000"/>
          <w:kern w:val="36"/>
          <w:shd w:val="clear" w:color="auto" w:fill="FFFFFF"/>
          <w:lang w:eastAsia="fr-FR"/>
        </w:rPr>
      </w:pPr>
    </w:p>
    <w:p w14:paraId="37B6E79F" w14:textId="4E60452A" w:rsidR="00E038EA" w:rsidRPr="00ED3EB5" w:rsidRDefault="00E038EA" w:rsidP="00C13671">
      <w:pPr>
        <w:pStyle w:val="Titre3"/>
        <w:numPr>
          <w:ilvl w:val="0"/>
          <w:numId w:val="91"/>
        </w:numPr>
        <w:spacing w:line="360" w:lineRule="auto"/>
        <w:jc w:val="both"/>
        <w:rPr>
          <w:rFonts w:asciiTheme="majorBidi" w:hAnsiTheme="majorBidi"/>
          <w:b/>
          <w:bCs/>
          <w:color w:val="auto"/>
          <w:sz w:val="24"/>
          <w:szCs w:val="24"/>
          <w:u w:val="single"/>
          <w:lang w:eastAsia="fr-FR"/>
        </w:rPr>
      </w:pPr>
      <w:bookmarkStart w:id="65" w:name="_Toc199314385"/>
      <w:r w:rsidRPr="00ED3EB5">
        <w:rPr>
          <w:rFonts w:asciiTheme="majorBidi" w:hAnsiTheme="majorBidi"/>
          <w:b/>
          <w:bCs/>
          <w:color w:val="auto"/>
          <w:sz w:val="24"/>
          <w:szCs w:val="24"/>
          <w:u w:val="single"/>
          <w:shd w:val="clear" w:color="auto" w:fill="FFFFFF"/>
          <w:lang w:eastAsia="fr-FR"/>
        </w:rPr>
        <w:t>Limites du contrôle de gestion</w:t>
      </w:r>
      <w:r w:rsidR="00ED3EB5" w:rsidRPr="00ED3EB5">
        <w:rPr>
          <w:rFonts w:asciiTheme="majorBidi" w:hAnsiTheme="majorBidi"/>
          <w:b/>
          <w:bCs/>
          <w:color w:val="auto"/>
          <w:sz w:val="24"/>
          <w:szCs w:val="24"/>
          <w:u w:val="single"/>
          <w:shd w:val="clear" w:color="auto" w:fill="FFFFFF"/>
          <w:lang w:eastAsia="fr-FR"/>
        </w:rPr>
        <w:t xml:space="preserve"> :</w:t>
      </w:r>
      <w:bookmarkEnd w:id="65"/>
    </w:p>
    <w:p w14:paraId="7EE08CD5"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shd w:val="clear" w:color="auto" w:fill="FFFFFF"/>
          <w:lang w:eastAsia="fr-FR"/>
        </w:rPr>
        <w:t>Bien que fondamental dans la gestion des entreprises, le contrôle de gestion présente certaines limites</w:t>
      </w:r>
      <w:r w:rsidRPr="004224FB">
        <w:rPr>
          <w:rStyle w:val="Appelnotedebasdep"/>
          <w:rFonts w:asciiTheme="majorBidi" w:eastAsia="Times New Roman" w:hAnsiTheme="majorBidi" w:cstheme="majorBidi"/>
          <w:color w:val="000000"/>
          <w:shd w:val="clear" w:color="auto" w:fill="FFFFFF"/>
          <w:lang w:eastAsia="fr-FR"/>
        </w:rPr>
        <w:footnoteReference w:id="6"/>
      </w:r>
      <w:r w:rsidRPr="004224FB">
        <w:rPr>
          <w:rFonts w:asciiTheme="majorBidi" w:eastAsia="Times New Roman" w:hAnsiTheme="majorBidi" w:cstheme="majorBidi"/>
          <w:color w:val="000000"/>
          <w:shd w:val="clear" w:color="auto" w:fill="FFFFFF"/>
          <w:lang w:eastAsia="fr-FR"/>
        </w:rPr>
        <w:t xml:space="preserve"> :</w:t>
      </w:r>
    </w:p>
    <w:p w14:paraId="0787D1ED" w14:textId="77777777" w:rsidR="00E038EA" w:rsidRPr="004224FB" w:rsidRDefault="00E038EA" w:rsidP="00C13671">
      <w:pPr>
        <w:pStyle w:val="Paragraphedeliste"/>
        <w:numPr>
          <w:ilvl w:val="0"/>
          <w:numId w:val="39"/>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b/>
          <w:bCs/>
          <w:color w:val="000000"/>
          <w:shd w:val="clear" w:color="auto" w:fill="FFFFFF"/>
          <w:lang w:eastAsia="fr-FR"/>
        </w:rPr>
        <w:t>Difficulté de mesure</w:t>
      </w:r>
      <w:r w:rsidRPr="004224FB">
        <w:rPr>
          <w:rFonts w:asciiTheme="majorBidi" w:eastAsia="Times New Roman" w:hAnsiTheme="majorBidi" w:cstheme="majorBidi"/>
          <w:color w:val="000000"/>
          <w:shd w:val="clear" w:color="auto" w:fill="FFFFFF"/>
          <w:lang w:eastAsia="fr-FR"/>
        </w:rPr>
        <w:t xml:space="preserve"> : Tous les aspects d’une organisation ne sont pas quantifiables à un coût raisonnable. Une fois sélectionné, un indicateur peut devenir une fin en soi, réduisant ainsi la flexibilité et la fiabilité du système de contrôle.</w:t>
      </w:r>
    </w:p>
    <w:p w14:paraId="008D1F08" w14:textId="77777777" w:rsidR="00E038EA" w:rsidRPr="004224FB" w:rsidRDefault="00E038EA" w:rsidP="00C13671">
      <w:pPr>
        <w:pStyle w:val="Paragraphedeliste"/>
        <w:numPr>
          <w:ilvl w:val="0"/>
          <w:numId w:val="39"/>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b/>
          <w:bCs/>
          <w:color w:val="000000"/>
          <w:shd w:val="clear" w:color="auto" w:fill="FFFFFF"/>
          <w:lang w:eastAsia="fr-FR"/>
        </w:rPr>
        <w:t>Vision partielle</w:t>
      </w:r>
      <w:r w:rsidRPr="004224FB">
        <w:rPr>
          <w:rFonts w:asciiTheme="majorBidi" w:eastAsia="Times New Roman" w:hAnsiTheme="majorBidi" w:cstheme="majorBidi"/>
          <w:color w:val="000000"/>
          <w:shd w:val="clear" w:color="auto" w:fill="FFFFFF"/>
          <w:lang w:eastAsia="fr-FR"/>
        </w:rPr>
        <w:t xml:space="preserve"> : Les managers ne doivent pas uniquement se fier aux indicateurs fournis par le contrôle de gestion. Une observation directe sur le terrain (auprès des équipes et des clients) reste indispensable pour une compréhension globale de la performance.</w:t>
      </w:r>
    </w:p>
    <w:p w14:paraId="40EC36A5" w14:textId="77777777" w:rsidR="00E038EA" w:rsidRPr="004224FB" w:rsidRDefault="00E038EA" w:rsidP="00C13671">
      <w:pPr>
        <w:pStyle w:val="Paragraphedeliste"/>
        <w:numPr>
          <w:ilvl w:val="0"/>
          <w:numId w:val="39"/>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b/>
          <w:bCs/>
          <w:color w:val="000000"/>
          <w:shd w:val="clear" w:color="auto" w:fill="FFFFFF"/>
          <w:lang w:eastAsia="fr-FR"/>
        </w:rPr>
        <w:t>Compétence des acteurs</w:t>
      </w:r>
      <w:r w:rsidRPr="004224FB">
        <w:rPr>
          <w:rFonts w:asciiTheme="majorBidi" w:eastAsia="Times New Roman" w:hAnsiTheme="majorBidi" w:cstheme="majorBidi"/>
          <w:color w:val="000000"/>
          <w:shd w:val="clear" w:color="auto" w:fill="FFFFFF"/>
          <w:lang w:eastAsia="fr-FR"/>
        </w:rPr>
        <w:t xml:space="preserve"> : L’efficacité du contrôle de gestion repose sur les capacités des dirigeants et des responsables opérationnels à interpréter correctement les indicateurs et à prendre des décisions adaptées. Une mauvaise utilisation peut nuire à sa pertinence et à son efficacité.</w:t>
      </w:r>
    </w:p>
    <w:p w14:paraId="40F92F62" w14:textId="77777777" w:rsidR="00E038EA" w:rsidRPr="004224FB" w:rsidRDefault="00E038EA" w:rsidP="00AE3850">
      <w:pPr>
        <w:spacing w:line="360" w:lineRule="auto"/>
        <w:jc w:val="both"/>
        <w:rPr>
          <w:rFonts w:asciiTheme="majorBidi" w:eastAsia="Times New Roman" w:hAnsiTheme="majorBidi" w:cstheme="majorBidi"/>
          <w:color w:val="000000"/>
          <w:shd w:val="clear" w:color="auto" w:fill="FFFFFF"/>
          <w:lang w:eastAsia="fr-FR"/>
        </w:rPr>
      </w:pPr>
    </w:p>
    <w:p w14:paraId="329BA6EF" w14:textId="77777777" w:rsidR="00E038EA" w:rsidRPr="004224FB" w:rsidRDefault="00E038EA" w:rsidP="00AE3850">
      <w:pPr>
        <w:spacing w:line="360" w:lineRule="auto"/>
        <w:jc w:val="both"/>
        <w:rPr>
          <w:rFonts w:asciiTheme="majorBidi" w:eastAsia="Times New Roman" w:hAnsiTheme="majorBidi" w:cstheme="majorBidi"/>
          <w:b/>
          <w:bCs/>
          <w:color w:val="000000"/>
          <w:u w:val="single"/>
          <w:shd w:val="clear" w:color="auto" w:fill="FFFFFF"/>
          <w:lang w:eastAsia="fr-FR"/>
        </w:rPr>
      </w:pPr>
      <w:r w:rsidRPr="004224FB">
        <w:rPr>
          <w:rFonts w:asciiTheme="majorBidi" w:eastAsia="Times New Roman" w:hAnsiTheme="majorBidi" w:cstheme="majorBidi"/>
          <w:b/>
          <w:bCs/>
          <w:color w:val="000000"/>
          <w:u w:val="single"/>
          <w:shd w:val="clear" w:color="auto" w:fill="FFFFFF"/>
          <w:lang w:eastAsia="fr-FR"/>
        </w:rPr>
        <w:br w:type="page"/>
      </w:r>
    </w:p>
    <w:p w14:paraId="185FDA9F" w14:textId="48FD3553" w:rsidR="00E038EA" w:rsidRPr="00ED3EB5" w:rsidRDefault="00E038EA" w:rsidP="00C13671">
      <w:pPr>
        <w:pStyle w:val="Titre3"/>
        <w:numPr>
          <w:ilvl w:val="0"/>
          <w:numId w:val="91"/>
        </w:numPr>
        <w:spacing w:line="360" w:lineRule="auto"/>
        <w:jc w:val="both"/>
        <w:rPr>
          <w:rFonts w:asciiTheme="majorBidi" w:hAnsiTheme="majorBidi"/>
          <w:b/>
          <w:bCs/>
          <w:color w:val="auto"/>
          <w:sz w:val="24"/>
          <w:szCs w:val="24"/>
          <w:u w:val="single"/>
          <w:lang w:eastAsia="fr-FR"/>
        </w:rPr>
      </w:pPr>
      <w:bookmarkStart w:id="66" w:name="_Toc199314386"/>
      <w:r w:rsidRPr="00ED3EB5">
        <w:rPr>
          <w:rFonts w:asciiTheme="majorBidi" w:hAnsiTheme="majorBidi"/>
          <w:b/>
          <w:bCs/>
          <w:color w:val="auto"/>
          <w:sz w:val="24"/>
          <w:szCs w:val="24"/>
          <w:u w:val="single"/>
          <w:shd w:val="clear" w:color="auto" w:fill="FFFFFF"/>
          <w:lang w:eastAsia="fr-FR"/>
        </w:rPr>
        <w:lastRenderedPageBreak/>
        <w:t>Mission et rôle du contrôle de gestion</w:t>
      </w:r>
      <w:r w:rsidR="00ED3EB5">
        <w:rPr>
          <w:rFonts w:asciiTheme="majorBidi" w:hAnsiTheme="majorBidi"/>
          <w:b/>
          <w:bCs/>
          <w:color w:val="auto"/>
          <w:sz w:val="24"/>
          <w:szCs w:val="24"/>
          <w:u w:val="single"/>
          <w:shd w:val="clear" w:color="auto" w:fill="FFFFFF"/>
          <w:lang w:eastAsia="fr-FR"/>
        </w:rPr>
        <w:t xml:space="preserve"> :</w:t>
      </w:r>
      <w:bookmarkEnd w:id="66"/>
    </w:p>
    <w:p w14:paraId="3052B74A" w14:textId="244C73A7" w:rsidR="00E038EA" w:rsidRPr="00ED3EB5" w:rsidRDefault="00E038EA" w:rsidP="00C13671">
      <w:pPr>
        <w:pStyle w:val="Titre4"/>
        <w:numPr>
          <w:ilvl w:val="0"/>
          <w:numId w:val="93"/>
        </w:numPr>
        <w:spacing w:line="360" w:lineRule="auto"/>
        <w:jc w:val="both"/>
        <w:rPr>
          <w:rFonts w:asciiTheme="majorBidi" w:hAnsiTheme="majorBidi"/>
          <w:b/>
          <w:bCs/>
          <w:i w:val="0"/>
          <w:iCs w:val="0"/>
          <w:color w:val="auto"/>
          <w:u w:val="single"/>
          <w:lang w:eastAsia="fr-FR"/>
        </w:rPr>
      </w:pPr>
      <w:bookmarkStart w:id="67" w:name="_Toc199314387"/>
      <w:r w:rsidRPr="00ED3EB5">
        <w:rPr>
          <w:rFonts w:asciiTheme="majorBidi" w:hAnsiTheme="majorBidi"/>
          <w:b/>
          <w:bCs/>
          <w:i w:val="0"/>
          <w:iCs w:val="0"/>
          <w:color w:val="auto"/>
          <w:u w:val="single"/>
          <w:lang w:eastAsia="fr-FR"/>
        </w:rPr>
        <w:t>Les missions du contrôle de gestion</w:t>
      </w:r>
      <w:r w:rsidR="00ED3EB5">
        <w:rPr>
          <w:rFonts w:asciiTheme="majorBidi" w:hAnsiTheme="majorBidi"/>
          <w:b/>
          <w:bCs/>
          <w:i w:val="0"/>
          <w:iCs w:val="0"/>
          <w:color w:val="auto"/>
          <w:u w:val="single"/>
          <w:lang w:eastAsia="fr-FR"/>
        </w:rPr>
        <w:t xml:space="preserve"> :</w:t>
      </w:r>
      <w:bookmarkEnd w:id="67"/>
    </w:p>
    <w:p w14:paraId="704E6E31"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Selon Henri Bouquin, le contrôle de gestion repose sur trois missions essentielles</w:t>
      </w:r>
      <w:r w:rsidRPr="004224FB">
        <w:rPr>
          <w:rStyle w:val="Appelnotedebasdep"/>
          <w:rFonts w:asciiTheme="majorBidi" w:eastAsia="Times New Roman" w:hAnsiTheme="majorBidi" w:cstheme="majorBidi"/>
          <w:color w:val="000000"/>
          <w:lang w:eastAsia="fr-FR"/>
        </w:rPr>
        <w:footnoteReference w:id="7"/>
      </w:r>
      <w:r w:rsidRPr="004224FB">
        <w:rPr>
          <w:rFonts w:asciiTheme="majorBidi" w:eastAsia="Times New Roman" w:hAnsiTheme="majorBidi" w:cstheme="majorBidi"/>
          <w:color w:val="000000"/>
          <w:lang w:eastAsia="fr-FR"/>
        </w:rPr>
        <w:t xml:space="preserve"> :</w:t>
      </w:r>
    </w:p>
    <w:p w14:paraId="0BE6459D" w14:textId="77777777" w:rsidR="00E038EA" w:rsidRPr="004224FB" w:rsidRDefault="00E038EA" w:rsidP="00C13671">
      <w:pPr>
        <w:pStyle w:val="Paragraphedeliste"/>
        <w:numPr>
          <w:ilvl w:val="0"/>
          <w:numId w:val="3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Assurer la cohérence entre la stratégie et les opérations</w:t>
      </w:r>
      <w:r w:rsidRPr="004224FB">
        <w:rPr>
          <w:rFonts w:asciiTheme="majorBidi" w:eastAsia="Times New Roman" w:hAnsiTheme="majorBidi" w:cstheme="majorBidi"/>
          <w:color w:val="000000"/>
          <w:lang w:eastAsia="fr-FR"/>
        </w:rPr>
        <w:t xml:space="preserve"> : Veiller à l’alignement des actions quotidiennes avec la stratégie globale de l’entreprise, en tenant compte des réalités du terrain.</w:t>
      </w:r>
    </w:p>
    <w:p w14:paraId="1C095C99" w14:textId="77777777" w:rsidR="00E038EA" w:rsidRPr="004224FB" w:rsidRDefault="00E038EA" w:rsidP="00C13671">
      <w:pPr>
        <w:pStyle w:val="Paragraphedeliste"/>
        <w:numPr>
          <w:ilvl w:val="0"/>
          <w:numId w:val="3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Analyser la relation entre les résultats et les ressources consommées</w:t>
      </w:r>
      <w:r w:rsidRPr="004224FB">
        <w:rPr>
          <w:rFonts w:asciiTheme="majorBidi" w:eastAsia="Times New Roman" w:hAnsiTheme="majorBidi" w:cstheme="majorBidi"/>
          <w:color w:val="000000"/>
          <w:lang w:eastAsia="fr-FR"/>
        </w:rPr>
        <w:t xml:space="preserve"> : Identifier et expliquer les écarts entre prévisions et réalisations, puis mettre en place des mesures correctives.</w:t>
      </w:r>
    </w:p>
    <w:p w14:paraId="28DA5562" w14:textId="767BC2F1" w:rsidR="00420B15" w:rsidRPr="00420B15" w:rsidRDefault="00E038EA" w:rsidP="00C13671">
      <w:pPr>
        <w:pStyle w:val="Paragraphedeliste"/>
        <w:numPr>
          <w:ilvl w:val="0"/>
          <w:numId w:val="3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 xml:space="preserve">Orienter les actions des acteurs autonomes </w:t>
      </w:r>
      <w:r w:rsidRPr="004224FB">
        <w:rPr>
          <w:rFonts w:asciiTheme="majorBidi" w:eastAsia="Times New Roman" w:hAnsiTheme="majorBidi" w:cstheme="majorBidi"/>
          <w:color w:val="000000"/>
          <w:lang w:eastAsia="fr-FR"/>
        </w:rPr>
        <w:t>: En déléguant des responsabilités, le contrôle de gestion guide les collaborateurs dans l’atteinte des objectifs.</w:t>
      </w:r>
    </w:p>
    <w:p w14:paraId="5B0A46EC" w14:textId="549F898B" w:rsidR="00420B15" w:rsidRPr="00420B15" w:rsidRDefault="00420B15" w:rsidP="00AE3850">
      <w:pPr>
        <w:pStyle w:val="Lgende"/>
        <w:keepNext/>
        <w:spacing w:line="360" w:lineRule="auto"/>
        <w:jc w:val="both"/>
        <w:rPr>
          <w:rFonts w:asciiTheme="majorBidi" w:hAnsiTheme="majorBidi" w:cstheme="majorBidi"/>
          <w:b/>
          <w:bCs/>
          <w:i w:val="0"/>
          <w:iCs w:val="0"/>
          <w:color w:val="auto"/>
          <w:sz w:val="24"/>
          <w:szCs w:val="24"/>
        </w:rPr>
      </w:pPr>
      <w:bookmarkStart w:id="68" w:name="_Toc199314760"/>
      <w:r w:rsidRPr="00420B15">
        <w:rPr>
          <w:rFonts w:asciiTheme="majorBidi" w:hAnsiTheme="majorBidi" w:cstheme="majorBidi"/>
          <w:b/>
          <w:bCs/>
          <w:i w:val="0"/>
          <w:iCs w:val="0"/>
          <w:color w:val="auto"/>
          <w:sz w:val="24"/>
          <w:szCs w:val="24"/>
        </w:rPr>
        <w:t xml:space="preserve">Figure N°1- </w:t>
      </w:r>
      <w:r w:rsidRPr="00420B15">
        <w:rPr>
          <w:rFonts w:asciiTheme="majorBidi" w:hAnsiTheme="majorBidi" w:cstheme="majorBidi"/>
          <w:b/>
          <w:bCs/>
          <w:i w:val="0"/>
          <w:iCs w:val="0"/>
          <w:color w:val="auto"/>
          <w:sz w:val="24"/>
          <w:szCs w:val="24"/>
        </w:rPr>
        <w:fldChar w:fldCharType="begin"/>
      </w:r>
      <w:r w:rsidRPr="00420B15">
        <w:rPr>
          <w:rFonts w:asciiTheme="majorBidi" w:hAnsiTheme="majorBidi" w:cstheme="majorBidi"/>
          <w:b/>
          <w:bCs/>
          <w:i w:val="0"/>
          <w:iCs w:val="0"/>
          <w:color w:val="auto"/>
          <w:sz w:val="24"/>
          <w:szCs w:val="24"/>
        </w:rPr>
        <w:instrText xml:space="preserve"> SEQ Figure_N°1- \* ARABIC </w:instrText>
      </w:r>
      <w:r w:rsidRPr="00420B15">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3</w:t>
      </w:r>
      <w:r w:rsidRPr="00420B15">
        <w:rPr>
          <w:rFonts w:asciiTheme="majorBidi" w:hAnsiTheme="majorBidi" w:cstheme="majorBidi"/>
          <w:b/>
          <w:bCs/>
          <w:i w:val="0"/>
          <w:iCs w:val="0"/>
          <w:color w:val="auto"/>
          <w:sz w:val="24"/>
          <w:szCs w:val="24"/>
        </w:rPr>
        <w:fldChar w:fldCharType="end"/>
      </w:r>
      <w:r w:rsidRPr="00420B15">
        <w:rPr>
          <w:rFonts w:asciiTheme="majorBidi" w:hAnsiTheme="majorBidi" w:cstheme="majorBidi"/>
          <w:b/>
          <w:bCs/>
          <w:i w:val="0"/>
          <w:iCs w:val="0"/>
          <w:color w:val="auto"/>
          <w:sz w:val="24"/>
          <w:szCs w:val="24"/>
        </w:rPr>
        <w:t>: Mission du contrôleur de gestion</w:t>
      </w:r>
      <w:bookmarkEnd w:id="68"/>
    </w:p>
    <w:p w14:paraId="764A7B63" w14:textId="1CACB64C" w:rsidR="00E038EA" w:rsidRPr="00420B15" w:rsidRDefault="00420B15" w:rsidP="00AE3850">
      <w:pPr>
        <w:spacing w:line="360" w:lineRule="auto"/>
        <w:jc w:val="both"/>
        <w:rPr>
          <w:rFonts w:asciiTheme="majorBidi" w:hAnsiTheme="majorBidi" w:cstheme="majorBidi"/>
          <w:color w:val="222222"/>
          <w:shd w:val="clear" w:color="auto" w:fill="FFFFFF"/>
        </w:rPr>
      </w:pPr>
      <w:r>
        <w:rPr>
          <w:rFonts w:asciiTheme="majorBidi" w:hAnsiTheme="majorBidi" w:cstheme="majorBidi"/>
          <w:noProof/>
          <w:color w:val="222222"/>
          <w:shd w:val="clear" w:color="auto" w:fill="FFFFFF"/>
          <w:lang w:eastAsia="fr-FR"/>
        </w:rPr>
        <w:drawing>
          <wp:inline distT="0" distB="0" distL="0" distR="0" wp14:anchorId="26898546" wp14:editId="5AFE1820">
            <wp:extent cx="4845299" cy="2343270"/>
            <wp:effectExtent l="0" t="0" r="0" b="0"/>
            <wp:docPr id="40" name="Image 40" descr="Une image contenant diagramme, ligne, concep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 40" descr="Une image contenant diagramme, ligne, conception&#10;&#10;Le contenu généré par l’IA peut être incorrect."/>
                    <pic:cNvPicPr/>
                  </pic:nvPicPr>
                  <pic:blipFill>
                    <a:blip r:embed="rId19">
                      <a:extLst>
                        <a:ext uri="{28A0092B-C50C-407E-A947-70E740481C1C}">
                          <a14:useLocalDpi xmlns:a14="http://schemas.microsoft.com/office/drawing/2010/main" val="0"/>
                        </a:ext>
                      </a:extLst>
                    </a:blip>
                    <a:stretch>
                      <a:fillRect/>
                    </a:stretch>
                  </pic:blipFill>
                  <pic:spPr>
                    <a:xfrm>
                      <a:off x="0" y="0"/>
                      <a:ext cx="4845299" cy="2343270"/>
                    </a:xfrm>
                    <a:prstGeom prst="rect">
                      <a:avLst/>
                    </a:prstGeom>
                  </pic:spPr>
                </pic:pic>
              </a:graphicData>
            </a:graphic>
          </wp:inline>
        </w:drawing>
      </w:r>
    </w:p>
    <w:p w14:paraId="226C79C8" w14:textId="77777777" w:rsidR="00E038EA" w:rsidRPr="004224FB" w:rsidRDefault="00E038EA" w:rsidP="00AE3850">
      <w:pPr>
        <w:spacing w:line="360" w:lineRule="auto"/>
        <w:jc w:val="both"/>
        <w:rPr>
          <w:rFonts w:asciiTheme="majorBidi" w:eastAsia="Times New Roman" w:hAnsiTheme="majorBidi" w:cstheme="majorBidi"/>
          <w:b/>
          <w:bCs/>
          <w:color w:val="000000"/>
          <w:lang w:eastAsia="fr-FR"/>
        </w:rPr>
      </w:pPr>
      <w:r w:rsidRPr="004224FB">
        <w:rPr>
          <w:rFonts w:asciiTheme="majorBidi" w:hAnsiTheme="majorBidi" w:cstheme="majorBidi"/>
          <w:b/>
          <w:bCs/>
          <w:color w:val="1F1F1F"/>
          <w:shd w:val="clear" w:color="auto" w:fill="FFFFFF"/>
        </w:rPr>
        <w:t>Source : OUVRAGE DE REFERENCE, « Le grand livre du contrôle de gestion », Edition, EYROLLES, Paris, 2013, P 56.</w:t>
      </w:r>
    </w:p>
    <w:p w14:paraId="3688A807" w14:textId="77777777" w:rsidR="00E038EA" w:rsidRPr="004224FB" w:rsidRDefault="00E038EA" w:rsidP="00AE3850">
      <w:pPr>
        <w:spacing w:line="360" w:lineRule="auto"/>
        <w:jc w:val="both"/>
        <w:rPr>
          <w:rFonts w:asciiTheme="majorBidi" w:eastAsia="Times New Roman" w:hAnsiTheme="majorBidi" w:cstheme="majorBidi"/>
          <w:b/>
          <w:bCs/>
          <w:color w:val="000000"/>
          <w:lang w:eastAsia="fr-FR"/>
        </w:rPr>
      </w:pPr>
    </w:p>
    <w:p w14:paraId="33A2DB20" w14:textId="77777777" w:rsidR="00E038EA" w:rsidRPr="004224FB" w:rsidRDefault="00E038EA" w:rsidP="00AE3850">
      <w:pPr>
        <w:spacing w:line="360" w:lineRule="auto"/>
        <w:jc w:val="both"/>
        <w:rPr>
          <w:rFonts w:asciiTheme="majorBidi" w:eastAsia="Times New Roman" w:hAnsiTheme="majorBidi" w:cstheme="majorBidi"/>
          <w:b/>
          <w:bCs/>
          <w:color w:val="000000"/>
          <w:lang w:eastAsia="fr-FR"/>
        </w:rPr>
      </w:pPr>
      <w:r w:rsidRPr="004224FB">
        <w:rPr>
          <w:rFonts w:asciiTheme="majorBidi" w:eastAsia="Times New Roman" w:hAnsiTheme="majorBidi" w:cstheme="majorBidi"/>
          <w:b/>
          <w:bCs/>
          <w:color w:val="000000"/>
          <w:lang w:eastAsia="fr-FR"/>
        </w:rPr>
        <w:br w:type="page"/>
      </w:r>
    </w:p>
    <w:p w14:paraId="09BD3884" w14:textId="6AA32E33" w:rsidR="00E038EA" w:rsidRPr="00B96A65" w:rsidRDefault="00E038EA" w:rsidP="00C13671">
      <w:pPr>
        <w:pStyle w:val="Titre4"/>
        <w:numPr>
          <w:ilvl w:val="0"/>
          <w:numId w:val="93"/>
        </w:numPr>
        <w:spacing w:line="360" w:lineRule="auto"/>
        <w:jc w:val="both"/>
        <w:rPr>
          <w:rFonts w:asciiTheme="majorBidi" w:hAnsiTheme="majorBidi"/>
          <w:b/>
          <w:bCs/>
          <w:i w:val="0"/>
          <w:iCs w:val="0"/>
          <w:color w:val="auto"/>
          <w:u w:val="single"/>
          <w:lang w:eastAsia="fr-FR"/>
        </w:rPr>
      </w:pPr>
      <w:bookmarkStart w:id="69" w:name="_Toc199314388"/>
      <w:r w:rsidRPr="00B96A65">
        <w:rPr>
          <w:rFonts w:asciiTheme="majorBidi" w:hAnsiTheme="majorBidi"/>
          <w:b/>
          <w:bCs/>
          <w:i w:val="0"/>
          <w:iCs w:val="0"/>
          <w:color w:val="auto"/>
          <w:u w:val="single"/>
          <w:lang w:eastAsia="fr-FR"/>
        </w:rPr>
        <w:lastRenderedPageBreak/>
        <w:t>Le rôle du contrôle de gestion</w:t>
      </w:r>
      <w:r w:rsidR="00420B15" w:rsidRPr="00B96A65">
        <w:rPr>
          <w:rFonts w:asciiTheme="majorBidi" w:hAnsiTheme="majorBidi"/>
          <w:b/>
          <w:bCs/>
          <w:i w:val="0"/>
          <w:iCs w:val="0"/>
          <w:color w:val="auto"/>
          <w:u w:val="single"/>
          <w:lang w:eastAsia="fr-FR"/>
        </w:rPr>
        <w:t xml:space="preserve"> :</w:t>
      </w:r>
      <w:bookmarkEnd w:id="69"/>
    </w:p>
    <w:p w14:paraId="3B2DC3EB" w14:textId="77777777" w:rsidR="00E038EA" w:rsidRPr="004224FB" w:rsidRDefault="00E038EA" w:rsidP="00AE3850">
      <w:pPr>
        <w:spacing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Le contrôle de gestion remplit cinq rôles fondamentaux</w:t>
      </w:r>
      <w:r w:rsidRPr="004224FB">
        <w:rPr>
          <w:rStyle w:val="Appelnotedebasdep"/>
          <w:rFonts w:asciiTheme="majorBidi" w:eastAsia="Times New Roman" w:hAnsiTheme="majorBidi" w:cstheme="majorBidi"/>
          <w:color w:val="000000"/>
          <w:lang w:eastAsia="fr-FR"/>
        </w:rPr>
        <w:footnoteReference w:id="8"/>
      </w:r>
      <w:r w:rsidRPr="004224FB">
        <w:rPr>
          <w:rFonts w:asciiTheme="majorBidi" w:eastAsia="Times New Roman" w:hAnsiTheme="majorBidi" w:cstheme="majorBidi"/>
          <w:color w:val="000000"/>
          <w:lang w:eastAsia="fr-FR"/>
        </w:rPr>
        <w:t xml:space="preserve"> :</w:t>
      </w:r>
    </w:p>
    <w:p w14:paraId="65C1EF67" w14:textId="77777777" w:rsidR="00E038EA" w:rsidRPr="004224FB" w:rsidRDefault="00E038EA" w:rsidP="00C13671">
      <w:pPr>
        <w:pStyle w:val="Paragraphedeliste"/>
        <w:numPr>
          <w:ilvl w:val="0"/>
          <w:numId w:val="33"/>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color w:val="000000"/>
          <w:lang w:eastAsia="fr-FR"/>
        </w:rPr>
        <w:t>Faciliter la décentralisation des responsabilités</w:t>
      </w:r>
    </w:p>
    <w:p w14:paraId="5C0A24DF" w14:textId="77777777" w:rsidR="00E038EA" w:rsidRPr="004224FB" w:rsidRDefault="00E038EA" w:rsidP="00AE3850">
      <w:pPr>
        <w:spacing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Il favorise l’autonomie des unités opérationnelles tout en maintenant leur interdépendance, ce qui améliore la réactivité et la prise de décision.</w:t>
      </w:r>
    </w:p>
    <w:p w14:paraId="0C3572C8" w14:textId="77777777" w:rsidR="00E038EA" w:rsidRPr="004224FB" w:rsidRDefault="00E038EA" w:rsidP="00C13671">
      <w:pPr>
        <w:pStyle w:val="Paragraphedeliste"/>
        <w:numPr>
          <w:ilvl w:val="0"/>
          <w:numId w:val="33"/>
        </w:numPr>
        <w:spacing w:after="200" w:line="360" w:lineRule="auto"/>
        <w:jc w:val="both"/>
        <w:rPr>
          <w:rFonts w:asciiTheme="majorBidi" w:eastAsia="Times New Roman" w:hAnsiTheme="majorBidi" w:cstheme="majorBidi"/>
          <w:b/>
          <w:bCs/>
          <w:color w:val="000000"/>
          <w:lang w:eastAsia="fr-FR"/>
        </w:rPr>
      </w:pPr>
      <w:r w:rsidRPr="004224FB">
        <w:rPr>
          <w:rFonts w:asciiTheme="majorBidi" w:eastAsia="Times New Roman" w:hAnsiTheme="majorBidi" w:cstheme="majorBidi"/>
          <w:b/>
          <w:bCs/>
          <w:color w:val="000000"/>
          <w:lang w:eastAsia="fr-FR"/>
        </w:rPr>
        <w:t>Renforcer la coordination entre les responsables opérationnels</w:t>
      </w:r>
    </w:p>
    <w:p w14:paraId="7981081E"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Il assure une coordination :</w:t>
      </w:r>
    </w:p>
    <w:p w14:paraId="66216035" w14:textId="77777777" w:rsidR="00E038EA" w:rsidRPr="00B96A65" w:rsidRDefault="00E038EA" w:rsidP="00C13671">
      <w:pPr>
        <w:pStyle w:val="Paragraphedeliste"/>
        <w:numPr>
          <w:ilvl w:val="0"/>
          <w:numId w:val="34"/>
        </w:numPr>
        <w:spacing w:after="200" w:line="360" w:lineRule="auto"/>
        <w:jc w:val="both"/>
        <w:rPr>
          <w:rFonts w:asciiTheme="majorBidi" w:eastAsia="Times New Roman" w:hAnsiTheme="majorBidi" w:cstheme="majorBidi"/>
          <w:color w:val="000000"/>
          <w:lang w:eastAsia="fr-FR"/>
        </w:rPr>
      </w:pPr>
      <w:r w:rsidRPr="00B96A65">
        <w:rPr>
          <w:rFonts w:asciiTheme="majorBidi" w:eastAsia="Times New Roman" w:hAnsiTheme="majorBidi" w:cstheme="majorBidi"/>
          <w:color w:val="000000"/>
          <w:lang w:eastAsia="fr-FR"/>
        </w:rPr>
        <w:t>Verticale : les décisions sont validées par la hiérarchie.</w:t>
      </w:r>
    </w:p>
    <w:p w14:paraId="2974AE17" w14:textId="77777777" w:rsidR="00E038EA" w:rsidRPr="00B96A65" w:rsidRDefault="00E038EA" w:rsidP="00C13671">
      <w:pPr>
        <w:pStyle w:val="Paragraphedeliste"/>
        <w:numPr>
          <w:ilvl w:val="0"/>
          <w:numId w:val="34"/>
        </w:numPr>
        <w:spacing w:after="200" w:line="360" w:lineRule="auto"/>
        <w:jc w:val="both"/>
        <w:rPr>
          <w:rFonts w:asciiTheme="majorBidi" w:eastAsia="Times New Roman" w:hAnsiTheme="majorBidi" w:cstheme="majorBidi"/>
          <w:color w:val="000000"/>
          <w:lang w:eastAsia="fr-FR"/>
        </w:rPr>
      </w:pPr>
      <w:r w:rsidRPr="00B96A65">
        <w:rPr>
          <w:rFonts w:asciiTheme="majorBidi" w:eastAsia="Times New Roman" w:hAnsiTheme="majorBidi" w:cstheme="majorBidi"/>
          <w:color w:val="000000"/>
          <w:lang w:eastAsia="fr-FR"/>
        </w:rPr>
        <w:t>Horizontale : les responsables de même niveau collaborent et échangent sur leurs actions.</w:t>
      </w:r>
    </w:p>
    <w:p w14:paraId="7C478437" w14:textId="77777777" w:rsidR="00E038EA" w:rsidRPr="004224FB" w:rsidRDefault="00E038EA" w:rsidP="00AE3850">
      <w:pPr>
        <w:spacing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Cette coordination garantit la cohérence entre les différents services de l’entreprise.</w:t>
      </w:r>
    </w:p>
    <w:p w14:paraId="5EA82658" w14:textId="77777777" w:rsidR="00E038EA" w:rsidRPr="004224FB" w:rsidRDefault="00E038EA" w:rsidP="00C13671">
      <w:pPr>
        <w:pStyle w:val="Paragraphedeliste"/>
        <w:numPr>
          <w:ilvl w:val="0"/>
          <w:numId w:val="35"/>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color w:val="000000"/>
          <w:lang w:eastAsia="fr-FR"/>
        </w:rPr>
        <w:t>Encourager une vision à long terme</w:t>
      </w:r>
    </w:p>
    <w:p w14:paraId="73D3DB40"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Le contrôle de gestion pousse les opérationnels à anticiper les défis et structurer leurs actions en conséquence. Il les amène à répondre à des questions clés :</w:t>
      </w:r>
    </w:p>
    <w:p w14:paraId="218F2BED" w14:textId="77777777" w:rsidR="00E038EA" w:rsidRPr="004224FB" w:rsidRDefault="00E038EA" w:rsidP="00C13671">
      <w:pPr>
        <w:pStyle w:val="Paragraphedeliste"/>
        <w:numPr>
          <w:ilvl w:val="0"/>
          <w:numId w:val="36"/>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Quelles actions entreprendre ?</w:t>
      </w:r>
    </w:p>
    <w:p w14:paraId="0C94D860" w14:textId="77777777" w:rsidR="00E038EA" w:rsidRPr="004224FB" w:rsidRDefault="00E038EA" w:rsidP="00C13671">
      <w:pPr>
        <w:pStyle w:val="Paragraphedeliste"/>
        <w:numPr>
          <w:ilvl w:val="0"/>
          <w:numId w:val="36"/>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Qui en sera responsable ?</w:t>
      </w:r>
    </w:p>
    <w:p w14:paraId="453D93F8" w14:textId="77777777" w:rsidR="00E038EA" w:rsidRPr="004224FB" w:rsidRDefault="00E038EA" w:rsidP="00C13671">
      <w:pPr>
        <w:pStyle w:val="Paragraphedeliste"/>
        <w:numPr>
          <w:ilvl w:val="0"/>
          <w:numId w:val="36"/>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Quels moyens sont nécessaires ?</w:t>
      </w:r>
    </w:p>
    <w:p w14:paraId="66627AAA" w14:textId="77777777" w:rsidR="00E038EA" w:rsidRPr="004224FB" w:rsidRDefault="00E038EA" w:rsidP="00C13671">
      <w:pPr>
        <w:pStyle w:val="Paragraphedeliste"/>
        <w:numPr>
          <w:ilvl w:val="0"/>
          <w:numId w:val="36"/>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Sont-ils mobilisables ?</w:t>
      </w:r>
    </w:p>
    <w:p w14:paraId="6B08C956" w14:textId="77777777" w:rsidR="00E038EA" w:rsidRPr="004224FB" w:rsidRDefault="00E038EA" w:rsidP="00AE3850">
      <w:pPr>
        <w:pStyle w:val="Paragraphedeliste"/>
        <w:spacing w:line="360" w:lineRule="auto"/>
        <w:jc w:val="both"/>
        <w:rPr>
          <w:rFonts w:asciiTheme="majorBidi" w:eastAsia="Times New Roman" w:hAnsiTheme="majorBidi" w:cstheme="majorBidi"/>
          <w:color w:val="000000"/>
          <w:lang w:eastAsia="fr-FR"/>
        </w:rPr>
      </w:pPr>
    </w:p>
    <w:p w14:paraId="4B20D291" w14:textId="77777777" w:rsidR="00E038EA" w:rsidRPr="004224FB" w:rsidRDefault="00E038EA" w:rsidP="00C13671">
      <w:pPr>
        <w:pStyle w:val="Paragraphedeliste"/>
        <w:numPr>
          <w:ilvl w:val="0"/>
          <w:numId w:val="37"/>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color w:val="000000"/>
          <w:lang w:eastAsia="fr-FR"/>
        </w:rPr>
        <w:t>Motiver les opérationnels</w:t>
      </w:r>
    </w:p>
    <w:p w14:paraId="453AD4ED" w14:textId="77777777" w:rsidR="00E038EA" w:rsidRPr="004224FB" w:rsidRDefault="00E038EA" w:rsidP="00AE3850">
      <w:pPr>
        <w:spacing w:line="360" w:lineRule="auto"/>
        <w:ind w:firstLine="360"/>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En alignant les actions des employés avec les objectifs de l’entreprise, le contrôle de gestion favorise l’engagement. Un système d’évaluation et de reconnaissance des performances contribue à cette motivation.</w:t>
      </w:r>
    </w:p>
    <w:p w14:paraId="7580F751" w14:textId="77777777" w:rsidR="00B96A65" w:rsidRDefault="00B96A65" w:rsidP="00AE3850">
      <w:pPr>
        <w:spacing w:line="360" w:lineRule="auto"/>
        <w:jc w:val="both"/>
        <w:rPr>
          <w:rFonts w:asciiTheme="majorBidi" w:eastAsia="Times New Roman" w:hAnsiTheme="majorBidi" w:cstheme="majorBidi"/>
          <w:b/>
          <w:bCs/>
          <w:color w:val="000000"/>
          <w:lang w:eastAsia="fr-FR"/>
        </w:rPr>
      </w:pPr>
      <w:r>
        <w:rPr>
          <w:rFonts w:asciiTheme="majorBidi" w:eastAsia="Times New Roman" w:hAnsiTheme="majorBidi" w:cstheme="majorBidi"/>
          <w:b/>
          <w:bCs/>
          <w:color w:val="000000"/>
          <w:lang w:eastAsia="fr-FR"/>
        </w:rPr>
        <w:br w:type="page"/>
      </w:r>
    </w:p>
    <w:p w14:paraId="7D07502D" w14:textId="15B25559" w:rsidR="00E038EA" w:rsidRPr="004224FB" w:rsidRDefault="00E038EA" w:rsidP="00C13671">
      <w:pPr>
        <w:pStyle w:val="Paragraphedeliste"/>
        <w:numPr>
          <w:ilvl w:val="0"/>
          <w:numId w:val="37"/>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color w:val="000000"/>
          <w:lang w:eastAsia="fr-FR"/>
        </w:rPr>
        <w:lastRenderedPageBreak/>
        <w:t>Favoriser l’apprentissage et l’amélioration continue</w:t>
      </w:r>
    </w:p>
    <w:p w14:paraId="1C9BC483"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L’analyse des écarts entre prévisions et réalisations permet d’identifier les erreurs et d’apporter des corrections. Ce processus encourage un apprentissage continu et une optimisation des performances.</w:t>
      </w:r>
    </w:p>
    <w:p w14:paraId="1ECE9A4D" w14:textId="77777777" w:rsidR="00E038EA" w:rsidRDefault="00E038EA" w:rsidP="00AE3850">
      <w:pPr>
        <w:spacing w:line="360" w:lineRule="auto"/>
        <w:jc w:val="both"/>
        <w:rPr>
          <w:rFonts w:asciiTheme="majorBidi" w:eastAsia="Times New Roman" w:hAnsiTheme="majorBidi" w:cstheme="majorBidi"/>
          <w:b/>
          <w:bCs/>
          <w:color w:val="000000"/>
          <w:u w:val="single"/>
          <w:lang w:eastAsia="fr-FR"/>
        </w:rPr>
      </w:pPr>
      <w:r w:rsidRPr="004224FB">
        <w:rPr>
          <w:rFonts w:asciiTheme="majorBidi" w:eastAsia="Times New Roman" w:hAnsiTheme="majorBidi" w:cstheme="majorBidi"/>
          <w:color w:val="000000"/>
          <w:lang w:eastAsia="fr-FR"/>
        </w:rPr>
        <w:t xml:space="preserve">  Grâce à ces missions et rôles, le contrôle de gestion constitue un levier essentiel pour améliorer la performance et la maîtrise des processus au sein de l’entreprise.</w:t>
      </w:r>
    </w:p>
    <w:p w14:paraId="7702451A" w14:textId="77777777" w:rsidR="00E038EA" w:rsidRPr="00D14499" w:rsidRDefault="00E038EA" w:rsidP="00AE3850">
      <w:pPr>
        <w:spacing w:line="360" w:lineRule="auto"/>
        <w:jc w:val="both"/>
        <w:rPr>
          <w:rFonts w:asciiTheme="majorBidi" w:eastAsia="Times New Roman" w:hAnsiTheme="majorBidi" w:cstheme="majorBidi"/>
          <w:b/>
          <w:bCs/>
          <w:color w:val="000000"/>
          <w:u w:val="single"/>
          <w:lang w:eastAsia="fr-FR"/>
        </w:rPr>
      </w:pPr>
    </w:p>
    <w:p w14:paraId="2D21DB13" w14:textId="70C7D037" w:rsidR="00E038EA" w:rsidRPr="00B96A65" w:rsidRDefault="00E038EA" w:rsidP="00C13671">
      <w:pPr>
        <w:pStyle w:val="Titre3"/>
        <w:numPr>
          <w:ilvl w:val="0"/>
          <w:numId w:val="91"/>
        </w:numPr>
        <w:spacing w:line="360" w:lineRule="auto"/>
        <w:jc w:val="both"/>
        <w:rPr>
          <w:rFonts w:asciiTheme="majorBidi" w:hAnsiTheme="majorBidi"/>
          <w:b/>
          <w:bCs/>
          <w:color w:val="auto"/>
          <w:sz w:val="24"/>
          <w:szCs w:val="24"/>
          <w:u w:val="single"/>
          <w:lang w:eastAsia="fr-FR"/>
        </w:rPr>
      </w:pPr>
      <w:bookmarkStart w:id="70" w:name="_Toc199314389"/>
      <w:r w:rsidRPr="00B96A65">
        <w:rPr>
          <w:rFonts w:asciiTheme="majorBidi" w:hAnsiTheme="majorBidi"/>
          <w:b/>
          <w:bCs/>
          <w:color w:val="auto"/>
          <w:sz w:val="24"/>
          <w:szCs w:val="24"/>
          <w:u w:val="single"/>
          <w:lang w:eastAsia="fr-FR"/>
        </w:rPr>
        <w:t>Les outils du contrôle de gestion</w:t>
      </w:r>
      <w:r w:rsidR="00B96A65" w:rsidRPr="00B96A65">
        <w:rPr>
          <w:rFonts w:asciiTheme="majorBidi" w:hAnsiTheme="majorBidi"/>
          <w:b/>
          <w:bCs/>
          <w:color w:val="auto"/>
          <w:sz w:val="24"/>
          <w:szCs w:val="24"/>
          <w:u w:val="single"/>
          <w:lang w:eastAsia="fr-FR"/>
        </w:rPr>
        <w:t xml:space="preserve"> :</w:t>
      </w:r>
      <w:bookmarkEnd w:id="70"/>
    </w:p>
    <w:p w14:paraId="06DE3FA6" w14:textId="77777777" w:rsidR="00E038EA" w:rsidRPr="004224FB" w:rsidRDefault="00E038EA" w:rsidP="00AE3850">
      <w:pPr>
        <w:spacing w:line="360" w:lineRule="auto"/>
        <w:ind w:firstLine="360"/>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xml:space="preserve">Le contrôle de gestion est un processus stratégique ayant pour objectif principal d’assurer le pilotage de la performance d’une organisation. Pour atteindre cet objectif, il repose sur l’utilisation d’un ensemble d’outils permettant de mesurer, analyser et ajuster les résultats en fonction des objectifs fixés. </w:t>
      </w:r>
    </w:p>
    <w:p w14:paraId="173C6B52"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Parmi ces outils, on retrouve la comptabilité de gestion, la gestion budgétaire, le tableau de bord, le système d'information, ainsi que le reporting.</w:t>
      </w:r>
    </w:p>
    <w:p w14:paraId="03EDDC1E" w14:textId="64D73D25" w:rsidR="00E038EA" w:rsidRPr="00B96A65" w:rsidRDefault="00E038EA" w:rsidP="00C13671">
      <w:pPr>
        <w:pStyle w:val="Paragraphedeliste"/>
        <w:numPr>
          <w:ilvl w:val="0"/>
          <w:numId w:val="94"/>
        </w:numPr>
        <w:spacing w:after="200" w:line="360" w:lineRule="auto"/>
        <w:jc w:val="both"/>
        <w:rPr>
          <w:rFonts w:asciiTheme="majorBidi" w:eastAsia="Times New Roman" w:hAnsiTheme="majorBidi" w:cstheme="majorBidi"/>
          <w:b/>
          <w:bCs/>
          <w:lang w:eastAsia="fr-FR"/>
        </w:rPr>
      </w:pPr>
      <w:bookmarkStart w:id="71" w:name="_Toc199314390"/>
      <w:r w:rsidRPr="00B96A65">
        <w:rPr>
          <w:rStyle w:val="Titre4Car"/>
          <w:rFonts w:asciiTheme="majorBidi" w:hAnsiTheme="majorBidi"/>
          <w:b/>
          <w:bCs/>
          <w:i w:val="0"/>
          <w:iCs w:val="0"/>
          <w:color w:val="auto"/>
          <w:u w:val="single"/>
        </w:rPr>
        <w:t>La comptabilité de gestion</w:t>
      </w:r>
      <w:r w:rsidR="00B96A65" w:rsidRPr="00B96A65">
        <w:rPr>
          <w:rStyle w:val="Titre4Car"/>
          <w:rFonts w:asciiTheme="majorBidi" w:hAnsiTheme="majorBidi"/>
          <w:b/>
          <w:bCs/>
          <w:i w:val="0"/>
          <w:iCs w:val="0"/>
          <w:color w:val="auto"/>
          <w:u w:val="single"/>
        </w:rPr>
        <w:t xml:space="preserve"> :</w:t>
      </w:r>
      <w:bookmarkEnd w:id="71"/>
      <w:r w:rsidR="00B96A65" w:rsidRPr="00B96A65">
        <w:rPr>
          <w:rFonts w:asciiTheme="majorBidi" w:eastAsia="Times New Roman" w:hAnsiTheme="majorBidi" w:cstheme="majorBidi"/>
          <w:b/>
          <w:bCs/>
          <w:i/>
          <w:iCs/>
          <w:u w:val="single"/>
          <w:lang w:eastAsia="fr-FR"/>
        </w:rPr>
        <w:t xml:space="preserve"> </w:t>
      </w:r>
      <w:r w:rsidRPr="004224FB">
        <w:rPr>
          <w:rStyle w:val="Appelnotedebasdep"/>
          <w:rFonts w:asciiTheme="majorBidi" w:eastAsia="Times New Roman" w:hAnsiTheme="majorBidi" w:cstheme="majorBidi"/>
          <w:b/>
          <w:bCs/>
          <w:color w:val="000000"/>
          <w:lang w:eastAsia="fr-FR"/>
        </w:rPr>
        <w:footnoteReference w:id="9"/>
      </w:r>
    </w:p>
    <w:p w14:paraId="57222EA2" w14:textId="77777777" w:rsidR="00E038EA" w:rsidRPr="004224FB" w:rsidRDefault="00E038EA" w:rsidP="00AE3850">
      <w:pPr>
        <w:spacing w:line="360" w:lineRule="auto"/>
        <w:ind w:firstLine="360"/>
        <w:jc w:val="both"/>
        <w:rPr>
          <w:rFonts w:asciiTheme="majorBidi" w:eastAsia="Times New Roman" w:hAnsiTheme="majorBidi" w:cstheme="majorBidi"/>
          <w:b/>
          <w:bCs/>
          <w:lang w:eastAsia="fr-FR"/>
        </w:rPr>
      </w:pPr>
      <w:r w:rsidRPr="004224FB">
        <w:rPr>
          <w:rFonts w:asciiTheme="majorBidi" w:eastAsia="Times New Roman" w:hAnsiTheme="majorBidi" w:cstheme="majorBidi"/>
          <w:color w:val="000000"/>
          <w:lang w:eastAsia="fr-FR"/>
        </w:rPr>
        <w:t>La comptabilité de gestion joue un rôle crucial dans la mise en œuvre du contrôle de gestion, car elle permet d’évaluer et d’analyser les coûts afin de guider les décisions stratégiques.</w:t>
      </w:r>
    </w:p>
    <w:p w14:paraId="5563DE7B" w14:textId="77777777" w:rsidR="00E038EA" w:rsidRPr="004224FB" w:rsidRDefault="00E038EA" w:rsidP="00AE3850">
      <w:pPr>
        <w:spacing w:line="360" w:lineRule="auto"/>
        <w:jc w:val="both"/>
        <w:rPr>
          <w:rFonts w:asciiTheme="majorBidi" w:eastAsia="Times New Roman" w:hAnsiTheme="majorBidi" w:cstheme="majorBidi"/>
          <w:b/>
          <w:bCs/>
          <w:color w:val="000000"/>
          <w:lang w:eastAsia="fr-FR"/>
        </w:rPr>
      </w:pPr>
    </w:p>
    <w:p w14:paraId="735B0885" w14:textId="3A38C89B" w:rsidR="00E038EA" w:rsidRPr="00B96A65" w:rsidRDefault="00E038EA" w:rsidP="00C13671">
      <w:pPr>
        <w:pStyle w:val="Titre5"/>
        <w:numPr>
          <w:ilvl w:val="0"/>
          <w:numId w:val="95"/>
        </w:numPr>
        <w:spacing w:line="360" w:lineRule="auto"/>
        <w:jc w:val="both"/>
        <w:rPr>
          <w:rFonts w:asciiTheme="majorBidi" w:hAnsiTheme="majorBidi"/>
          <w:b/>
          <w:bCs/>
          <w:color w:val="auto"/>
          <w:u w:val="single"/>
          <w:lang w:eastAsia="fr-FR"/>
        </w:rPr>
      </w:pPr>
      <w:bookmarkStart w:id="72" w:name="_Toc199314391"/>
      <w:r w:rsidRPr="00B96A65">
        <w:rPr>
          <w:rFonts w:asciiTheme="majorBidi" w:hAnsiTheme="majorBidi"/>
          <w:b/>
          <w:bCs/>
          <w:color w:val="auto"/>
          <w:u w:val="single"/>
          <w:lang w:eastAsia="fr-FR"/>
        </w:rPr>
        <w:t>Définition de la comptabilité de gestion</w:t>
      </w:r>
      <w:r w:rsidR="00B96A65" w:rsidRPr="00B96A65">
        <w:rPr>
          <w:rFonts w:asciiTheme="majorBidi" w:hAnsiTheme="majorBidi"/>
          <w:b/>
          <w:bCs/>
          <w:color w:val="auto"/>
          <w:u w:val="single"/>
          <w:lang w:eastAsia="fr-FR"/>
        </w:rPr>
        <w:t xml:space="preserve"> :</w:t>
      </w:r>
      <w:bookmarkEnd w:id="72"/>
    </w:p>
    <w:p w14:paraId="0662CF7B" w14:textId="77777777" w:rsidR="00E038EA" w:rsidRPr="004224FB" w:rsidRDefault="00E038EA" w:rsidP="00AE3850">
      <w:pPr>
        <w:spacing w:line="360" w:lineRule="auto"/>
        <w:ind w:firstLine="360"/>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xml:space="preserve">Également appelée comptabilité analytique, la comptabilité de gestion est un outil permettant d’identifier et de décomposer les éléments constitutifs des coûts et des résultats. Elle fournit ainsi des informations détaillées sur les performances de l'entreprise et permet de détecter les éventuelles inefficacités. </w:t>
      </w:r>
    </w:p>
    <w:p w14:paraId="17BE4A39"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Cette approche se distingue de la comptabilité générale par son orientation interne, visant à optimiser la gestion des ressources et à assurer une allocation plus efficace des moyens.</w:t>
      </w:r>
    </w:p>
    <w:p w14:paraId="0EF36145" w14:textId="4BBE923D" w:rsidR="00CF7238" w:rsidRDefault="00CF7238" w:rsidP="00AE3850">
      <w:pPr>
        <w:spacing w:line="360" w:lineRule="auto"/>
        <w:jc w:val="both"/>
        <w:rPr>
          <w:rFonts w:asciiTheme="majorBidi" w:eastAsia="Times New Roman" w:hAnsiTheme="majorBidi" w:cstheme="majorBidi"/>
          <w:b/>
          <w:bCs/>
          <w:color w:val="000000"/>
          <w:lang w:eastAsia="fr-FR"/>
        </w:rPr>
      </w:pPr>
    </w:p>
    <w:p w14:paraId="71934B07" w14:textId="4DCCBDCF" w:rsidR="00E038EA" w:rsidRPr="00B96A65" w:rsidRDefault="00E038EA" w:rsidP="00C13671">
      <w:pPr>
        <w:pStyle w:val="Titre5"/>
        <w:numPr>
          <w:ilvl w:val="0"/>
          <w:numId w:val="95"/>
        </w:numPr>
        <w:spacing w:line="360" w:lineRule="auto"/>
        <w:jc w:val="both"/>
        <w:rPr>
          <w:rFonts w:asciiTheme="majorBidi" w:hAnsiTheme="majorBidi"/>
          <w:b/>
          <w:bCs/>
          <w:color w:val="auto"/>
          <w:u w:val="single"/>
          <w:lang w:eastAsia="fr-FR"/>
        </w:rPr>
      </w:pPr>
      <w:bookmarkStart w:id="73" w:name="_Toc199314392"/>
      <w:r w:rsidRPr="00B96A65">
        <w:rPr>
          <w:rFonts w:asciiTheme="majorBidi" w:hAnsiTheme="majorBidi"/>
          <w:b/>
          <w:bCs/>
          <w:color w:val="auto"/>
          <w:u w:val="single"/>
          <w:lang w:eastAsia="fr-FR"/>
        </w:rPr>
        <w:t>Objectifs de la comptabilité analytique</w:t>
      </w:r>
      <w:r w:rsidR="00B96A65" w:rsidRPr="00B96A65">
        <w:rPr>
          <w:rFonts w:asciiTheme="majorBidi" w:hAnsiTheme="majorBidi"/>
          <w:b/>
          <w:bCs/>
          <w:color w:val="auto"/>
          <w:u w:val="single"/>
          <w:lang w:eastAsia="fr-FR"/>
        </w:rPr>
        <w:t xml:space="preserve"> :</w:t>
      </w:r>
      <w:bookmarkEnd w:id="73"/>
    </w:p>
    <w:p w14:paraId="3AB22FDF"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Les principaux objectifs de la comptabilité analytique sont :</w:t>
      </w:r>
    </w:p>
    <w:p w14:paraId="60E3603E" w14:textId="77777777" w:rsidR="00E038EA" w:rsidRPr="004224FB" w:rsidRDefault="00E038EA" w:rsidP="00C13671">
      <w:pPr>
        <w:pStyle w:val="Paragraphedeliste"/>
        <w:numPr>
          <w:ilvl w:val="0"/>
          <w:numId w:val="9"/>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Déterminer les coûts relatifs aux différentes fonctions de l'entreprise (achats, production, distribution, etc.).</w:t>
      </w:r>
    </w:p>
    <w:p w14:paraId="0DF00963" w14:textId="77777777" w:rsidR="00E038EA" w:rsidRPr="004224FB" w:rsidRDefault="00E038EA" w:rsidP="00C13671">
      <w:pPr>
        <w:pStyle w:val="Paragraphedeliste"/>
        <w:numPr>
          <w:ilvl w:val="0"/>
          <w:numId w:val="9"/>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Analyser la rentabilité en calculant les coûts complets et en les comparant aux prix de vente.</w:t>
      </w:r>
    </w:p>
    <w:p w14:paraId="4CA4CCCB" w14:textId="77777777" w:rsidR="00E038EA" w:rsidRPr="004224FB" w:rsidRDefault="00E038EA" w:rsidP="00C13671">
      <w:pPr>
        <w:pStyle w:val="Paragraphedeliste"/>
        <w:numPr>
          <w:ilvl w:val="0"/>
          <w:numId w:val="9"/>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Prévoir les coûts futurs et ajuster les stratégies en conséquence.</w:t>
      </w:r>
    </w:p>
    <w:p w14:paraId="69515991" w14:textId="77777777" w:rsidR="00E038EA" w:rsidRPr="004224FB" w:rsidRDefault="00E038EA" w:rsidP="00C13671">
      <w:pPr>
        <w:pStyle w:val="Paragraphedeliste"/>
        <w:numPr>
          <w:ilvl w:val="0"/>
          <w:numId w:val="9"/>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Identifier et expliquer les écarts entre les prévisions et les résultats réels.</w:t>
      </w:r>
    </w:p>
    <w:p w14:paraId="70E5F700" w14:textId="502AA0D8" w:rsidR="00E038EA" w:rsidRPr="004224FB" w:rsidRDefault="00B96A65" w:rsidP="00C13671">
      <w:pPr>
        <w:pStyle w:val="Paragraphedeliste"/>
        <w:numPr>
          <w:ilvl w:val="0"/>
          <w:numId w:val="9"/>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Évaluer</w:t>
      </w:r>
      <w:r w:rsidR="00E038EA" w:rsidRPr="004224FB">
        <w:rPr>
          <w:rFonts w:asciiTheme="majorBidi" w:hAnsiTheme="majorBidi" w:cstheme="majorBidi"/>
          <w:lang w:eastAsia="fr-FR"/>
        </w:rPr>
        <w:t xml:space="preserve"> financièrement les actifs immobilisés et les stocks.</w:t>
      </w:r>
    </w:p>
    <w:p w14:paraId="4141A759" w14:textId="77777777" w:rsidR="00E038EA" w:rsidRDefault="00E038EA" w:rsidP="00C13671">
      <w:pPr>
        <w:pStyle w:val="Paragraphedeliste"/>
        <w:numPr>
          <w:ilvl w:val="0"/>
          <w:numId w:val="9"/>
        </w:numPr>
        <w:spacing w:after="200" w:line="360" w:lineRule="auto"/>
        <w:jc w:val="both"/>
        <w:rPr>
          <w:rFonts w:asciiTheme="majorBidi" w:eastAsia="Times New Roman" w:hAnsiTheme="majorBidi" w:cstheme="majorBidi"/>
          <w:b/>
          <w:bCs/>
          <w:color w:val="000000"/>
          <w:lang w:eastAsia="fr-FR"/>
        </w:rPr>
      </w:pPr>
      <w:r w:rsidRPr="00D14499">
        <w:rPr>
          <w:rFonts w:asciiTheme="majorBidi" w:eastAsia="Times New Roman" w:hAnsiTheme="majorBidi" w:cstheme="majorBidi"/>
          <w:color w:val="000000"/>
          <w:lang w:eastAsia="fr-FR"/>
        </w:rPr>
        <w:t>Fournir des indicateurs clés pour améliorer le pilotage de l’entreprise et la prise de décision.</w:t>
      </w:r>
    </w:p>
    <w:p w14:paraId="0EBDCDFD" w14:textId="77777777" w:rsidR="00E038EA" w:rsidRPr="00D14499" w:rsidRDefault="00E038EA" w:rsidP="00AE3850">
      <w:pPr>
        <w:pStyle w:val="Paragraphedeliste"/>
        <w:spacing w:line="360" w:lineRule="auto"/>
        <w:jc w:val="both"/>
        <w:rPr>
          <w:rFonts w:asciiTheme="majorBidi" w:eastAsia="Times New Roman" w:hAnsiTheme="majorBidi" w:cstheme="majorBidi"/>
          <w:b/>
          <w:bCs/>
          <w:color w:val="000000"/>
          <w:lang w:eastAsia="fr-FR"/>
        </w:rPr>
      </w:pPr>
    </w:p>
    <w:p w14:paraId="22940F6B" w14:textId="3B97C43C" w:rsidR="00E038EA" w:rsidRPr="004224FB" w:rsidRDefault="00E038EA" w:rsidP="00C13671">
      <w:pPr>
        <w:pStyle w:val="Paragraphedeliste"/>
        <w:numPr>
          <w:ilvl w:val="0"/>
          <w:numId w:val="94"/>
        </w:numPr>
        <w:spacing w:after="200" w:line="360" w:lineRule="auto"/>
        <w:jc w:val="both"/>
        <w:rPr>
          <w:rFonts w:asciiTheme="majorBidi" w:eastAsia="Times New Roman" w:hAnsiTheme="majorBidi" w:cstheme="majorBidi"/>
          <w:b/>
          <w:bCs/>
          <w:color w:val="000000"/>
          <w:lang w:eastAsia="fr-FR"/>
        </w:rPr>
      </w:pPr>
      <w:bookmarkStart w:id="74" w:name="_Toc199314393"/>
      <w:r w:rsidRPr="00B96A65">
        <w:rPr>
          <w:rStyle w:val="Titre4Car"/>
          <w:rFonts w:asciiTheme="majorBidi" w:hAnsiTheme="majorBidi"/>
          <w:b/>
          <w:bCs/>
          <w:i w:val="0"/>
          <w:iCs w:val="0"/>
          <w:color w:val="auto"/>
          <w:u w:val="single"/>
        </w:rPr>
        <w:t xml:space="preserve">La gestion </w:t>
      </w:r>
      <w:r w:rsidRPr="00061A93">
        <w:rPr>
          <w:rStyle w:val="Titre4Car"/>
          <w:rFonts w:asciiTheme="majorBidi" w:hAnsiTheme="majorBidi"/>
          <w:b/>
          <w:bCs/>
          <w:i w:val="0"/>
          <w:iCs w:val="0"/>
          <w:color w:val="auto"/>
          <w:u w:val="single"/>
        </w:rPr>
        <w:t>budgétaire</w:t>
      </w:r>
      <w:r w:rsidR="00B96A65" w:rsidRPr="00061A93">
        <w:rPr>
          <w:rStyle w:val="Titre4Car"/>
          <w:rFonts w:asciiTheme="majorBidi" w:hAnsiTheme="majorBidi"/>
          <w:b/>
          <w:bCs/>
          <w:i w:val="0"/>
          <w:iCs w:val="0"/>
          <w:color w:val="auto"/>
          <w:u w:val="single"/>
        </w:rPr>
        <w:t xml:space="preserve"> :</w:t>
      </w:r>
      <w:bookmarkEnd w:id="74"/>
      <w:r w:rsidR="00B96A65" w:rsidRPr="00061A93">
        <w:rPr>
          <w:rFonts w:asciiTheme="majorBidi" w:eastAsia="Times New Roman" w:hAnsiTheme="majorBidi" w:cstheme="majorBidi"/>
          <w:b/>
          <w:bCs/>
          <w:lang w:eastAsia="fr-FR"/>
        </w:rPr>
        <w:t xml:space="preserve"> </w:t>
      </w:r>
      <w:r w:rsidRPr="004224FB">
        <w:rPr>
          <w:rStyle w:val="Appelnotedebasdep"/>
          <w:rFonts w:asciiTheme="majorBidi" w:eastAsia="Times New Roman" w:hAnsiTheme="majorBidi" w:cstheme="majorBidi"/>
          <w:b/>
          <w:bCs/>
          <w:color w:val="000000"/>
          <w:lang w:eastAsia="fr-FR"/>
        </w:rPr>
        <w:footnoteReference w:id="10"/>
      </w:r>
    </w:p>
    <w:p w14:paraId="252051AA" w14:textId="77777777" w:rsidR="00E038EA" w:rsidRPr="004224FB" w:rsidRDefault="00E038EA" w:rsidP="00AE3850">
      <w:pPr>
        <w:spacing w:line="360" w:lineRule="auto"/>
        <w:ind w:firstLine="360"/>
        <w:jc w:val="both"/>
        <w:rPr>
          <w:rFonts w:asciiTheme="majorBidi" w:eastAsia="Times New Roman" w:hAnsiTheme="majorBidi" w:cstheme="majorBidi"/>
          <w:b/>
          <w:bCs/>
          <w:color w:val="000000"/>
          <w:lang w:eastAsia="fr-FR"/>
        </w:rPr>
      </w:pPr>
      <w:r w:rsidRPr="004224FB">
        <w:rPr>
          <w:rFonts w:asciiTheme="majorBidi" w:eastAsia="Times New Roman" w:hAnsiTheme="majorBidi" w:cstheme="majorBidi"/>
          <w:color w:val="000000"/>
          <w:lang w:eastAsia="fr-FR"/>
        </w:rPr>
        <w:t>La gestion budgétaire est un instrument fondamental du contrôle de gestion. Elle repose sur l'élaboration et le suivi de budgets permettant de prévoir et d’optimiser les ressources financières de l’entreprise.</w:t>
      </w:r>
    </w:p>
    <w:p w14:paraId="63E9BFC5" w14:textId="10492004" w:rsidR="00E038EA" w:rsidRPr="00C10611" w:rsidRDefault="00E038EA" w:rsidP="00C13671">
      <w:pPr>
        <w:pStyle w:val="Titre5"/>
        <w:numPr>
          <w:ilvl w:val="0"/>
          <w:numId w:val="96"/>
        </w:numPr>
        <w:spacing w:line="360" w:lineRule="auto"/>
        <w:jc w:val="both"/>
        <w:rPr>
          <w:rFonts w:asciiTheme="majorBidi" w:hAnsiTheme="majorBidi"/>
          <w:b/>
          <w:bCs/>
          <w:color w:val="auto"/>
          <w:u w:val="single"/>
          <w:lang w:eastAsia="fr-FR"/>
        </w:rPr>
      </w:pPr>
      <w:bookmarkStart w:id="75" w:name="_Toc199314394"/>
      <w:r w:rsidRPr="00C10611">
        <w:rPr>
          <w:rFonts w:asciiTheme="majorBidi" w:hAnsiTheme="majorBidi"/>
          <w:b/>
          <w:bCs/>
          <w:color w:val="auto"/>
          <w:u w:val="single"/>
          <w:lang w:eastAsia="fr-FR"/>
        </w:rPr>
        <w:t>Définition de la gestion budgétaire</w:t>
      </w:r>
      <w:r w:rsidR="00C10611" w:rsidRPr="00C10611">
        <w:rPr>
          <w:rFonts w:asciiTheme="majorBidi" w:hAnsiTheme="majorBidi"/>
          <w:b/>
          <w:bCs/>
          <w:color w:val="auto"/>
          <w:u w:val="single"/>
          <w:lang w:eastAsia="fr-FR"/>
        </w:rPr>
        <w:t xml:space="preserve"> :</w:t>
      </w:r>
      <w:bookmarkEnd w:id="75"/>
    </w:p>
    <w:p w14:paraId="196EE0AE" w14:textId="77777777" w:rsidR="00E038EA" w:rsidRPr="004224FB" w:rsidRDefault="00E038EA" w:rsidP="00AE3850">
      <w:pPr>
        <w:spacing w:line="360" w:lineRule="auto"/>
        <w:ind w:firstLine="360"/>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xml:space="preserve">La gestion budgétaire consiste à traduire les décisions stratégiques de l'entreprise en programmes d’actions chiffrés sous forme de budgets, impliquant les différents responsables au sein de l'organisation. </w:t>
      </w:r>
    </w:p>
    <w:p w14:paraId="4DAE2D34"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Selon Doriath (B.), cette approche permet de traduire les objectifs stratégiques en actions concrètes et chiffrées. Gervais (M.) précise que le contrôle budgétaire repose sur la comparaison entre les résultats réels et les prévisions, permettant ainsi de détecter les écarts, d'analyser leurs causes et de mettre en place des actions correctives si nécessaire.</w:t>
      </w:r>
    </w:p>
    <w:p w14:paraId="2E09145C" w14:textId="77777777" w:rsidR="00E038EA" w:rsidRDefault="00E038EA" w:rsidP="00AE3850">
      <w:pPr>
        <w:spacing w:line="360" w:lineRule="auto"/>
        <w:jc w:val="both"/>
        <w:rPr>
          <w:rFonts w:asciiTheme="majorBidi" w:eastAsia="Times New Roman" w:hAnsiTheme="majorBidi" w:cstheme="majorBidi"/>
          <w:b/>
          <w:bCs/>
          <w:color w:val="000000"/>
          <w:lang w:eastAsia="fr-FR"/>
        </w:rPr>
      </w:pPr>
      <w:r>
        <w:rPr>
          <w:rFonts w:asciiTheme="majorBidi" w:eastAsia="Times New Roman" w:hAnsiTheme="majorBidi" w:cstheme="majorBidi"/>
          <w:b/>
          <w:bCs/>
          <w:color w:val="000000"/>
          <w:lang w:eastAsia="fr-FR"/>
        </w:rPr>
        <w:br w:type="page"/>
      </w:r>
    </w:p>
    <w:p w14:paraId="2D5ED98D" w14:textId="11DFFBE0" w:rsidR="00E038EA" w:rsidRPr="00C10611" w:rsidRDefault="00E038EA" w:rsidP="00C13671">
      <w:pPr>
        <w:pStyle w:val="Titre5"/>
        <w:numPr>
          <w:ilvl w:val="0"/>
          <w:numId w:val="96"/>
        </w:numPr>
        <w:spacing w:line="360" w:lineRule="auto"/>
        <w:jc w:val="both"/>
        <w:rPr>
          <w:rFonts w:asciiTheme="majorBidi" w:hAnsiTheme="majorBidi"/>
          <w:b/>
          <w:bCs/>
          <w:color w:val="auto"/>
          <w:u w:val="single"/>
          <w:lang w:eastAsia="fr-FR"/>
        </w:rPr>
      </w:pPr>
      <w:bookmarkStart w:id="76" w:name="_Toc199314395"/>
      <w:r w:rsidRPr="00C10611">
        <w:rPr>
          <w:rFonts w:asciiTheme="majorBidi" w:hAnsiTheme="majorBidi"/>
          <w:b/>
          <w:bCs/>
          <w:color w:val="auto"/>
          <w:u w:val="single"/>
          <w:lang w:eastAsia="fr-FR"/>
        </w:rPr>
        <w:lastRenderedPageBreak/>
        <w:t>Objectifs de la gestion budgétaire</w:t>
      </w:r>
      <w:r w:rsidR="00C10611" w:rsidRPr="00C10611">
        <w:rPr>
          <w:rFonts w:asciiTheme="majorBidi" w:hAnsiTheme="majorBidi"/>
          <w:b/>
          <w:bCs/>
          <w:color w:val="auto"/>
          <w:u w:val="single"/>
          <w:lang w:eastAsia="fr-FR"/>
        </w:rPr>
        <w:t xml:space="preserve"> :</w:t>
      </w:r>
      <w:bookmarkEnd w:id="76"/>
    </w:p>
    <w:p w14:paraId="2ACCBEAE"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La gestion budgétaire poursuit plusieurs objectifs :</w:t>
      </w:r>
    </w:p>
    <w:p w14:paraId="0BBBE57E" w14:textId="77777777" w:rsidR="00E038EA" w:rsidRPr="004224FB" w:rsidRDefault="00E038EA" w:rsidP="00C13671">
      <w:pPr>
        <w:pStyle w:val="Paragraphedeliste"/>
        <w:numPr>
          <w:ilvl w:val="0"/>
          <w:numId w:val="10"/>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Optimisation de la performance économique en améliorant la rentabilité de l'entreprise.</w:t>
      </w:r>
    </w:p>
    <w:p w14:paraId="425FC2CD" w14:textId="77777777" w:rsidR="00E038EA" w:rsidRPr="004224FB" w:rsidRDefault="00E038EA" w:rsidP="00C13671">
      <w:pPr>
        <w:pStyle w:val="Paragraphedeliste"/>
        <w:numPr>
          <w:ilvl w:val="0"/>
          <w:numId w:val="10"/>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Définition claire des objectifs afin de les aligner avec les moyens disponibles.</w:t>
      </w:r>
    </w:p>
    <w:p w14:paraId="6EC11CDE" w14:textId="77777777" w:rsidR="00E038EA" w:rsidRPr="004224FB" w:rsidRDefault="00E038EA" w:rsidP="00C13671">
      <w:pPr>
        <w:pStyle w:val="Paragraphedeliste"/>
        <w:numPr>
          <w:ilvl w:val="0"/>
          <w:numId w:val="10"/>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Une meilleure connaissance des forces et faiblesses de l’entreprise grâce à une analyse détaillée des budgets.</w:t>
      </w:r>
    </w:p>
    <w:p w14:paraId="017D6E28" w14:textId="77777777" w:rsidR="00E038EA" w:rsidRPr="004224FB" w:rsidRDefault="00E038EA" w:rsidP="00C13671">
      <w:pPr>
        <w:pStyle w:val="Paragraphedeliste"/>
        <w:numPr>
          <w:ilvl w:val="0"/>
          <w:numId w:val="10"/>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Coordination des actions stratégiques pour garantir la cohérence entre les différentes fonctions de l’entreprise.</w:t>
      </w:r>
    </w:p>
    <w:p w14:paraId="43F7B199" w14:textId="77777777" w:rsidR="00E038EA" w:rsidRPr="004224FB" w:rsidRDefault="00E038EA" w:rsidP="00C13671">
      <w:pPr>
        <w:pStyle w:val="Paragraphedeliste"/>
        <w:numPr>
          <w:ilvl w:val="0"/>
          <w:numId w:val="10"/>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Planification financière en anticipant les besoins en ressources.</w:t>
      </w:r>
    </w:p>
    <w:p w14:paraId="106515D9" w14:textId="77777777" w:rsidR="00E038EA" w:rsidRDefault="00E038EA" w:rsidP="00C13671">
      <w:pPr>
        <w:pStyle w:val="Paragraphedeliste"/>
        <w:numPr>
          <w:ilvl w:val="0"/>
          <w:numId w:val="10"/>
        </w:numPr>
        <w:spacing w:after="200" w:line="360" w:lineRule="auto"/>
        <w:jc w:val="both"/>
        <w:rPr>
          <w:rFonts w:asciiTheme="majorBidi" w:hAnsiTheme="majorBidi" w:cstheme="majorBidi"/>
          <w:lang w:eastAsia="fr-FR"/>
        </w:rPr>
      </w:pPr>
      <w:r w:rsidRPr="004224FB">
        <w:rPr>
          <w:rFonts w:asciiTheme="majorBidi" w:hAnsiTheme="majorBidi" w:cstheme="majorBidi"/>
          <w:lang w:eastAsia="fr-FR"/>
        </w:rPr>
        <w:t>Contrôle des performances en comparant les résultats obtenus aux objectifs fixés.</w:t>
      </w:r>
    </w:p>
    <w:p w14:paraId="1103EDEB" w14:textId="77777777" w:rsidR="00E038EA" w:rsidRPr="004224FB" w:rsidRDefault="00E038EA" w:rsidP="00AE3850">
      <w:pPr>
        <w:pStyle w:val="Paragraphedeliste"/>
        <w:spacing w:line="360" w:lineRule="auto"/>
        <w:jc w:val="both"/>
        <w:rPr>
          <w:rFonts w:asciiTheme="majorBidi" w:hAnsiTheme="majorBidi" w:cstheme="majorBidi"/>
          <w:lang w:eastAsia="fr-FR"/>
        </w:rPr>
      </w:pPr>
    </w:p>
    <w:p w14:paraId="5ECAF9CE" w14:textId="76627D6C" w:rsidR="00E038EA" w:rsidRPr="00C10611" w:rsidRDefault="00E038EA" w:rsidP="00C13671">
      <w:pPr>
        <w:pStyle w:val="Paragraphedeliste"/>
        <w:numPr>
          <w:ilvl w:val="0"/>
          <w:numId w:val="94"/>
        </w:numPr>
        <w:spacing w:after="200" w:line="360" w:lineRule="auto"/>
        <w:jc w:val="both"/>
        <w:rPr>
          <w:rFonts w:asciiTheme="majorBidi" w:eastAsia="Times New Roman" w:hAnsiTheme="majorBidi" w:cstheme="majorBidi"/>
          <w:b/>
          <w:bCs/>
          <w:lang w:eastAsia="fr-FR"/>
        </w:rPr>
      </w:pPr>
      <w:bookmarkStart w:id="77" w:name="_Toc199314396"/>
      <w:r w:rsidRPr="00C10611">
        <w:rPr>
          <w:rStyle w:val="Titre4Car"/>
          <w:rFonts w:asciiTheme="majorBidi" w:hAnsiTheme="majorBidi"/>
          <w:b/>
          <w:bCs/>
          <w:i w:val="0"/>
          <w:iCs w:val="0"/>
          <w:color w:val="auto"/>
          <w:u w:val="single"/>
          <w:lang w:eastAsia="fr-FR"/>
        </w:rPr>
        <w:t>Le tableau de bord</w:t>
      </w:r>
      <w:r w:rsidR="00C10611" w:rsidRPr="00C10611">
        <w:rPr>
          <w:rStyle w:val="Titre4Car"/>
          <w:rFonts w:asciiTheme="majorBidi" w:hAnsiTheme="majorBidi"/>
          <w:b/>
          <w:bCs/>
          <w:i w:val="0"/>
          <w:iCs w:val="0"/>
          <w:color w:val="auto"/>
          <w:u w:val="single"/>
          <w:lang w:eastAsia="fr-FR"/>
        </w:rPr>
        <w:t xml:space="preserve"> :</w:t>
      </w:r>
      <w:bookmarkEnd w:id="77"/>
      <w:r w:rsidR="00C10611" w:rsidRPr="00C10611">
        <w:rPr>
          <w:rStyle w:val="Titre4Car"/>
          <w:rFonts w:asciiTheme="majorBidi" w:hAnsiTheme="majorBidi"/>
          <w:b/>
          <w:bCs/>
          <w:i w:val="0"/>
          <w:iCs w:val="0"/>
          <w:color w:val="auto"/>
          <w:u w:val="single"/>
          <w:lang w:eastAsia="fr-FR"/>
        </w:rPr>
        <w:t xml:space="preserve"> </w:t>
      </w:r>
      <w:r w:rsidRPr="004224FB">
        <w:rPr>
          <w:rStyle w:val="Appelnotedebasdep"/>
          <w:rFonts w:asciiTheme="majorBidi" w:eastAsia="Times New Roman" w:hAnsiTheme="majorBidi" w:cstheme="majorBidi"/>
          <w:b/>
          <w:bCs/>
          <w:color w:val="000000"/>
          <w:lang w:eastAsia="fr-FR"/>
        </w:rPr>
        <w:footnoteReference w:id="11"/>
      </w:r>
    </w:p>
    <w:p w14:paraId="2BDE3ED6"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Le tableau de bord est un outil stratégique du contrôle de gestion permettant de suivre la performance de l’entreprise à travers des indicateurs synthétiques. Il est utilisé pour évaluer la performance, coordonner les actions et aider à la prise de décision.</w:t>
      </w:r>
    </w:p>
    <w:p w14:paraId="081D59E8" w14:textId="133A80BE" w:rsidR="00E038EA" w:rsidRPr="00C10611" w:rsidRDefault="00E038EA" w:rsidP="00C13671">
      <w:pPr>
        <w:pStyle w:val="Titre5"/>
        <w:numPr>
          <w:ilvl w:val="0"/>
          <w:numId w:val="97"/>
        </w:numPr>
        <w:spacing w:line="360" w:lineRule="auto"/>
        <w:jc w:val="both"/>
        <w:rPr>
          <w:rFonts w:asciiTheme="majorBidi" w:hAnsiTheme="majorBidi"/>
          <w:b/>
          <w:bCs/>
          <w:color w:val="auto"/>
          <w:u w:val="single"/>
          <w:lang w:eastAsia="fr-FR"/>
        </w:rPr>
      </w:pPr>
      <w:bookmarkStart w:id="78" w:name="_Toc199314397"/>
      <w:r w:rsidRPr="00C10611">
        <w:rPr>
          <w:rFonts w:asciiTheme="majorBidi" w:hAnsiTheme="majorBidi"/>
          <w:b/>
          <w:bCs/>
          <w:color w:val="auto"/>
          <w:u w:val="single"/>
          <w:lang w:eastAsia="fr-FR"/>
        </w:rPr>
        <w:t>Définition du tableau de bord</w:t>
      </w:r>
      <w:r w:rsidR="00C10611" w:rsidRPr="00C10611">
        <w:rPr>
          <w:rFonts w:asciiTheme="majorBidi" w:hAnsiTheme="majorBidi"/>
          <w:b/>
          <w:bCs/>
          <w:color w:val="auto"/>
          <w:u w:val="single"/>
          <w:lang w:eastAsia="fr-FR"/>
        </w:rPr>
        <w:t xml:space="preserve"> :</w:t>
      </w:r>
      <w:bookmarkEnd w:id="78"/>
    </w:p>
    <w:p w14:paraId="690EDBAA" w14:textId="77777777" w:rsidR="00E038EA" w:rsidRPr="004224FB" w:rsidRDefault="00E038EA" w:rsidP="00AE3850">
      <w:pPr>
        <w:spacing w:line="360" w:lineRule="auto"/>
        <w:ind w:firstLine="360"/>
        <w:jc w:val="both"/>
        <w:rPr>
          <w:rFonts w:asciiTheme="majorBidi" w:eastAsia="Times New Roman" w:hAnsiTheme="majorBidi" w:cstheme="majorBidi"/>
          <w:b/>
          <w:bCs/>
          <w:color w:val="000000"/>
          <w:lang w:eastAsia="fr-FR"/>
        </w:rPr>
      </w:pPr>
      <w:r w:rsidRPr="004224FB">
        <w:rPr>
          <w:rFonts w:asciiTheme="majorBidi" w:eastAsia="Times New Roman" w:hAnsiTheme="majorBidi" w:cstheme="majorBidi"/>
          <w:color w:val="000000"/>
          <w:lang w:eastAsia="fr-FR"/>
        </w:rPr>
        <w:t>Le tableau de bord est un ensemble d'indicateurs permettant de suivre l'état du système et d’évaluer le degré de réalisation des objectifs. Il permet également d’identifier les écarts entre les prévisions et les réalisations.</w:t>
      </w:r>
    </w:p>
    <w:p w14:paraId="7A0E0669" w14:textId="61C8BE07" w:rsidR="00E038EA" w:rsidRPr="00C10611" w:rsidRDefault="00E038EA" w:rsidP="00C13671">
      <w:pPr>
        <w:pStyle w:val="Titre5"/>
        <w:numPr>
          <w:ilvl w:val="0"/>
          <w:numId w:val="97"/>
        </w:numPr>
        <w:spacing w:line="360" w:lineRule="auto"/>
        <w:jc w:val="both"/>
        <w:rPr>
          <w:rFonts w:asciiTheme="majorBidi" w:hAnsiTheme="majorBidi"/>
          <w:b/>
          <w:bCs/>
          <w:color w:val="auto"/>
          <w:u w:val="single"/>
          <w:lang w:eastAsia="fr-FR"/>
        </w:rPr>
      </w:pPr>
      <w:bookmarkStart w:id="79" w:name="_Toc199314398"/>
      <w:r w:rsidRPr="00C10611">
        <w:rPr>
          <w:rFonts w:asciiTheme="majorBidi" w:hAnsiTheme="majorBidi"/>
          <w:b/>
          <w:bCs/>
          <w:color w:val="auto"/>
          <w:u w:val="single"/>
          <w:lang w:eastAsia="fr-FR"/>
        </w:rPr>
        <w:t>Objectifs du tableau de bord</w:t>
      </w:r>
      <w:r w:rsidR="00C10611" w:rsidRPr="00C10611">
        <w:rPr>
          <w:rFonts w:asciiTheme="majorBidi" w:hAnsiTheme="majorBidi"/>
          <w:b/>
          <w:bCs/>
          <w:color w:val="auto"/>
          <w:u w:val="single"/>
          <w:lang w:eastAsia="fr-FR"/>
        </w:rPr>
        <w:t xml:space="preserve"> :</w:t>
      </w:r>
      <w:bookmarkEnd w:id="79"/>
    </w:p>
    <w:p w14:paraId="0718DB71"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 Le tableau de bord vise plusieurs objectifs :</w:t>
      </w:r>
    </w:p>
    <w:p w14:paraId="5FA723BD" w14:textId="77777777" w:rsidR="00E038EA" w:rsidRPr="004224FB" w:rsidRDefault="00E038EA" w:rsidP="00C13671">
      <w:pPr>
        <w:pStyle w:val="Paragraphedeliste"/>
        <w:numPr>
          <w:ilvl w:val="0"/>
          <w:numId w:val="11"/>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Faciliter la communication interne en diffusant les informations essentielles.</w:t>
      </w:r>
    </w:p>
    <w:p w14:paraId="2A12F183" w14:textId="77777777" w:rsidR="00E038EA" w:rsidRPr="004224FB" w:rsidRDefault="00E038EA" w:rsidP="00C13671">
      <w:pPr>
        <w:pStyle w:val="Paragraphedeliste"/>
        <w:numPr>
          <w:ilvl w:val="0"/>
          <w:numId w:val="11"/>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Détecter rapidement les écarts entre prévisions et réalisations et prendre les actions correctives nécessaires.</w:t>
      </w:r>
    </w:p>
    <w:p w14:paraId="33C7FEFD" w14:textId="77777777" w:rsidR="00E038EA" w:rsidRPr="004224FB" w:rsidRDefault="00E038EA" w:rsidP="00C13671">
      <w:pPr>
        <w:pStyle w:val="Paragraphedeliste"/>
        <w:numPr>
          <w:ilvl w:val="0"/>
          <w:numId w:val="11"/>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Suivre l’efficacité des mesures correctives mises en place.</w:t>
      </w:r>
    </w:p>
    <w:p w14:paraId="29EF82D0" w14:textId="5729B041" w:rsidR="00CF7238" w:rsidRPr="00AE3850" w:rsidRDefault="00E038EA" w:rsidP="00C13671">
      <w:pPr>
        <w:pStyle w:val="Paragraphedeliste"/>
        <w:numPr>
          <w:ilvl w:val="0"/>
          <w:numId w:val="11"/>
        </w:numPr>
        <w:spacing w:after="200" w:line="360" w:lineRule="auto"/>
        <w:jc w:val="both"/>
        <w:rPr>
          <w:rFonts w:asciiTheme="majorBidi" w:eastAsia="Times New Roman" w:hAnsiTheme="majorBidi" w:cstheme="majorBidi"/>
          <w:b/>
          <w:bCs/>
          <w:color w:val="000000"/>
          <w:lang w:eastAsia="fr-FR"/>
        </w:rPr>
      </w:pPr>
      <w:r w:rsidRPr="00AE3850">
        <w:rPr>
          <w:rFonts w:asciiTheme="majorBidi" w:eastAsia="Times New Roman" w:hAnsiTheme="majorBidi" w:cstheme="majorBidi"/>
          <w:color w:val="000000"/>
          <w:lang w:eastAsia="fr-FR"/>
        </w:rPr>
        <w:t>Aider à la prise de décision en fournissant des données actualisées et pertinentes.</w:t>
      </w:r>
    </w:p>
    <w:p w14:paraId="55864304" w14:textId="2CF54514" w:rsidR="00E038EA" w:rsidRPr="006C3FB4" w:rsidRDefault="00E038EA" w:rsidP="00C13671">
      <w:pPr>
        <w:pStyle w:val="Titre5"/>
        <w:numPr>
          <w:ilvl w:val="0"/>
          <w:numId w:val="97"/>
        </w:numPr>
        <w:spacing w:line="360" w:lineRule="auto"/>
        <w:jc w:val="both"/>
        <w:rPr>
          <w:rFonts w:asciiTheme="majorBidi" w:hAnsiTheme="majorBidi"/>
          <w:b/>
          <w:bCs/>
          <w:color w:val="auto"/>
          <w:u w:val="single"/>
          <w:lang w:eastAsia="fr-FR"/>
        </w:rPr>
      </w:pPr>
      <w:bookmarkStart w:id="80" w:name="_Toc199314399"/>
      <w:r w:rsidRPr="006C3FB4">
        <w:rPr>
          <w:rFonts w:asciiTheme="majorBidi" w:hAnsiTheme="majorBidi"/>
          <w:b/>
          <w:bCs/>
          <w:color w:val="auto"/>
          <w:u w:val="single"/>
          <w:lang w:eastAsia="fr-FR"/>
        </w:rPr>
        <w:lastRenderedPageBreak/>
        <w:t>Rôles du tableau de bord</w:t>
      </w:r>
      <w:r w:rsidR="00C10611" w:rsidRPr="006C3FB4">
        <w:rPr>
          <w:rFonts w:asciiTheme="majorBidi" w:hAnsiTheme="majorBidi"/>
          <w:b/>
          <w:bCs/>
          <w:color w:val="auto"/>
          <w:u w:val="single"/>
          <w:lang w:eastAsia="fr-FR"/>
        </w:rPr>
        <w:t xml:space="preserve"> :</w:t>
      </w:r>
      <w:bookmarkEnd w:id="80"/>
    </w:p>
    <w:p w14:paraId="1AC5DC34" w14:textId="77777777" w:rsidR="00E038EA" w:rsidRPr="004224FB" w:rsidRDefault="00E038EA" w:rsidP="00C13671">
      <w:pPr>
        <w:pStyle w:val="Paragraphedeliste"/>
        <w:numPr>
          <w:ilvl w:val="0"/>
          <w:numId w:val="48"/>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Instrument de contrôle et de comparaison : Permet une analyse continue des performances par rapport aux objectifs.</w:t>
      </w:r>
    </w:p>
    <w:p w14:paraId="339D7203" w14:textId="77777777" w:rsidR="00E038EA" w:rsidRPr="004224FB" w:rsidRDefault="00E038EA" w:rsidP="00C13671">
      <w:pPr>
        <w:pStyle w:val="Paragraphedeliste"/>
        <w:numPr>
          <w:ilvl w:val="0"/>
          <w:numId w:val="48"/>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Outil de dialogue et de communication : Favorise l’échange d’informations entre les différents services.</w:t>
      </w:r>
    </w:p>
    <w:p w14:paraId="3A2B9CA1" w14:textId="77777777" w:rsidR="00E038EA" w:rsidRDefault="00E038EA" w:rsidP="00C13671">
      <w:pPr>
        <w:pStyle w:val="Paragraphedeliste"/>
        <w:numPr>
          <w:ilvl w:val="0"/>
          <w:numId w:val="48"/>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Outil d’aide à la décision : Fournit des informations cruciales pour ajuster les stratégies et améliorer la performance.</w:t>
      </w:r>
    </w:p>
    <w:p w14:paraId="3624A787" w14:textId="77777777" w:rsidR="00E038EA" w:rsidRPr="00D14499" w:rsidRDefault="00E038EA" w:rsidP="00AE3850">
      <w:pPr>
        <w:pStyle w:val="Paragraphedeliste"/>
        <w:spacing w:line="360" w:lineRule="auto"/>
        <w:ind w:left="360"/>
        <w:jc w:val="both"/>
        <w:rPr>
          <w:rFonts w:asciiTheme="majorBidi" w:eastAsia="Times New Roman" w:hAnsiTheme="majorBidi" w:cstheme="majorBidi"/>
          <w:color w:val="000000"/>
          <w:lang w:eastAsia="fr-FR"/>
        </w:rPr>
      </w:pPr>
    </w:p>
    <w:p w14:paraId="373BB41E" w14:textId="46F4FA0F" w:rsidR="00E038EA" w:rsidRPr="006C3FB4" w:rsidRDefault="00E038EA" w:rsidP="00C13671">
      <w:pPr>
        <w:pStyle w:val="Titre5"/>
        <w:numPr>
          <w:ilvl w:val="0"/>
          <w:numId w:val="97"/>
        </w:numPr>
        <w:spacing w:line="360" w:lineRule="auto"/>
        <w:jc w:val="both"/>
        <w:rPr>
          <w:rFonts w:asciiTheme="majorBidi" w:hAnsiTheme="majorBidi"/>
          <w:b/>
          <w:bCs/>
          <w:color w:val="auto"/>
          <w:u w:val="single"/>
          <w:lang w:eastAsia="fr-FR"/>
        </w:rPr>
      </w:pPr>
      <w:bookmarkStart w:id="81" w:name="_Toc199314400"/>
      <w:r w:rsidRPr="006C3FB4">
        <w:rPr>
          <w:rFonts w:asciiTheme="majorBidi" w:hAnsiTheme="majorBidi"/>
          <w:b/>
          <w:bCs/>
          <w:color w:val="auto"/>
          <w:u w:val="single"/>
          <w:lang w:eastAsia="fr-FR"/>
        </w:rPr>
        <w:t>Les instruments du tableau de bord</w:t>
      </w:r>
      <w:r w:rsidR="006C3FB4" w:rsidRPr="006C3FB4">
        <w:rPr>
          <w:rFonts w:asciiTheme="majorBidi" w:hAnsiTheme="majorBidi"/>
          <w:b/>
          <w:bCs/>
          <w:color w:val="auto"/>
          <w:u w:val="single"/>
          <w:lang w:eastAsia="fr-FR"/>
        </w:rPr>
        <w:t xml:space="preserve"> :</w:t>
      </w:r>
      <w:bookmarkEnd w:id="81"/>
    </w:p>
    <w:p w14:paraId="0879C715" w14:textId="77777777" w:rsidR="00E038EA" w:rsidRPr="004224FB" w:rsidRDefault="00E038EA" w:rsidP="00AE3850">
      <w:pPr>
        <w:spacing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xml:space="preserve">   Le tableau de bord se compose généralement de quatre zones principales : les paramètres économiques, les résultats réels, les objectifs prévisionnels et les écarts. Il inclut aussi divers instruments comme les écarts, les ratios, les graphiques et les clignotants pour analyser la performance.</w:t>
      </w:r>
    </w:p>
    <w:p w14:paraId="42D71E7C" w14:textId="77777777" w:rsidR="00E038EA" w:rsidRPr="004224FB" w:rsidRDefault="00E038EA" w:rsidP="00AE3850">
      <w:pPr>
        <w:spacing w:line="360" w:lineRule="auto"/>
        <w:jc w:val="both"/>
        <w:rPr>
          <w:rFonts w:asciiTheme="majorBidi" w:eastAsia="Times New Roman" w:hAnsiTheme="majorBidi" w:cstheme="majorBidi"/>
          <w:lang w:eastAsia="fr-FR"/>
        </w:rPr>
      </w:pPr>
    </w:p>
    <w:p w14:paraId="51B95B2E" w14:textId="77777777" w:rsidR="00E038EA" w:rsidRPr="004224FB" w:rsidRDefault="00E038EA" w:rsidP="00AE3850">
      <w:pPr>
        <w:spacing w:line="360" w:lineRule="auto"/>
        <w:jc w:val="both"/>
        <w:rPr>
          <w:rFonts w:asciiTheme="majorBidi" w:eastAsia="Times New Roman" w:hAnsiTheme="majorBidi" w:cstheme="majorBidi"/>
          <w:b/>
          <w:bCs/>
          <w:sz w:val="28"/>
          <w:szCs w:val="28"/>
          <w:lang w:eastAsia="fr-FR"/>
        </w:rPr>
      </w:pPr>
      <w:r w:rsidRPr="004224FB">
        <w:rPr>
          <w:rFonts w:asciiTheme="majorBidi" w:eastAsia="Times New Roman" w:hAnsiTheme="majorBidi" w:cstheme="majorBidi"/>
          <w:b/>
          <w:bCs/>
          <w:sz w:val="28"/>
          <w:szCs w:val="28"/>
          <w:lang w:eastAsia="fr-FR"/>
        </w:rPr>
        <w:br w:type="page"/>
      </w:r>
    </w:p>
    <w:p w14:paraId="4EEBCF46" w14:textId="77777777" w:rsidR="00E038EA" w:rsidRPr="006C3FB4" w:rsidRDefault="00E038EA" w:rsidP="00AE3850">
      <w:pPr>
        <w:pStyle w:val="Titre2"/>
        <w:spacing w:line="360" w:lineRule="auto"/>
        <w:jc w:val="both"/>
        <w:rPr>
          <w:rFonts w:asciiTheme="majorBidi" w:hAnsiTheme="majorBidi"/>
          <w:b/>
          <w:bCs/>
          <w:color w:val="auto"/>
          <w:sz w:val="28"/>
          <w:szCs w:val="28"/>
          <w:u w:val="single"/>
          <w:lang w:eastAsia="fr-FR"/>
        </w:rPr>
      </w:pPr>
      <w:bookmarkStart w:id="82" w:name="_Toc199314401"/>
      <w:bookmarkStart w:id="83" w:name="_Toc199314581"/>
      <w:r w:rsidRPr="006C3FB4">
        <w:rPr>
          <w:rFonts w:asciiTheme="majorBidi" w:hAnsiTheme="majorBidi"/>
          <w:b/>
          <w:bCs/>
          <w:color w:val="auto"/>
          <w:sz w:val="28"/>
          <w:szCs w:val="28"/>
          <w:u w:val="single"/>
          <w:lang w:eastAsia="fr-FR"/>
        </w:rPr>
        <w:lastRenderedPageBreak/>
        <w:t>Section 02 : Concepts clés de la gestion budgétaire</w:t>
      </w:r>
      <w:bookmarkEnd w:id="82"/>
      <w:bookmarkEnd w:id="83"/>
      <w:r w:rsidRPr="006C3FB4">
        <w:rPr>
          <w:rFonts w:asciiTheme="majorBidi" w:hAnsiTheme="majorBidi"/>
          <w:b/>
          <w:bCs/>
          <w:color w:val="auto"/>
          <w:sz w:val="28"/>
          <w:szCs w:val="28"/>
          <w:u w:val="single"/>
          <w:lang w:eastAsia="fr-FR"/>
        </w:rPr>
        <w:t> </w:t>
      </w:r>
    </w:p>
    <w:p w14:paraId="477B88EB"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Afin de mieux appréhender des situations toujours plus complexes et d’optimiser la performance organisationnelle, le contrôle de gestion met à disposition divers outils, dont la gestion budgétaire. Celle-ci s’impose comme un impératif incontournable, car elle offre aux dirigeants une vision prospective et les aide à saisir les opportunités stratégiques. Elle constitue ainsi une traduction chiffrée et annuelle des choix stratégiques de l’entreprise.</w:t>
      </w:r>
    </w:p>
    <w:p w14:paraId="69408D10" w14:textId="77777777" w:rsidR="00E038EA" w:rsidRPr="004224FB"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Cette section vise à présenter le cadre théorique de la gestion budgétaire. Pour cela, nous explorerons son évolution historique, ses différentes définitions, ses objectifs et ses rôles. Ensuite, nous détaillerons son processus avant d’en examiner les limites.</w:t>
      </w:r>
    </w:p>
    <w:p w14:paraId="6C709C04"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p>
    <w:p w14:paraId="371E334D" w14:textId="35498B14" w:rsidR="00E038EA" w:rsidRPr="006C3FB4" w:rsidRDefault="00E038EA" w:rsidP="00C13671">
      <w:pPr>
        <w:pStyle w:val="Titre3"/>
        <w:numPr>
          <w:ilvl w:val="0"/>
          <w:numId w:val="98"/>
        </w:numPr>
        <w:spacing w:line="360" w:lineRule="auto"/>
        <w:jc w:val="both"/>
        <w:rPr>
          <w:rFonts w:asciiTheme="majorBidi" w:hAnsiTheme="majorBidi"/>
          <w:b/>
          <w:bCs/>
          <w:color w:val="auto"/>
          <w:sz w:val="24"/>
          <w:szCs w:val="24"/>
          <w:u w:val="single"/>
          <w:lang w:eastAsia="fr-FR"/>
        </w:rPr>
      </w:pPr>
      <w:bookmarkStart w:id="84" w:name="_Toc199314402"/>
      <w:r w:rsidRPr="006C3FB4">
        <w:rPr>
          <w:rFonts w:asciiTheme="majorBidi" w:hAnsiTheme="majorBidi"/>
          <w:b/>
          <w:bCs/>
          <w:color w:val="auto"/>
          <w:sz w:val="24"/>
          <w:szCs w:val="24"/>
          <w:u w:val="single"/>
          <w:lang w:eastAsia="fr-FR"/>
        </w:rPr>
        <w:t>Définition du processus budgétaire</w:t>
      </w:r>
      <w:r w:rsidR="006C3FB4" w:rsidRPr="006C3FB4">
        <w:rPr>
          <w:rFonts w:asciiTheme="majorBidi" w:hAnsiTheme="majorBidi"/>
          <w:b/>
          <w:bCs/>
          <w:color w:val="auto"/>
          <w:sz w:val="24"/>
          <w:szCs w:val="24"/>
          <w:u w:val="single"/>
          <w:lang w:eastAsia="fr-FR"/>
        </w:rPr>
        <w:t xml:space="preserve"> :</w:t>
      </w:r>
      <w:bookmarkEnd w:id="84"/>
    </w:p>
    <w:p w14:paraId="1CA2CF8A"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Il existe plusieurs définitions de la gestion budgétaire qui diffèrent selon les auteurs et les économistes : </w:t>
      </w:r>
    </w:p>
    <w:p w14:paraId="2D00AE4F"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La gestion budgétaire comme étant : « un mode de gestion consistant à traduire en programmes d’actions chiffrées, appelées budgets, les décisions prises par la direction avec la participation des responsables ».</w:t>
      </w:r>
      <w:r w:rsidRPr="004224FB">
        <w:rPr>
          <w:rStyle w:val="Appelnotedebasdep"/>
          <w:rFonts w:asciiTheme="majorBidi" w:eastAsia="Times New Roman" w:hAnsiTheme="majorBidi" w:cstheme="majorBidi"/>
          <w:color w:val="000000"/>
          <w:lang w:eastAsia="fr-FR"/>
        </w:rPr>
        <w:footnoteReference w:id="12"/>
      </w:r>
    </w:p>
    <w:p w14:paraId="0E2BE9FD" w14:textId="77777777" w:rsidR="00E038EA" w:rsidRPr="004224FB"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La gestion budgétaire est une méthode de prévision systématique et de contrôle par le moyen des budgets découlant d’un plan d’ensemble qui peut couvrir une assez longue période et qui est décomposé en programme d’action à échéance plus rapprochée déterminée de telle manière qu’ils soient normaux et réalisables ».</w:t>
      </w:r>
      <w:r w:rsidRPr="004224FB">
        <w:rPr>
          <w:rStyle w:val="Appelnotedebasdep"/>
          <w:rFonts w:asciiTheme="majorBidi" w:eastAsia="Times New Roman" w:hAnsiTheme="majorBidi" w:cstheme="majorBidi"/>
          <w:color w:val="000000"/>
          <w:lang w:eastAsia="fr-FR"/>
        </w:rPr>
        <w:footnoteReference w:id="13"/>
      </w:r>
    </w:p>
    <w:p w14:paraId="45BC47DB"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La gestion budgétaire, occupe une place prédominante parmi les techniques de contrôle de gestion qui sont susceptibles d’être utilisées pour faciliter et améliorer la prise de décisions à l’intérieur de l’entreprise. ».</w:t>
      </w:r>
      <w:r w:rsidRPr="004224FB">
        <w:rPr>
          <w:rStyle w:val="Appelnotedebasdep"/>
          <w:rFonts w:asciiTheme="majorBidi" w:eastAsia="Times New Roman" w:hAnsiTheme="majorBidi" w:cstheme="majorBidi"/>
          <w:color w:val="000000"/>
          <w:lang w:eastAsia="fr-FR"/>
        </w:rPr>
        <w:footnoteReference w:id="14"/>
      </w:r>
    </w:p>
    <w:p w14:paraId="631D7832" w14:textId="77777777" w:rsidR="00E038EA" w:rsidRPr="00893D59"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Selon Hamini.A, « la gestion budgétaire est un mode de gestion qui englobe tous les aspects de l’activité de l’entreprise dans un ensemble cohérent de prévisions chiffrées ».</w:t>
      </w:r>
      <w:r w:rsidRPr="004224FB">
        <w:rPr>
          <w:rStyle w:val="Appelnotedebasdep"/>
          <w:rFonts w:asciiTheme="majorBidi" w:eastAsia="Times New Roman" w:hAnsiTheme="majorBidi" w:cstheme="majorBidi"/>
          <w:color w:val="000000"/>
          <w:lang w:eastAsia="fr-FR"/>
        </w:rPr>
        <w:footnoteReference w:id="15"/>
      </w:r>
    </w:p>
    <w:p w14:paraId="7C98F59F" w14:textId="77777777" w:rsidR="00E038EA"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lastRenderedPageBreak/>
        <w:t>En résume, la gestion budgétaire est un mode de gestion à court terme qui englobe tous les aspects de l'activité de l'entreprise dans un ensemble cohérent de prévisions chiffrées et permet la mise en évidence des écarts et des actions correctives.</w:t>
      </w:r>
    </w:p>
    <w:p w14:paraId="1313BE57" w14:textId="77777777" w:rsidR="00E038EA" w:rsidRPr="004224FB" w:rsidRDefault="00E038EA" w:rsidP="00AE3850">
      <w:pPr>
        <w:spacing w:line="360" w:lineRule="auto"/>
        <w:ind w:firstLine="708"/>
        <w:jc w:val="both"/>
        <w:rPr>
          <w:rFonts w:asciiTheme="majorBidi" w:hAnsiTheme="majorBidi" w:cstheme="majorBidi"/>
          <w:b/>
          <w:bCs/>
        </w:rPr>
      </w:pPr>
    </w:p>
    <w:p w14:paraId="7779C088" w14:textId="0109D09F" w:rsidR="00E038EA" w:rsidRPr="006C3FB4" w:rsidRDefault="00E038EA" w:rsidP="00C13671">
      <w:pPr>
        <w:pStyle w:val="Titre3"/>
        <w:numPr>
          <w:ilvl w:val="0"/>
          <w:numId w:val="98"/>
        </w:numPr>
        <w:spacing w:line="360" w:lineRule="auto"/>
        <w:jc w:val="both"/>
        <w:rPr>
          <w:rFonts w:asciiTheme="majorBidi" w:hAnsiTheme="majorBidi"/>
          <w:b/>
          <w:bCs/>
          <w:color w:val="auto"/>
          <w:sz w:val="24"/>
          <w:szCs w:val="24"/>
          <w:u w:val="single"/>
        </w:rPr>
      </w:pPr>
      <w:bookmarkStart w:id="85" w:name="_Toc199314403"/>
      <w:r w:rsidRPr="006C3FB4">
        <w:rPr>
          <w:rFonts w:asciiTheme="majorBidi" w:hAnsiTheme="majorBidi"/>
          <w:b/>
          <w:bCs/>
          <w:color w:val="auto"/>
          <w:sz w:val="24"/>
          <w:szCs w:val="24"/>
          <w:u w:val="single"/>
        </w:rPr>
        <w:t>L’historique de la gestion budgétaire</w:t>
      </w:r>
      <w:r w:rsidR="006C3FB4" w:rsidRPr="006C3FB4">
        <w:rPr>
          <w:rFonts w:asciiTheme="majorBidi" w:hAnsiTheme="majorBidi"/>
          <w:b/>
          <w:bCs/>
          <w:color w:val="auto"/>
          <w:sz w:val="24"/>
          <w:szCs w:val="24"/>
          <w:u w:val="single"/>
        </w:rPr>
        <w:t xml:space="preserve"> :</w:t>
      </w:r>
      <w:bookmarkEnd w:id="85"/>
    </w:p>
    <w:p w14:paraId="14DC12B3" w14:textId="77777777" w:rsidR="00E038EA" w:rsidRPr="004224FB" w:rsidRDefault="00E038EA" w:rsidP="00AE3850">
      <w:pPr>
        <w:spacing w:line="360" w:lineRule="auto"/>
        <w:ind w:firstLine="708"/>
        <w:jc w:val="both"/>
        <w:rPr>
          <w:rFonts w:asciiTheme="majorBidi" w:hAnsiTheme="majorBidi" w:cstheme="majorBidi"/>
        </w:rPr>
      </w:pPr>
      <w:r w:rsidRPr="004224FB">
        <w:rPr>
          <w:rFonts w:asciiTheme="majorBidi" w:hAnsiTheme="majorBidi" w:cstheme="majorBidi"/>
          <w:color w:val="000000"/>
        </w:rPr>
        <w:t>Le terme « budget » trouve son origine dans l'ancien français « bougette », signifiant une petite bourse ou sacoche utilisée pour transporter de l'argent ou des effets personnels1. Au Moyen Âge, la « bougette » désignait spécifiquement la bourse contenant les écus des marchands lors de leurs déplacements, symbolisant ainsi la préparation financière nécessaire pour entreprendre un voyage ou une activité commerciale. Cette notion illustre l'alliance entre l'esprit d'entreprise et la prévoyance financière.</w:t>
      </w:r>
    </w:p>
    <w:p w14:paraId="59C62914" w14:textId="77777777" w:rsidR="00E038EA" w:rsidRPr="004224FB" w:rsidRDefault="00E038EA" w:rsidP="00AE3850">
      <w:pPr>
        <w:spacing w:line="360" w:lineRule="auto"/>
        <w:ind w:firstLine="708"/>
        <w:jc w:val="both"/>
        <w:rPr>
          <w:rFonts w:asciiTheme="majorBidi" w:hAnsiTheme="majorBidi" w:cstheme="majorBidi"/>
        </w:rPr>
      </w:pPr>
      <w:r w:rsidRPr="004224FB">
        <w:rPr>
          <w:rFonts w:asciiTheme="majorBidi" w:hAnsiTheme="majorBidi" w:cstheme="majorBidi"/>
          <w:color w:val="000000"/>
        </w:rPr>
        <w:t>Le terme a été adopté par les Anglais pour désigner le sac dans lequel le chancelier de l'Échiquier présentait au Parlement les comptes et pièces justificatives, prenant progressivement le sens actuel de « budget ». Cette évolution reflète l'importance croissante de la planification et du contrôle des ressources financières dans les institutions parlementaires</w:t>
      </w:r>
    </w:p>
    <w:p w14:paraId="2222CC1E" w14:textId="77777777" w:rsidR="00E038EA" w:rsidRPr="004224FB" w:rsidRDefault="00E038EA" w:rsidP="00AE3850">
      <w:pPr>
        <w:spacing w:line="360" w:lineRule="auto"/>
        <w:ind w:firstLine="708"/>
        <w:jc w:val="both"/>
        <w:rPr>
          <w:rFonts w:asciiTheme="majorBidi" w:hAnsiTheme="majorBidi" w:cstheme="majorBidi"/>
        </w:rPr>
      </w:pPr>
      <w:r w:rsidRPr="004224FB">
        <w:rPr>
          <w:rFonts w:asciiTheme="majorBidi" w:hAnsiTheme="majorBidi" w:cstheme="majorBidi"/>
          <w:color w:val="000000"/>
        </w:rPr>
        <w:t>Au début du XXᵉ siècle, avec l'essor des grandes entreprises confrontées à des défis de décentralisation, de coordination et de contrôle, la procédure budgétaire a été transposée dans le secteur privé pour répondre aux besoins internes de gestion. Le budget est ainsi devenu un instrument essentiel du contrôle de gestion, facilitant la prévision, la coordination et le contrôle des ressources en fonction des objectifs stratégiques de l'organisation.</w:t>
      </w:r>
    </w:p>
    <w:p w14:paraId="2BFD6B4C" w14:textId="77777777" w:rsidR="00E038EA" w:rsidRPr="004224FB" w:rsidRDefault="00E038EA" w:rsidP="00AE3850">
      <w:pPr>
        <w:spacing w:line="360" w:lineRule="auto"/>
        <w:ind w:firstLine="708"/>
        <w:jc w:val="both"/>
        <w:rPr>
          <w:rFonts w:asciiTheme="majorBidi" w:hAnsiTheme="majorBidi" w:cstheme="majorBidi"/>
        </w:rPr>
      </w:pPr>
      <w:r w:rsidRPr="004224FB">
        <w:rPr>
          <w:rFonts w:asciiTheme="majorBidi" w:hAnsiTheme="majorBidi" w:cstheme="majorBidi"/>
          <w:color w:val="000000"/>
        </w:rPr>
        <w:t>Cette évolution historique souligne l'importance du budget en tant qu'outil de gestion financière, indispensable pour assurer une allocation optimale des ressources et la réalisation des objectifs organisationnels.</w:t>
      </w:r>
      <w:r w:rsidRPr="004224FB">
        <w:rPr>
          <w:rStyle w:val="Appelnotedebasdep"/>
          <w:rFonts w:asciiTheme="majorBidi" w:hAnsiTheme="majorBidi" w:cstheme="majorBidi"/>
          <w:color w:val="000000"/>
        </w:rPr>
        <w:footnoteReference w:id="16"/>
      </w:r>
    </w:p>
    <w:p w14:paraId="340A18A1" w14:textId="77777777" w:rsidR="00E038EA" w:rsidRPr="004224FB" w:rsidRDefault="00E038EA" w:rsidP="00AE3850">
      <w:pPr>
        <w:spacing w:line="360" w:lineRule="auto"/>
        <w:jc w:val="both"/>
        <w:rPr>
          <w:rFonts w:asciiTheme="majorBidi" w:eastAsia="Times New Roman" w:hAnsiTheme="majorBidi" w:cstheme="majorBidi"/>
          <w:lang w:eastAsia="fr-FR"/>
        </w:rPr>
      </w:pPr>
    </w:p>
    <w:p w14:paraId="025FA00D" w14:textId="77777777" w:rsidR="00E038EA" w:rsidRPr="004224FB" w:rsidRDefault="00E038EA" w:rsidP="00AE3850">
      <w:pPr>
        <w:spacing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lang w:eastAsia="fr-FR"/>
        </w:rPr>
        <w:br w:type="page"/>
      </w:r>
    </w:p>
    <w:p w14:paraId="298BB1BF" w14:textId="1748DDC6" w:rsidR="00E038EA" w:rsidRPr="006C3FB4" w:rsidRDefault="00E038EA" w:rsidP="00C13671">
      <w:pPr>
        <w:pStyle w:val="Titre3"/>
        <w:numPr>
          <w:ilvl w:val="0"/>
          <w:numId w:val="98"/>
        </w:numPr>
        <w:spacing w:line="360" w:lineRule="auto"/>
        <w:jc w:val="both"/>
        <w:rPr>
          <w:rFonts w:asciiTheme="majorBidi" w:hAnsiTheme="majorBidi"/>
          <w:b/>
          <w:bCs/>
          <w:color w:val="auto"/>
          <w:sz w:val="24"/>
          <w:szCs w:val="24"/>
          <w:u w:val="single"/>
          <w:lang w:eastAsia="fr-FR"/>
        </w:rPr>
      </w:pPr>
      <w:bookmarkStart w:id="86" w:name="_Toc199314404"/>
      <w:r w:rsidRPr="006C3FB4">
        <w:rPr>
          <w:rFonts w:asciiTheme="majorBidi" w:hAnsiTheme="majorBidi"/>
          <w:b/>
          <w:bCs/>
          <w:color w:val="auto"/>
          <w:sz w:val="24"/>
          <w:szCs w:val="24"/>
          <w:u w:val="single"/>
          <w:lang w:eastAsia="fr-FR"/>
        </w:rPr>
        <w:lastRenderedPageBreak/>
        <w:t>Objectifs et rôles de la gestion budgétaire</w:t>
      </w:r>
      <w:r w:rsidR="006C3FB4" w:rsidRPr="006C3FB4">
        <w:rPr>
          <w:rFonts w:asciiTheme="majorBidi" w:hAnsiTheme="majorBidi"/>
          <w:b/>
          <w:bCs/>
          <w:color w:val="auto"/>
          <w:sz w:val="24"/>
          <w:szCs w:val="24"/>
          <w:u w:val="single"/>
          <w:lang w:eastAsia="fr-FR"/>
        </w:rPr>
        <w:t xml:space="preserve"> :</w:t>
      </w:r>
      <w:bookmarkEnd w:id="86"/>
    </w:p>
    <w:p w14:paraId="6F2EA781" w14:textId="6C87E56C" w:rsidR="00E038EA" w:rsidRPr="006C3FB4" w:rsidRDefault="00E038EA" w:rsidP="00C13671">
      <w:pPr>
        <w:pStyle w:val="Paragraphedeliste"/>
        <w:numPr>
          <w:ilvl w:val="0"/>
          <w:numId w:val="99"/>
        </w:numPr>
        <w:spacing w:after="200" w:line="360" w:lineRule="auto"/>
        <w:jc w:val="both"/>
        <w:rPr>
          <w:rFonts w:asciiTheme="majorBidi" w:eastAsia="Times New Roman" w:hAnsiTheme="majorBidi" w:cstheme="majorBidi"/>
          <w:b/>
          <w:bCs/>
          <w:color w:val="000000"/>
          <w:lang w:eastAsia="fr-FR"/>
        </w:rPr>
      </w:pPr>
      <w:bookmarkStart w:id="87" w:name="_Toc199314405"/>
      <w:r w:rsidRPr="006C3FB4">
        <w:rPr>
          <w:rStyle w:val="Titre4Car"/>
          <w:rFonts w:asciiTheme="majorBidi" w:hAnsiTheme="majorBidi"/>
          <w:b/>
          <w:bCs/>
          <w:i w:val="0"/>
          <w:iCs w:val="0"/>
          <w:color w:val="auto"/>
          <w:u w:val="single"/>
        </w:rPr>
        <w:t>Objectifs de la gestion budgétaire</w:t>
      </w:r>
      <w:r w:rsidR="006C3FB4" w:rsidRPr="006C3FB4">
        <w:rPr>
          <w:rStyle w:val="Titre4Car"/>
          <w:rFonts w:asciiTheme="majorBidi" w:hAnsiTheme="majorBidi"/>
          <w:b/>
          <w:bCs/>
          <w:i w:val="0"/>
          <w:iCs w:val="0"/>
          <w:color w:val="auto"/>
          <w:u w:val="single"/>
        </w:rPr>
        <w:t xml:space="preserve"> :</w:t>
      </w:r>
      <w:bookmarkEnd w:id="87"/>
      <w:r w:rsidR="006C3FB4" w:rsidRPr="006C3FB4">
        <w:rPr>
          <w:rFonts w:asciiTheme="majorBidi" w:eastAsia="Times New Roman" w:hAnsiTheme="majorBidi" w:cstheme="majorBidi"/>
          <w:b/>
          <w:bCs/>
          <w:i/>
          <w:iCs/>
          <w:u w:val="single"/>
          <w:lang w:eastAsia="fr-FR"/>
        </w:rPr>
        <w:t xml:space="preserve"> </w:t>
      </w:r>
      <w:r w:rsidRPr="004224FB">
        <w:rPr>
          <w:rStyle w:val="Appelnotedebasdep"/>
          <w:rFonts w:asciiTheme="majorBidi" w:eastAsia="Times New Roman" w:hAnsiTheme="majorBidi" w:cstheme="majorBidi"/>
          <w:b/>
          <w:bCs/>
          <w:color w:val="000000"/>
          <w:lang w:eastAsia="fr-FR"/>
        </w:rPr>
        <w:footnoteReference w:id="17"/>
      </w:r>
    </w:p>
    <w:p w14:paraId="6BDCFCC4" w14:textId="77777777" w:rsidR="00E038EA" w:rsidRPr="004224FB" w:rsidRDefault="00E038EA" w:rsidP="00C13671">
      <w:pPr>
        <w:pStyle w:val="Paragraphedeliste"/>
        <w:numPr>
          <w:ilvl w:val="0"/>
          <w:numId w:val="12"/>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Conduit à la mise en place d’un réseau de budgets couvrant toutes les activités de l’entreprise. </w:t>
      </w:r>
    </w:p>
    <w:p w14:paraId="17D9E39E" w14:textId="77777777" w:rsidR="00E038EA" w:rsidRPr="004224FB" w:rsidRDefault="00E038EA" w:rsidP="00C13671">
      <w:pPr>
        <w:pStyle w:val="Paragraphedeliste"/>
        <w:numPr>
          <w:ilvl w:val="0"/>
          <w:numId w:val="12"/>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Permet une meilleure connaissance des atouts et faiblesses de l’entreprise et, par l’anticipation sur les réalisations, d’améliorer la réactivité de l’entreprise.</w:t>
      </w:r>
    </w:p>
    <w:p w14:paraId="1CFDD3FB" w14:textId="77777777" w:rsidR="00E038EA" w:rsidRPr="004224FB" w:rsidRDefault="00E038EA" w:rsidP="00C13671">
      <w:pPr>
        <w:pStyle w:val="Paragraphedeliste"/>
        <w:numPr>
          <w:ilvl w:val="0"/>
          <w:numId w:val="1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xml:space="preserve">Assure une certaine sécurité, des prévisions à court terme et améliorer la rentabilité en augmentent le profit par le processus du contrôle entre la réalisation et la prévision. </w:t>
      </w:r>
    </w:p>
    <w:p w14:paraId="50BA04C5" w14:textId="77777777" w:rsidR="00E038EA" w:rsidRPr="004224FB" w:rsidRDefault="00E038EA" w:rsidP="00C13671">
      <w:pPr>
        <w:pStyle w:val="Paragraphedeliste"/>
        <w:numPr>
          <w:ilvl w:val="0"/>
          <w:numId w:val="12"/>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Permet de traduire, sous forme chiffrée, la cohérence des prévisions ; équilibre de la trésorerie, rentabilité de l’exploitation (compte de résultat prévisionnel), équilibre financier (bilan prévisionnel).</w:t>
      </w:r>
    </w:p>
    <w:p w14:paraId="0B55E970" w14:textId="77777777" w:rsidR="00E038EA" w:rsidRPr="004224FB" w:rsidRDefault="00E038EA" w:rsidP="00C13671">
      <w:pPr>
        <w:pStyle w:val="Paragraphedeliste"/>
        <w:numPr>
          <w:ilvl w:val="0"/>
          <w:numId w:val="12"/>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Aide à la prise des décisions stratégiques et opérationnelles. </w:t>
      </w:r>
    </w:p>
    <w:p w14:paraId="79E9286E" w14:textId="77777777" w:rsidR="00E038EA" w:rsidRPr="004224FB" w:rsidRDefault="00E038EA" w:rsidP="00C13671">
      <w:pPr>
        <w:pStyle w:val="Paragraphedeliste"/>
        <w:numPr>
          <w:ilvl w:val="0"/>
          <w:numId w:val="12"/>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Responsabilise et engage les personnels opérationnels. </w:t>
      </w:r>
    </w:p>
    <w:p w14:paraId="00C0ED64" w14:textId="77777777" w:rsidR="00E038EA" w:rsidRPr="004224FB" w:rsidRDefault="00E038EA" w:rsidP="00C13671">
      <w:pPr>
        <w:pStyle w:val="Paragraphedeliste"/>
        <w:numPr>
          <w:ilvl w:val="0"/>
          <w:numId w:val="12"/>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Force à la coordination des actions.</w:t>
      </w:r>
    </w:p>
    <w:p w14:paraId="045FB853" w14:textId="77777777" w:rsidR="00E038EA" w:rsidRPr="004224FB" w:rsidRDefault="00E038EA" w:rsidP="00C13671">
      <w:pPr>
        <w:pStyle w:val="Paragraphedeliste"/>
        <w:numPr>
          <w:ilvl w:val="0"/>
          <w:numId w:val="12"/>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Améliore les performances économiques de l’entreprise.</w:t>
      </w:r>
    </w:p>
    <w:p w14:paraId="672EF4F5" w14:textId="77777777" w:rsidR="00E038EA" w:rsidRPr="004224FB" w:rsidRDefault="00E038EA" w:rsidP="00C13671">
      <w:pPr>
        <w:pStyle w:val="Paragraphedeliste"/>
        <w:numPr>
          <w:ilvl w:val="0"/>
          <w:numId w:val="12"/>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Oriente les compétences et les comportements.</w:t>
      </w:r>
    </w:p>
    <w:p w14:paraId="16DB3933" w14:textId="56C6808A" w:rsidR="00E038EA" w:rsidRPr="006C3FB4" w:rsidRDefault="00E038EA" w:rsidP="00C13671">
      <w:pPr>
        <w:pStyle w:val="Paragraphedeliste"/>
        <w:numPr>
          <w:ilvl w:val="0"/>
          <w:numId w:val="12"/>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xml:space="preserve">Trouve des solutions aux problèmes des planifications des coordinations et d’évaluations rencontrées au sein de l’entreprise. </w:t>
      </w:r>
    </w:p>
    <w:p w14:paraId="22E67D8A" w14:textId="77777777" w:rsidR="006C3FB4" w:rsidRPr="006C3FB4" w:rsidRDefault="006C3FB4" w:rsidP="00C13671">
      <w:pPr>
        <w:pStyle w:val="Paragraphedeliste"/>
        <w:numPr>
          <w:ilvl w:val="0"/>
          <w:numId w:val="12"/>
        </w:numPr>
        <w:spacing w:after="200" w:line="360" w:lineRule="auto"/>
        <w:jc w:val="both"/>
        <w:rPr>
          <w:rFonts w:asciiTheme="majorBidi" w:eastAsia="Times New Roman" w:hAnsiTheme="majorBidi" w:cstheme="majorBidi"/>
          <w:lang w:eastAsia="fr-FR"/>
        </w:rPr>
      </w:pPr>
    </w:p>
    <w:p w14:paraId="732E0941" w14:textId="48BA756E" w:rsidR="00E038EA" w:rsidRPr="006C3FB4" w:rsidRDefault="00E038EA" w:rsidP="00C13671">
      <w:pPr>
        <w:pStyle w:val="Titre4"/>
        <w:numPr>
          <w:ilvl w:val="0"/>
          <w:numId w:val="99"/>
        </w:numPr>
        <w:spacing w:line="360" w:lineRule="auto"/>
        <w:jc w:val="both"/>
        <w:rPr>
          <w:rFonts w:asciiTheme="majorBidi" w:hAnsiTheme="majorBidi"/>
          <w:b/>
          <w:bCs/>
          <w:i w:val="0"/>
          <w:iCs w:val="0"/>
          <w:color w:val="auto"/>
          <w:u w:val="single"/>
          <w:lang w:eastAsia="fr-FR"/>
        </w:rPr>
      </w:pPr>
      <w:bookmarkStart w:id="88" w:name="_Toc199314406"/>
      <w:r w:rsidRPr="006C3FB4">
        <w:rPr>
          <w:rFonts w:asciiTheme="majorBidi" w:hAnsiTheme="majorBidi"/>
          <w:b/>
          <w:bCs/>
          <w:i w:val="0"/>
          <w:iCs w:val="0"/>
          <w:color w:val="auto"/>
          <w:u w:val="single"/>
          <w:lang w:eastAsia="fr-FR"/>
        </w:rPr>
        <w:t>Les rôles de la gestion budgétaire</w:t>
      </w:r>
      <w:r w:rsidR="006C3FB4" w:rsidRPr="006C3FB4">
        <w:rPr>
          <w:rFonts w:asciiTheme="majorBidi" w:hAnsiTheme="majorBidi"/>
          <w:b/>
          <w:bCs/>
          <w:i w:val="0"/>
          <w:iCs w:val="0"/>
          <w:color w:val="auto"/>
          <w:u w:val="single"/>
          <w:lang w:eastAsia="fr-FR"/>
        </w:rPr>
        <w:t xml:space="preserve"> :</w:t>
      </w:r>
      <w:bookmarkEnd w:id="88"/>
    </w:p>
    <w:p w14:paraId="4825F780" w14:textId="77777777" w:rsidR="00E038EA" w:rsidRPr="004224FB" w:rsidRDefault="00E038EA" w:rsidP="00AE3850">
      <w:pPr>
        <w:spacing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xml:space="preserve"> La gestion budgétaire joue</w:t>
      </w:r>
      <w:r w:rsidRPr="004224FB">
        <w:rPr>
          <w:rStyle w:val="Appelnotedebasdep"/>
          <w:rFonts w:asciiTheme="majorBidi" w:eastAsia="Times New Roman" w:hAnsiTheme="majorBidi" w:cstheme="majorBidi"/>
          <w:color w:val="000000"/>
          <w:lang w:eastAsia="fr-FR"/>
        </w:rPr>
        <w:footnoteReference w:id="18"/>
      </w:r>
      <w:r w:rsidRPr="004224FB">
        <w:rPr>
          <w:rFonts w:asciiTheme="majorBidi" w:eastAsia="Times New Roman" w:hAnsiTheme="majorBidi" w:cstheme="majorBidi"/>
          <w:color w:val="000000"/>
          <w:lang w:eastAsia="fr-FR"/>
        </w:rPr>
        <w:t> :</w:t>
      </w:r>
    </w:p>
    <w:p w14:paraId="7394D11F" w14:textId="77777777" w:rsidR="00E038EA" w:rsidRPr="004224FB" w:rsidRDefault="00E038EA" w:rsidP="00C13671">
      <w:pPr>
        <w:pStyle w:val="Paragraphedeliste"/>
        <w:numPr>
          <w:ilvl w:val="0"/>
          <w:numId w:val="13"/>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b/>
          <w:bCs/>
          <w:color w:val="000000"/>
          <w:lang w:eastAsia="fr-FR"/>
        </w:rPr>
        <w:t>Un rôle de coordination</w:t>
      </w:r>
      <w:r w:rsidRPr="004224FB">
        <w:rPr>
          <w:rFonts w:asciiTheme="majorBidi" w:eastAsia="Times New Roman" w:hAnsiTheme="majorBidi" w:cstheme="majorBidi"/>
          <w:color w:val="000000"/>
          <w:lang w:eastAsia="fr-FR"/>
        </w:rPr>
        <w:t xml:space="preserve"> des différents sous-systèmes puisque le réseau des budgets s’étend à tous les aspects de l’entreprise, tant commercial, productif, que financier. Il permet une consolidation des actions chiffrées dans le budget général et la présentation de documents de synthèse prévisionnels cohérents avec le plan opérationnel défini plus haut.</w:t>
      </w:r>
    </w:p>
    <w:p w14:paraId="2F279A7C" w14:textId="77777777" w:rsidR="00E038EA" w:rsidRPr="00893D59" w:rsidRDefault="00E038EA" w:rsidP="00C13671">
      <w:pPr>
        <w:pStyle w:val="Paragraphedeliste"/>
        <w:numPr>
          <w:ilvl w:val="0"/>
          <w:numId w:val="13"/>
        </w:numPr>
        <w:spacing w:after="200" w:line="360" w:lineRule="auto"/>
        <w:jc w:val="both"/>
        <w:rPr>
          <w:rFonts w:asciiTheme="majorBidi" w:hAnsiTheme="majorBidi" w:cstheme="majorBidi"/>
          <w:b/>
          <w:bCs/>
        </w:rPr>
      </w:pPr>
      <w:r w:rsidRPr="00893D59">
        <w:rPr>
          <w:rFonts w:asciiTheme="majorBidi" w:eastAsia="Times New Roman" w:hAnsiTheme="majorBidi" w:cstheme="majorBidi"/>
          <w:b/>
          <w:bCs/>
          <w:color w:val="000000"/>
          <w:lang w:eastAsia="fr-FR"/>
        </w:rPr>
        <w:t>Un rôle de simulation</w:t>
      </w:r>
      <w:r w:rsidRPr="00893D59">
        <w:rPr>
          <w:rFonts w:asciiTheme="majorBidi" w:eastAsia="Times New Roman" w:hAnsiTheme="majorBidi" w:cstheme="majorBidi"/>
          <w:color w:val="000000"/>
          <w:lang w:eastAsia="fr-FR"/>
        </w:rPr>
        <w:t xml:space="preserve"> rendu possible par l’informatisation des procédures d’élaboration des budgets, qui permet de tester plusieurs hypothèses de budgétisation. Cet aspect revêt de plus en plus d’importance face à l’incertitude et à la complexité des marchés actuels. </w:t>
      </w:r>
      <w:r w:rsidRPr="00893D59">
        <w:rPr>
          <w:rFonts w:asciiTheme="majorBidi" w:eastAsia="Times New Roman" w:hAnsiTheme="majorBidi" w:cstheme="majorBidi"/>
          <w:color w:val="000000"/>
          <w:lang w:eastAsia="fr-FR"/>
        </w:rPr>
        <w:lastRenderedPageBreak/>
        <w:t>L’informatique permet une gestion prévisionnelle en temps réel et un réajustement possible des budgets en cas de besoin. La gestion budgétaire ne remplira ces rôles que dans la mesure où le réseau des budgets couvre toute l’activité de l’entreprise et respecte l’interaction existante entre les sous-ensembles qui la constituent.</w:t>
      </w:r>
    </w:p>
    <w:p w14:paraId="1D5E4337" w14:textId="77777777" w:rsidR="00E038EA" w:rsidRPr="00893D59" w:rsidRDefault="00E038EA" w:rsidP="00AE3850">
      <w:pPr>
        <w:pStyle w:val="Paragraphedeliste"/>
        <w:spacing w:line="360" w:lineRule="auto"/>
        <w:ind w:left="360"/>
        <w:jc w:val="both"/>
        <w:rPr>
          <w:rFonts w:asciiTheme="majorBidi" w:hAnsiTheme="majorBidi" w:cstheme="majorBidi"/>
          <w:b/>
          <w:bCs/>
        </w:rPr>
      </w:pPr>
    </w:p>
    <w:p w14:paraId="4445695A" w14:textId="7D8BA407" w:rsidR="00E038EA" w:rsidRPr="006C3FB4" w:rsidRDefault="00E038EA" w:rsidP="00C13671">
      <w:pPr>
        <w:pStyle w:val="Titre3"/>
        <w:numPr>
          <w:ilvl w:val="0"/>
          <w:numId w:val="98"/>
        </w:numPr>
        <w:spacing w:line="360" w:lineRule="auto"/>
        <w:jc w:val="both"/>
        <w:rPr>
          <w:rFonts w:asciiTheme="majorBidi" w:hAnsiTheme="majorBidi"/>
          <w:b/>
          <w:bCs/>
          <w:color w:val="auto"/>
          <w:sz w:val="24"/>
          <w:szCs w:val="24"/>
          <w:u w:val="single"/>
        </w:rPr>
      </w:pPr>
      <w:bookmarkStart w:id="89" w:name="_Toc199314407"/>
      <w:r w:rsidRPr="006C3FB4">
        <w:rPr>
          <w:rFonts w:asciiTheme="majorBidi" w:hAnsiTheme="majorBidi"/>
          <w:b/>
          <w:bCs/>
          <w:color w:val="auto"/>
          <w:sz w:val="24"/>
          <w:szCs w:val="24"/>
          <w:u w:val="single"/>
        </w:rPr>
        <w:t>La démarche de la gestion budgétaire</w:t>
      </w:r>
      <w:r w:rsidR="006C3FB4">
        <w:rPr>
          <w:rFonts w:asciiTheme="majorBidi" w:hAnsiTheme="majorBidi"/>
          <w:b/>
          <w:bCs/>
          <w:color w:val="auto"/>
          <w:sz w:val="24"/>
          <w:szCs w:val="24"/>
          <w:u w:val="single"/>
        </w:rPr>
        <w:t xml:space="preserve"> :</w:t>
      </w:r>
      <w:bookmarkEnd w:id="89"/>
    </w:p>
    <w:p w14:paraId="35E76967" w14:textId="77777777" w:rsidR="00E038EA" w:rsidRPr="004224FB" w:rsidRDefault="00E038EA" w:rsidP="00AE3850">
      <w:pPr>
        <w:spacing w:line="360" w:lineRule="auto"/>
        <w:ind w:firstLine="708"/>
        <w:jc w:val="both"/>
        <w:rPr>
          <w:rFonts w:asciiTheme="majorBidi" w:hAnsiTheme="majorBidi" w:cstheme="majorBidi"/>
          <w:color w:val="000000"/>
        </w:rPr>
      </w:pPr>
      <w:r w:rsidRPr="004224FB">
        <w:rPr>
          <w:rFonts w:asciiTheme="majorBidi" w:hAnsiTheme="majorBidi" w:cstheme="majorBidi"/>
          <w:color w:val="000000"/>
        </w:rPr>
        <w:t>La démarche budgétaire consiste à établir les programmes d’action chiffrée à court terme qui sont les budgets, elle détermine les différentes étapes de la gestion budgétaire. Cette démarche s’articule nettement autour de trois grandes phases suivantes : les prévisions, la budgétisation et le contrôle budgétaire.</w:t>
      </w:r>
    </w:p>
    <w:p w14:paraId="6C47DB2A" w14:textId="4BC9B47A" w:rsidR="00730ADC" w:rsidRPr="00730ADC" w:rsidRDefault="00730ADC" w:rsidP="00AE3850">
      <w:pPr>
        <w:pStyle w:val="Lgende"/>
        <w:keepNext/>
        <w:spacing w:line="360" w:lineRule="auto"/>
        <w:jc w:val="both"/>
        <w:rPr>
          <w:rFonts w:asciiTheme="majorBidi" w:hAnsiTheme="majorBidi" w:cstheme="majorBidi"/>
          <w:b/>
          <w:bCs/>
          <w:i w:val="0"/>
          <w:iCs w:val="0"/>
          <w:color w:val="auto"/>
          <w:sz w:val="24"/>
          <w:szCs w:val="24"/>
        </w:rPr>
      </w:pPr>
      <w:bookmarkStart w:id="90" w:name="_Toc199314761"/>
      <w:r w:rsidRPr="00730ADC">
        <w:rPr>
          <w:rFonts w:asciiTheme="majorBidi" w:hAnsiTheme="majorBidi" w:cstheme="majorBidi"/>
          <w:b/>
          <w:bCs/>
          <w:i w:val="0"/>
          <w:iCs w:val="0"/>
          <w:color w:val="auto"/>
          <w:sz w:val="24"/>
          <w:szCs w:val="24"/>
        </w:rPr>
        <w:t xml:space="preserve">Figure N°1- </w:t>
      </w:r>
      <w:r w:rsidRPr="00730ADC">
        <w:rPr>
          <w:rFonts w:asciiTheme="majorBidi" w:hAnsiTheme="majorBidi" w:cstheme="majorBidi"/>
          <w:b/>
          <w:bCs/>
          <w:i w:val="0"/>
          <w:iCs w:val="0"/>
          <w:color w:val="auto"/>
          <w:sz w:val="24"/>
          <w:szCs w:val="24"/>
        </w:rPr>
        <w:fldChar w:fldCharType="begin"/>
      </w:r>
      <w:r w:rsidRPr="00730ADC">
        <w:rPr>
          <w:rFonts w:asciiTheme="majorBidi" w:hAnsiTheme="majorBidi" w:cstheme="majorBidi"/>
          <w:b/>
          <w:bCs/>
          <w:i w:val="0"/>
          <w:iCs w:val="0"/>
          <w:color w:val="auto"/>
          <w:sz w:val="24"/>
          <w:szCs w:val="24"/>
        </w:rPr>
        <w:instrText xml:space="preserve"> SEQ Figure_N°1- \* ARABIC </w:instrText>
      </w:r>
      <w:r w:rsidRPr="00730ADC">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4</w:t>
      </w:r>
      <w:r w:rsidRPr="00730ADC">
        <w:rPr>
          <w:rFonts w:asciiTheme="majorBidi" w:hAnsiTheme="majorBidi" w:cstheme="majorBidi"/>
          <w:b/>
          <w:bCs/>
          <w:i w:val="0"/>
          <w:iCs w:val="0"/>
          <w:color w:val="auto"/>
          <w:sz w:val="24"/>
          <w:szCs w:val="24"/>
        </w:rPr>
        <w:fldChar w:fldCharType="end"/>
      </w:r>
      <w:r w:rsidRPr="00730ADC">
        <w:rPr>
          <w:rFonts w:asciiTheme="majorBidi" w:hAnsiTheme="majorBidi" w:cstheme="majorBidi"/>
          <w:b/>
          <w:bCs/>
          <w:i w:val="0"/>
          <w:iCs w:val="0"/>
          <w:color w:val="auto"/>
          <w:sz w:val="24"/>
          <w:szCs w:val="24"/>
        </w:rPr>
        <w:t>: la démarche de la gestion budgétaire</w:t>
      </w:r>
      <w:bookmarkEnd w:id="90"/>
    </w:p>
    <w:p w14:paraId="286F96E7"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noProof/>
          <w:lang w:eastAsia="fr-FR"/>
        </w:rPr>
        <w:drawing>
          <wp:inline distT="0" distB="0" distL="0" distR="0" wp14:anchorId="4D562129" wp14:editId="7C4302EC">
            <wp:extent cx="5760720" cy="908685"/>
            <wp:effectExtent l="0" t="0" r="0" b="5715"/>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e d’écran 2025-03-26 163928.png"/>
                    <pic:cNvPicPr/>
                  </pic:nvPicPr>
                  <pic:blipFill>
                    <a:blip r:embed="rId20">
                      <a:extLst>
                        <a:ext uri="{28A0092B-C50C-407E-A947-70E740481C1C}">
                          <a14:useLocalDpi xmlns:a14="http://schemas.microsoft.com/office/drawing/2010/main" val="0"/>
                        </a:ext>
                      </a:extLst>
                    </a:blip>
                    <a:stretch>
                      <a:fillRect/>
                    </a:stretch>
                  </pic:blipFill>
                  <pic:spPr>
                    <a:xfrm>
                      <a:off x="0" y="0"/>
                      <a:ext cx="5760720" cy="908685"/>
                    </a:xfrm>
                    <a:prstGeom prst="rect">
                      <a:avLst/>
                    </a:prstGeom>
                  </pic:spPr>
                </pic:pic>
              </a:graphicData>
            </a:graphic>
          </wp:inline>
        </w:drawing>
      </w:r>
    </w:p>
    <w:p w14:paraId="5BFCDC34" w14:textId="77777777" w:rsidR="00E038EA" w:rsidRPr="004224FB" w:rsidRDefault="00E038EA" w:rsidP="00AE3850">
      <w:pPr>
        <w:spacing w:line="360" w:lineRule="auto"/>
        <w:jc w:val="both"/>
        <w:rPr>
          <w:rFonts w:asciiTheme="majorBidi" w:hAnsiTheme="majorBidi" w:cstheme="majorBidi"/>
          <w:b/>
          <w:bCs/>
        </w:rPr>
      </w:pPr>
      <w:r w:rsidRPr="004224FB">
        <w:rPr>
          <w:rFonts w:asciiTheme="majorBidi" w:hAnsiTheme="majorBidi" w:cstheme="majorBidi"/>
          <w:b/>
          <w:bCs/>
        </w:rPr>
        <w:t>Source : M. BOUCHAMA IMAD ; la gestion budgetaire au sein d’une entreprise ; EHEC ; kolea ; Alger ;2013.</w:t>
      </w:r>
    </w:p>
    <w:p w14:paraId="0E98B140" w14:textId="77777777" w:rsidR="00E038EA" w:rsidRPr="004224FB" w:rsidRDefault="00E038EA" w:rsidP="00AE3850">
      <w:pPr>
        <w:spacing w:line="360" w:lineRule="auto"/>
        <w:jc w:val="both"/>
        <w:rPr>
          <w:rFonts w:asciiTheme="majorBidi" w:hAnsiTheme="majorBidi" w:cstheme="majorBidi"/>
          <w:b/>
          <w:bCs/>
        </w:rPr>
      </w:pPr>
    </w:p>
    <w:p w14:paraId="12D4AF7B" w14:textId="7C980D7F" w:rsidR="00E038EA" w:rsidRPr="00730ADC" w:rsidRDefault="00E038EA" w:rsidP="00C13671">
      <w:pPr>
        <w:pStyle w:val="Titre4"/>
        <w:numPr>
          <w:ilvl w:val="0"/>
          <w:numId w:val="100"/>
        </w:numPr>
        <w:spacing w:line="360" w:lineRule="auto"/>
        <w:jc w:val="both"/>
        <w:rPr>
          <w:rFonts w:asciiTheme="majorBidi" w:hAnsiTheme="majorBidi"/>
          <w:b/>
          <w:bCs/>
          <w:i w:val="0"/>
          <w:iCs w:val="0"/>
          <w:color w:val="auto"/>
          <w:u w:val="single"/>
          <w:lang w:eastAsia="fr-FR"/>
        </w:rPr>
      </w:pPr>
      <w:bookmarkStart w:id="91" w:name="_Toc199314408"/>
      <w:r w:rsidRPr="00730ADC">
        <w:rPr>
          <w:rFonts w:asciiTheme="majorBidi" w:hAnsiTheme="majorBidi"/>
          <w:b/>
          <w:bCs/>
          <w:i w:val="0"/>
          <w:iCs w:val="0"/>
          <w:color w:val="auto"/>
          <w:u w:val="single"/>
          <w:lang w:eastAsia="fr-FR"/>
        </w:rPr>
        <w:t>Les prévisions </w:t>
      </w:r>
      <w:r w:rsidR="00730ADC">
        <w:rPr>
          <w:rFonts w:asciiTheme="majorBidi" w:hAnsiTheme="majorBidi"/>
          <w:b/>
          <w:bCs/>
          <w:i w:val="0"/>
          <w:iCs w:val="0"/>
          <w:color w:val="auto"/>
          <w:u w:val="single"/>
          <w:lang w:eastAsia="fr-FR"/>
        </w:rPr>
        <w:t>:</w:t>
      </w:r>
      <w:bookmarkEnd w:id="91"/>
    </w:p>
    <w:p w14:paraId="045CC340" w14:textId="77777777" w:rsidR="00E038EA" w:rsidRPr="004224FB" w:rsidRDefault="00E038EA" w:rsidP="00AE3850">
      <w:pPr>
        <w:spacing w:line="360" w:lineRule="auto"/>
        <w:ind w:firstLine="360"/>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xml:space="preserve">Au sens courant du dictionnaire, prévoir c’est « voir, connaître par avance ». La prévision est l’étude préalable de la décision, possibilité et volonté de l’accomplir. </w:t>
      </w:r>
    </w:p>
    <w:p w14:paraId="75BB1F40" w14:textId="77777777" w:rsidR="00E038EA" w:rsidRPr="004224FB" w:rsidRDefault="00E038EA" w:rsidP="00AE3850">
      <w:pPr>
        <w:spacing w:line="360" w:lineRule="auto"/>
        <w:ind w:firstLine="360"/>
        <w:jc w:val="both"/>
        <w:rPr>
          <w:rFonts w:asciiTheme="majorBidi" w:eastAsia="Times New Roman" w:hAnsiTheme="majorBidi" w:cstheme="majorBidi"/>
          <w:b/>
          <w:bCs/>
          <w:lang w:eastAsia="fr-FR"/>
        </w:rPr>
      </w:pPr>
      <w:r w:rsidRPr="004224FB">
        <w:rPr>
          <w:rFonts w:asciiTheme="majorBidi" w:eastAsia="Times New Roman" w:hAnsiTheme="majorBidi" w:cstheme="majorBidi"/>
          <w:color w:val="000000"/>
          <w:lang w:eastAsia="fr-FR"/>
        </w:rPr>
        <w:t>La démarche prévisionnelle se compose de deux tâches qui sont :</w:t>
      </w:r>
    </w:p>
    <w:p w14:paraId="26AAD283" w14:textId="77777777" w:rsidR="00E038EA" w:rsidRPr="004224FB" w:rsidRDefault="00E038EA" w:rsidP="00C13671">
      <w:pPr>
        <w:pStyle w:val="Paragraphedeliste"/>
        <w:numPr>
          <w:ilvl w:val="0"/>
          <w:numId w:val="14"/>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color w:val="000000"/>
          <w:lang w:eastAsia="fr-FR"/>
        </w:rPr>
        <w:t>La fixation des objectifs de l’entreprise.</w:t>
      </w:r>
    </w:p>
    <w:p w14:paraId="025AB39A" w14:textId="77777777" w:rsidR="00E038EA" w:rsidRPr="004224FB" w:rsidRDefault="00E038EA" w:rsidP="00C13671">
      <w:pPr>
        <w:pStyle w:val="Paragraphedeliste"/>
        <w:numPr>
          <w:ilvl w:val="0"/>
          <w:numId w:val="14"/>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La définition des moyens à engager pour chaque objectif.</w:t>
      </w:r>
      <w:r w:rsidRPr="004224FB">
        <w:rPr>
          <w:rStyle w:val="Appelnotedebasdep"/>
          <w:rFonts w:asciiTheme="majorBidi" w:eastAsia="Times New Roman" w:hAnsiTheme="majorBidi" w:cstheme="majorBidi"/>
          <w:color w:val="000000"/>
          <w:lang w:eastAsia="fr-FR"/>
        </w:rPr>
        <w:footnoteReference w:id="19"/>
      </w:r>
    </w:p>
    <w:p w14:paraId="6CA8BD69" w14:textId="77777777" w:rsidR="00E038EA" w:rsidRPr="004224FB" w:rsidRDefault="00E038EA" w:rsidP="00AE3850">
      <w:pPr>
        <w:spacing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La prévision commence avec la compréhension du passé. Il faut donc chercher à tirer la meilleure information possible des données dont l'entreprise dispose déjà.</w:t>
      </w:r>
      <w:r w:rsidRPr="004224FB">
        <w:rPr>
          <w:rStyle w:val="Appelnotedebasdep"/>
          <w:rFonts w:asciiTheme="majorBidi" w:eastAsia="Times New Roman" w:hAnsiTheme="majorBidi" w:cstheme="majorBidi"/>
          <w:color w:val="000000"/>
          <w:lang w:eastAsia="fr-FR"/>
        </w:rPr>
        <w:footnoteReference w:id="20"/>
      </w:r>
    </w:p>
    <w:p w14:paraId="20775445"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lastRenderedPageBreak/>
        <w:t>Son objectif est de réévaluer l’atterrissage le plus réaliste des résultats financiers. Elle sert de base à la mise en place de plans d’actions en cas de retard par rapport au budget annuel ou éventuellement d’investissements supplémentaires si le budget est dépassé.</w:t>
      </w:r>
      <w:r w:rsidRPr="004224FB">
        <w:rPr>
          <w:rStyle w:val="Appelnotedebasdep"/>
          <w:rFonts w:asciiTheme="majorBidi" w:eastAsia="Times New Roman" w:hAnsiTheme="majorBidi" w:cstheme="majorBidi"/>
          <w:color w:val="000000"/>
          <w:lang w:eastAsia="fr-FR"/>
        </w:rPr>
        <w:footnoteReference w:id="21"/>
      </w:r>
    </w:p>
    <w:p w14:paraId="1CE88D7F" w14:textId="77777777" w:rsidR="00E038EA" w:rsidRDefault="00E038EA" w:rsidP="00AE3850">
      <w:pPr>
        <w:spacing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w:t>
      </w:r>
      <w:r w:rsidRPr="004224FB">
        <w:rPr>
          <w:rFonts w:asciiTheme="majorBidi" w:eastAsia="Times New Roman" w:hAnsiTheme="majorBidi" w:cstheme="majorBidi"/>
          <w:lang w:eastAsia="fr-FR"/>
        </w:rPr>
        <w:tab/>
      </w:r>
      <w:r w:rsidRPr="004224FB">
        <w:rPr>
          <w:rFonts w:asciiTheme="majorBidi" w:eastAsia="Times New Roman" w:hAnsiTheme="majorBidi" w:cstheme="majorBidi"/>
          <w:color w:val="000000"/>
          <w:lang w:eastAsia="fr-FR"/>
        </w:rPr>
        <w:t>Il manquait à ces prévisions un cadre plus global qui indiquerait la direction à suivre et les moyens d’y parvenir : c’est l’objet des plans stratégique et opérationnel. C’est ce réseau de prévisions du long terme au court terme qui est appelé « planification » d’entreprise.</w:t>
      </w:r>
      <w:r w:rsidRPr="004224FB">
        <w:rPr>
          <w:rStyle w:val="Appelnotedebasdep"/>
          <w:rFonts w:asciiTheme="majorBidi" w:eastAsia="Times New Roman" w:hAnsiTheme="majorBidi" w:cstheme="majorBidi"/>
          <w:color w:val="000000"/>
          <w:lang w:eastAsia="fr-FR"/>
        </w:rPr>
        <w:footnoteReference w:id="22"/>
      </w:r>
    </w:p>
    <w:p w14:paraId="2088FDFB"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Dans une entreprise, la planification peut être considérée comme un système de données sur son futur, tel qu’il est « désiré » par les responsables de la direction générale. Elle s’organise comme un ensemble d’informations prévisionnelles regroupées dans des plans à horizon de plus en plus restreint. Dans un processus de planification complet, on dénombre trois niveaux :</w:t>
      </w:r>
    </w:p>
    <w:p w14:paraId="42844C8B" w14:textId="77777777" w:rsidR="00E038EA" w:rsidRPr="004224FB" w:rsidRDefault="00E038EA" w:rsidP="00C13671">
      <w:pPr>
        <w:pStyle w:val="Paragraphedeliste"/>
        <w:numPr>
          <w:ilvl w:val="0"/>
          <w:numId w:val="15"/>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Un plan stratégique.</w:t>
      </w:r>
    </w:p>
    <w:p w14:paraId="68793979" w14:textId="77777777" w:rsidR="00E038EA" w:rsidRPr="004224FB" w:rsidRDefault="00E038EA" w:rsidP="00C13671">
      <w:pPr>
        <w:pStyle w:val="Paragraphedeliste"/>
        <w:numPr>
          <w:ilvl w:val="0"/>
          <w:numId w:val="15"/>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Un plan opérationnel. </w:t>
      </w:r>
    </w:p>
    <w:p w14:paraId="0D9ED404" w14:textId="77777777" w:rsidR="00E038EA" w:rsidRPr="004224FB" w:rsidRDefault="00E038EA" w:rsidP="00C13671">
      <w:pPr>
        <w:pStyle w:val="Paragraphedeliste"/>
        <w:numPr>
          <w:ilvl w:val="0"/>
          <w:numId w:val="15"/>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Un ensemble de budgets qui constitue le cœur de la gestion budgétaire.</w:t>
      </w:r>
    </w:p>
    <w:p w14:paraId="21385700" w14:textId="77777777" w:rsidR="00E038EA" w:rsidRPr="004224FB" w:rsidRDefault="00E038EA" w:rsidP="00AE3850">
      <w:pPr>
        <w:spacing w:line="360" w:lineRule="auto"/>
        <w:jc w:val="both"/>
        <w:rPr>
          <w:rFonts w:asciiTheme="majorBidi" w:eastAsia="Times New Roman" w:hAnsiTheme="majorBidi" w:cstheme="majorBidi"/>
          <w:lang w:eastAsia="fr-FR"/>
        </w:rPr>
      </w:pPr>
    </w:p>
    <w:p w14:paraId="096E61A9" w14:textId="77777777" w:rsidR="00E038EA" w:rsidRPr="004224FB" w:rsidRDefault="00E038EA" w:rsidP="00C13671">
      <w:pPr>
        <w:pStyle w:val="Paragraphedeliste"/>
        <w:numPr>
          <w:ilvl w:val="0"/>
          <w:numId w:val="44"/>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color w:val="000000"/>
          <w:lang w:eastAsia="fr-FR"/>
        </w:rPr>
        <w:t>Le plan stratégique</w:t>
      </w:r>
    </w:p>
    <w:p w14:paraId="6AA54EE2"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plan stratégique reprend les points clés de la stratégie, à savoir : Les marchés/produits/technologies de l’entreprise. </w:t>
      </w:r>
    </w:p>
    <w:p w14:paraId="62D020AC"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Les objectifs de cette dernière : buts quantifiés, par exemple un pourcentage de part de marché…</w:t>
      </w:r>
    </w:p>
    <w:p w14:paraId="658247E4"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Les moyens pour les atteindre : croissance interne, externe, zones géographiques à privilégier… </w:t>
      </w:r>
    </w:p>
    <w:p w14:paraId="520CD4C3"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Il retrace les différentes étapes souhaitées du devenir de l’entreprise. Son horizon se réduit considérablement avec l’impact de la mondialisation : de 5 à 10 ans dans les années 1980, il est, aujourd’hui, très souvent ramené à un horizon de 3-5 ans. </w:t>
      </w:r>
    </w:p>
    <w:p w14:paraId="514B1BFF"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lastRenderedPageBreak/>
        <w:t>Ayant été élaboré à la suite d’une étude précise des forces et des faiblesses actuelles de l’entreprise et de son environnement, le plan stratégique intègre les notions de « souhaitable » et de « possible » dans un ensemble cohérent et réaliste. Sous cet aspect, il se différencie complètement de la prospective, qui imagine le futur, et dont l’horizon est beaucoup plus lointain.</w:t>
      </w:r>
    </w:p>
    <w:p w14:paraId="497DF9B3" w14:textId="77777777" w:rsidR="00E038EA" w:rsidRPr="004224FB" w:rsidRDefault="00E038EA" w:rsidP="00C13671">
      <w:pPr>
        <w:pStyle w:val="Paragraphedeliste"/>
        <w:numPr>
          <w:ilvl w:val="0"/>
          <w:numId w:val="44"/>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color w:val="000000"/>
          <w:lang w:eastAsia="fr-FR"/>
        </w:rPr>
        <w:t>Le plan opérationnel</w:t>
      </w:r>
    </w:p>
    <w:p w14:paraId="00E12FBB"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plan opérationnel est élaboré en accord ou sur proposition des centres de responsabilités. Il représente sur un horizon de deux à trois ans les modalités pratiques de mise en œuvre de la stratégie. Cette programmation s’articule, pour chaque fonction, en :</w:t>
      </w:r>
    </w:p>
    <w:p w14:paraId="59F0DB65" w14:textId="77777777" w:rsidR="00E038EA" w:rsidRPr="004224FB" w:rsidRDefault="00E038EA" w:rsidP="00C13671">
      <w:pPr>
        <w:pStyle w:val="Paragraphedeliste"/>
        <w:numPr>
          <w:ilvl w:val="0"/>
          <w:numId w:val="16"/>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Une planification des actions. </w:t>
      </w:r>
    </w:p>
    <w:p w14:paraId="081D8FF5" w14:textId="77777777" w:rsidR="00E038EA" w:rsidRPr="004224FB" w:rsidRDefault="00E038EA" w:rsidP="00C13671">
      <w:pPr>
        <w:pStyle w:val="Paragraphedeliste"/>
        <w:numPr>
          <w:ilvl w:val="0"/>
          <w:numId w:val="16"/>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Une définition des responsabilités. </w:t>
      </w:r>
    </w:p>
    <w:p w14:paraId="712855E9" w14:textId="77777777" w:rsidR="00E038EA" w:rsidRPr="00893D59" w:rsidRDefault="00E038EA" w:rsidP="00C13671">
      <w:pPr>
        <w:pStyle w:val="Paragraphedeliste"/>
        <w:numPr>
          <w:ilvl w:val="0"/>
          <w:numId w:val="16"/>
        </w:numPr>
        <w:spacing w:after="200" w:line="360" w:lineRule="auto"/>
        <w:jc w:val="both"/>
        <w:rPr>
          <w:rFonts w:asciiTheme="majorBidi" w:eastAsia="Times New Roman" w:hAnsiTheme="majorBidi" w:cstheme="majorBidi"/>
          <w:color w:val="000000"/>
          <w:lang w:eastAsia="fr-FR"/>
        </w:rPr>
      </w:pPr>
      <w:r w:rsidRPr="00893D59">
        <w:rPr>
          <w:rFonts w:asciiTheme="majorBidi" w:eastAsia="Times New Roman" w:hAnsiTheme="majorBidi" w:cstheme="majorBidi"/>
          <w:color w:val="000000"/>
          <w:lang w:eastAsia="fr-FR"/>
        </w:rPr>
        <w:t>Une allocation de moyens financiers, humains et/ou techniques. </w:t>
      </w:r>
    </w:p>
    <w:p w14:paraId="3374B66B"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Il conduit à envisager le futur proche de l’entreprise sous les aspects conjugués de sa viabilité, de sa rentabilité et de son financement. C’est pourquoi il se subdivise, parfois, en plusieurs plans partiels :</w:t>
      </w:r>
    </w:p>
    <w:p w14:paraId="1F86FA91" w14:textId="77777777" w:rsidR="00E038EA" w:rsidRPr="004224FB" w:rsidRDefault="00E038EA" w:rsidP="00C13671">
      <w:pPr>
        <w:pStyle w:val="Paragraphedeliste"/>
        <w:numPr>
          <w:ilvl w:val="0"/>
          <w:numId w:val="17"/>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Plan d’investissement.</w:t>
      </w:r>
    </w:p>
    <w:p w14:paraId="18476266" w14:textId="77777777" w:rsidR="00E038EA" w:rsidRPr="004224FB" w:rsidRDefault="00E038EA" w:rsidP="00C13671">
      <w:pPr>
        <w:pStyle w:val="Paragraphedeliste"/>
        <w:numPr>
          <w:ilvl w:val="0"/>
          <w:numId w:val="17"/>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Plan de financement.</w:t>
      </w:r>
    </w:p>
    <w:p w14:paraId="05968EBE" w14:textId="77777777" w:rsidR="00E038EA" w:rsidRPr="004224FB" w:rsidRDefault="00E038EA" w:rsidP="00C13671">
      <w:pPr>
        <w:pStyle w:val="Paragraphedeliste"/>
        <w:numPr>
          <w:ilvl w:val="0"/>
          <w:numId w:val="17"/>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Documents de synthèse » prévisionnels.</w:t>
      </w:r>
    </w:p>
    <w:p w14:paraId="7BEEBE86" w14:textId="77777777" w:rsidR="00E038EA" w:rsidRPr="004224FB" w:rsidRDefault="00E038EA" w:rsidP="00C13671">
      <w:pPr>
        <w:pStyle w:val="Paragraphedeliste"/>
        <w:numPr>
          <w:ilvl w:val="0"/>
          <w:numId w:val="17"/>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Plan de ressources humaines. </w:t>
      </w:r>
    </w:p>
    <w:p w14:paraId="11102108"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Il constitue un passage obligé entre le plan stratégique et les budgets qui organisent l’activité au présent.</w:t>
      </w:r>
    </w:p>
    <w:p w14:paraId="32CFD73F" w14:textId="77777777" w:rsidR="00E038EA" w:rsidRPr="004224FB" w:rsidRDefault="00E038EA" w:rsidP="00C13671">
      <w:pPr>
        <w:pStyle w:val="Paragraphedeliste"/>
        <w:numPr>
          <w:ilvl w:val="0"/>
          <w:numId w:val="44"/>
        </w:numPr>
        <w:spacing w:after="200" w:line="360" w:lineRule="auto"/>
        <w:jc w:val="both"/>
        <w:rPr>
          <w:rFonts w:asciiTheme="majorBidi" w:eastAsia="Times New Roman" w:hAnsiTheme="majorBidi" w:cstheme="majorBidi"/>
          <w:b/>
          <w:bCs/>
          <w:color w:val="000000"/>
          <w:lang w:eastAsia="fr-FR"/>
        </w:rPr>
      </w:pPr>
      <w:r w:rsidRPr="004224FB">
        <w:rPr>
          <w:rFonts w:asciiTheme="majorBidi" w:eastAsia="Times New Roman" w:hAnsiTheme="majorBidi" w:cstheme="majorBidi"/>
          <w:b/>
          <w:bCs/>
          <w:color w:val="000000"/>
          <w:lang w:eastAsia="fr-FR"/>
        </w:rPr>
        <w:t>L’ensemble des budgets</w:t>
      </w:r>
    </w:p>
    <w:p w14:paraId="6A814D39" w14:textId="77777777" w:rsidR="00E038EA" w:rsidRPr="004224FB"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Dans le cadre de la mise en place des budgets, le contrôle de gestion doit être une aide à la décision dans chaque domaine de la gestion en proposant des outils adaptés aux préoccupations de chacune des fonctions.</w:t>
      </w:r>
      <w:r w:rsidRPr="004224FB">
        <w:rPr>
          <w:rStyle w:val="Appelnotedebasdep"/>
          <w:rFonts w:asciiTheme="majorBidi" w:eastAsia="Times New Roman" w:hAnsiTheme="majorBidi" w:cstheme="majorBidi"/>
          <w:color w:val="000000"/>
          <w:lang w:eastAsia="fr-FR"/>
        </w:rPr>
        <w:footnoteReference w:id="23"/>
      </w:r>
    </w:p>
    <w:p w14:paraId="1EE3648D" w14:textId="090C1551" w:rsidR="000A2D36" w:rsidRPr="000A2D36" w:rsidRDefault="000A2D36" w:rsidP="00AE3850">
      <w:pPr>
        <w:pStyle w:val="Lgende"/>
        <w:keepNext/>
        <w:spacing w:line="360" w:lineRule="auto"/>
        <w:jc w:val="both"/>
        <w:rPr>
          <w:rFonts w:asciiTheme="majorBidi" w:hAnsiTheme="majorBidi" w:cstheme="majorBidi"/>
          <w:b/>
          <w:bCs/>
          <w:i w:val="0"/>
          <w:iCs w:val="0"/>
        </w:rPr>
      </w:pPr>
      <w:bookmarkStart w:id="92" w:name="_Toc199314762"/>
      <w:r w:rsidRPr="000A2D36">
        <w:rPr>
          <w:rFonts w:asciiTheme="majorBidi" w:hAnsiTheme="majorBidi" w:cstheme="majorBidi"/>
          <w:b/>
          <w:bCs/>
          <w:i w:val="0"/>
          <w:iCs w:val="0"/>
          <w:color w:val="auto"/>
          <w:sz w:val="24"/>
          <w:szCs w:val="24"/>
        </w:rPr>
        <w:lastRenderedPageBreak/>
        <w:t xml:space="preserve">Figure N°1- </w:t>
      </w:r>
      <w:r w:rsidRPr="000A2D36">
        <w:rPr>
          <w:rFonts w:asciiTheme="majorBidi" w:hAnsiTheme="majorBidi" w:cstheme="majorBidi"/>
          <w:b/>
          <w:bCs/>
          <w:i w:val="0"/>
          <w:iCs w:val="0"/>
          <w:color w:val="auto"/>
          <w:sz w:val="24"/>
          <w:szCs w:val="24"/>
        </w:rPr>
        <w:fldChar w:fldCharType="begin"/>
      </w:r>
      <w:r w:rsidRPr="000A2D36">
        <w:rPr>
          <w:rFonts w:asciiTheme="majorBidi" w:hAnsiTheme="majorBidi" w:cstheme="majorBidi"/>
          <w:b/>
          <w:bCs/>
          <w:i w:val="0"/>
          <w:iCs w:val="0"/>
          <w:color w:val="auto"/>
          <w:sz w:val="24"/>
          <w:szCs w:val="24"/>
        </w:rPr>
        <w:instrText xml:space="preserve"> SEQ Figure_N°1- \* ARABIC </w:instrText>
      </w:r>
      <w:r w:rsidRPr="000A2D36">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5</w:t>
      </w:r>
      <w:r w:rsidRPr="000A2D36">
        <w:rPr>
          <w:rFonts w:asciiTheme="majorBidi" w:hAnsiTheme="majorBidi" w:cstheme="majorBidi"/>
          <w:b/>
          <w:bCs/>
          <w:i w:val="0"/>
          <w:iCs w:val="0"/>
          <w:color w:val="auto"/>
          <w:sz w:val="24"/>
          <w:szCs w:val="24"/>
        </w:rPr>
        <w:fldChar w:fldCharType="end"/>
      </w:r>
      <w:r w:rsidRPr="000A2D36">
        <w:rPr>
          <w:rFonts w:asciiTheme="majorBidi" w:hAnsiTheme="majorBidi" w:cstheme="majorBidi"/>
          <w:b/>
          <w:bCs/>
          <w:i w:val="0"/>
          <w:iCs w:val="0"/>
          <w:color w:val="auto"/>
          <w:sz w:val="24"/>
          <w:szCs w:val="24"/>
        </w:rPr>
        <w:t>: La planification budgétaire</w:t>
      </w:r>
      <w:bookmarkEnd w:id="92"/>
    </w:p>
    <w:p w14:paraId="7D7C6C87" w14:textId="49792A35" w:rsidR="00E038EA" w:rsidRPr="00893D59" w:rsidRDefault="000A2D36"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noProof/>
          <w:lang w:eastAsia="fr-FR"/>
        </w:rPr>
        <w:drawing>
          <wp:inline distT="0" distB="0" distL="0" distR="0" wp14:anchorId="4854FFC1" wp14:editId="2161EE31">
            <wp:extent cx="5760085" cy="2214245"/>
            <wp:effectExtent l="0" t="0" r="0" b="0"/>
            <wp:docPr id="41" name="Image 41" descr="Une image contenant texte, capture d’écran, Police, diagramm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 41" descr="Une image contenant texte, capture d’écran, Police, diagramme&#10;&#10;Le contenu généré par l’IA peut être incorrect."/>
                    <pic:cNvPicPr/>
                  </pic:nvPicPr>
                  <pic:blipFill>
                    <a:blip r:embed="rId21">
                      <a:extLst>
                        <a:ext uri="{28A0092B-C50C-407E-A947-70E740481C1C}">
                          <a14:useLocalDpi xmlns:a14="http://schemas.microsoft.com/office/drawing/2010/main" val="0"/>
                        </a:ext>
                      </a:extLst>
                    </a:blip>
                    <a:stretch>
                      <a:fillRect/>
                    </a:stretch>
                  </pic:blipFill>
                  <pic:spPr>
                    <a:xfrm>
                      <a:off x="0" y="0"/>
                      <a:ext cx="5760085" cy="2214245"/>
                    </a:xfrm>
                    <a:prstGeom prst="rect">
                      <a:avLst/>
                    </a:prstGeom>
                  </pic:spPr>
                </pic:pic>
              </a:graphicData>
            </a:graphic>
          </wp:inline>
        </w:drawing>
      </w:r>
    </w:p>
    <w:p w14:paraId="533500AE" w14:textId="5593790C" w:rsidR="000A2D36" w:rsidRPr="000A2D36" w:rsidRDefault="00F37459" w:rsidP="00AE3850">
      <w:pPr>
        <w:spacing w:after="200"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t>Source :</w:t>
      </w:r>
      <w:r w:rsidR="000A2D36">
        <w:rPr>
          <w:rFonts w:asciiTheme="majorBidi" w:eastAsia="Times New Roman" w:hAnsiTheme="majorBidi" w:cstheme="majorBidi"/>
          <w:b/>
          <w:bCs/>
          <w:lang w:eastAsia="fr-FR"/>
        </w:rPr>
        <w:t xml:space="preserve"> </w:t>
      </w:r>
      <w:r w:rsidR="000A2D36" w:rsidRPr="000A2D36">
        <w:rPr>
          <w:rFonts w:asciiTheme="majorBidi" w:eastAsia="Times New Roman" w:hAnsiTheme="majorBidi" w:cstheme="majorBidi"/>
          <w:b/>
          <w:bCs/>
          <w:lang w:eastAsia="fr-FR"/>
        </w:rPr>
        <w:t>Henri Bouquin.Op.cit.p28</w:t>
      </w:r>
    </w:p>
    <w:p w14:paraId="295C7BAB" w14:textId="58088950" w:rsidR="00E038EA" w:rsidRPr="000A2D36" w:rsidRDefault="00E038EA" w:rsidP="00C13671">
      <w:pPr>
        <w:pStyle w:val="Titre4"/>
        <w:numPr>
          <w:ilvl w:val="0"/>
          <w:numId w:val="100"/>
        </w:numPr>
        <w:spacing w:line="360" w:lineRule="auto"/>
        <w:jc w:val="both"/>
        <w:rPr>
          <w:rFonts w:asciiTheme="majorBidi" w:hAnsiTheme="majorBidi"/>
          <w:b/>
          <w:bCs/>
          <w:i w:val="0"/>
          <w:iCs w:val="0"/>
          <w:color w:val="auto"/>
          <w:u w:val="single"/>
          <w:lang w:eastAsia="fr-FR"/>
        </w:rPr>
      </w:pPr>
      <w:bookmarkStart w:id="93" w:name="_Toc199314409"/>
      <w:r w:rsidRPr="000A2D36">
        <w:rPr>
          <w:rFonts w:asciiTheme="majorBidi" w:hAnsiTheme="majorBidi"/>
          <w:b/>
          <w:bCs/>
          <w:i w:val="0"/>
          <w:iCs w:val="0"/>
          <w:color w:val="auto"/>
          <w:u w:val="single"/>
          <w:lang w:eastAsia="fr-FR"/>
        </w:rPr>
        <w:t>La budgétisation </w:t>
      </w:r>
      <w:r w:rsidR="000A2D36">
        <w:rPr>
          <w:rFonts w:asciiTheme="majorBidi" w:hAnsiTheme="majorBidi"/>
          <w:b/>
          <w:bCs/>
          <w:i w:val="0"/>
          <w:iCs w:val="0"/>
          <w:color w:val="auto"/>
          <w:u w:val="single"/>
          <w:lang w:eastAsia="fr-FR"/>
        </w:rPr>
        <w:t>:</w:t>
      </w:r>
      <w:bookmarkEnd w:id="93"/>
    </w:p>
    <w:p w14:paraId="5C011614" w14:textId="77777777" w:rsidR="00E038EA" w:rsidRPr="004224FB"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La deuxième étape de la gestion budgétaire : le budget, s’appuie sur un concept répandu, au niveau des collectivités publiques nationales ou locales. La définition la plus générale que l’on puisse en donner est : « prévision d’un ensemble de recettes et de dépenses », ce qui en marque dès l’abord, le caractère financier. Le budget, dans l’entreprise, présente des caractères spécifiques nombreux qui nous amèneront, chemin faisant, à le comparer et à l’opposer au budget de l’Etat.</w:t>
      </w:r>
      <w:r w:rsidRPr="004224FB">
        <w:rPr>
          <w:rStyle w:val="Appelnotedebasdep"/>
          <w:rFonts w:asciiTheme="majorBidi" w:eastAsia="Times New Roman" w:hAnsiTheme="majorBidi" w:cstheme="majorBidi"/>
          <w:color w:val="000000"/>
          <w:lang w:eastAsia="fr-FR"/>
        </w:rPr>
        <w:footnoteReference w:id="24"/>
      </w:r>
      <w:r w:rsidRPr="004224FB">
        <w:rPr>
          <w:rFonts w:asciiTheme="majorBidi" w:eastAsia="Times New Roman" w:hAnsiTheme="majorBidi" w:cstheme="majorBidi"/>
          <w:color w:val="000000"/>
          <w:lang w:eastAsia="fr-FR"/>
        </w:rPr>
        <w:t xml:space="preserve"> </w:t>
      </w:r>
    </w:p>
    <w:p w14:paraId="30B8D7A1" w14:textId="77777777" w:rsidR="00E038EA" w:rsidRPr="004224FB"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Le budget, en effet, est : </w:t>
      </w:r>
    </w:p>
    <w:p w14:paraId="3E351793" w14:textId="77777777" w:rsidR="00E038EA" w:rsidRPr="004224FB" w:rsidRDefault="00E038EA" w:rsidP="00C13671">
      <w:pPr>
        <w:pStyle w:val="Paragraphedeliste"/>
        <w:numPr>
          <w:ilvl w:val="0"/>
          <w:numId w:val="18"/>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Une attribution d’objectifs et de moyens.</w:t>
      </w:r>
    </w:p>
    <w:p w14:paraId="15D64550" w14:textId="77777777" w:rsidR="00E038EA" w:rsidRPr="004224FB" w:rsidRDefault="00E038EA" w:rsidP="00C13671">
      <w:pPr>
        <w:pStyle w:val="Paragraphedeliste"/>
        <w:numPr>
          <w:ilvl w:val="0"/>
          <w:numId w:val="18"/>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Un équilibre microéconomique.</w:t>
      </w:r>
    </w:p>
    <w:p w14:paraId="582DB88C" w14:textId="77777777" w:rsidR="00E038EA" w:rsidRPr="004224FB" w:rsidRDefault="00E038EA" w:rsidP="00C13671">
      <w:pPr>
        <w:pStyle w:val="Paragraphedeliste"/>
        <w:numPr>
          <w:ilvl w:val="0"/>
          <w:numId w:val="18"/>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Une attribution de responsabilités.</w:t>
      </w:r>
    </w:p>
    <w:p w14:paraId="6D0DAC52" w14:textId="77777777" w:rsidR="00E038EA" w:rsidRPr="004224FB" w:rsidRDefault="00E038EA" w:rsidP="00C13671">
      <w:pPr>
        <w:pStyle w:val="Paragraphedeliste"/>
        <w:numPr>
          <w:ilvl w:val="0"/>
          <w:numId w:val="18"/>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Un reflet de l’évolution économique. </w:t>
      </w:r>
    </w:p>
    <w:p w14:paraId="4098C159" w14:textId="77777777" w:rsidR="00E038EA" w:rsidRPr="004224FB" w:rsidRDefault="00E038EA" w:rsidP="00AE3850">
      <w:pPr>
        <w:spacing w:line="360" w:lineRule="auto"/>
        <w:ind w:firstLine="360"/>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La budgétisation, consiste à élaborer tous les budgets, en partant des deux budgets déterminants, ventes et production, pour aboutir à l’articulation complète dans le budget général.</w:t>
      </w:r>
      <w:r w:rsidRPr="004224FB">
        <w:rPr>
          <w:rStyle w:val="Appelnotedebasdep"/>
          <w:rFonts w:asciiTheme="majorBidi" w:eastAsia="Times New Roman" w:hAnsiTheme="majorBidi" w:cstheme="majorBidi"/>
          <w:color w:val="000000"/>
          <w:lang w:eastAsia="fr-FR"/>
        </w:rPr>
        <w:footnoteReference w:id="25"/>
      </w:r>
      <w:r w:rsidRPr="004224FB">
        <w:rPr>
          <w:rFonts w:asciiTheme="majorBidi" w:eastAsia="Times New Roman" w:hAnsiTheme="majorBidi" w:cstheme="majorBidi"/>
          <w:color w:val="000000"/>
          <w:lang w:eastAsia="fr-FR"/>
        </w:rPr>
        <w:t xml:space="preserve"> </w:t>
      </w:r>
    </w:p>
    <w:p w14:paraId="3F3E3B0A" w14:textId="77777777" w:rsidR="00E038EA" w:rsidRPr="004224FB" w:rsidRDefault="00E038EA" w:rsidP="00AE3850">
      <w:pPr>
        <w:spacing w:line="360" w:lineRule="auto"/>
        <w:ind w:firstLine="360"/>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lastRenderedPageBreak/>
        <w:t>Elle est souvent annuelle et relève d’un processus itératif assurant la cohérence des objectifs et des moyens mis en œuvre par les différents centres de l’entreprise.</w:t>
      </w:r>
    </w:p>
    <w:p w14:paraId="516BC1F4" w14:textId="65F5A7CF" w:rsidR="00E038EA" w:rsidRPr="000A2D36" w:rsidRDefault="00E038EA" w:rsidP="00C13671">
      <w:pPr>
        <w:pStyle w:val="Titre5"/>
        <w:numPr>
          <w:ilvl w:val="0"/>
          <w:numId w:val="101"/>
        </w:numPr>
        <w:spacing w:line="360" w:lineRule="auto"/>
        <w:jc w:val="both"/>
        <w:rPr>
          <w:rFonts w:asciiTheme="majorBidi" w:hAnsiTheme="majorBidi"/>
          <w:b/>
          <w:bCs/>
          <w:color w:val="auto"/>
          <w:u w:val="single"/>
          <w:lang w:eastAsia="fr-FR"/>
        </w:rPr>
      </w:pPr>
      <w:bookmarkStart w:id="94" w:name="_Toc199314410"/>
      <w:r w:rsidRPr="000A2D36">
        <w:rPr>
          <w:rFonts w:asciiTheme="majorBidi" w:hAnsiTheme="majorBidi"/>
          <w:b/>
          <w:bCs/>
          <w:color w:val="auto"/>
          <w:u w:val="single"/>
          <w:lang w:eastAsia="fr-FR"/>
        </w:rPr>
        <w:t>Définition du budget</w:t>
      </w:r>
      <w:r w:rsidR="000A2D36">
        <w:rPr>
          <w:rFonts w:asciiTheme="majorBidi" w:hAnsiTheme="majorBidi"/>
          <w:b/>
          <w:bCs/>
          <w:color w:val="auto"/>
          <w:u w:val="single"/>
          <w:lang w:eastAsia="fr-FR"/>
        </w:rPr>
        <w:t xml:space="preserve"> :</w:t>
      </w:r>
      <w:bookmarkEnd w:id="94"/>
    </w:p>
    <w:p w14:paraId="2DFC86E2"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budget peut être définit comme « un plan coordonné d’action financière pour l’entreprise ».</w:t>
      </w:r>
      <w:r w:rsidRPr="004224FB">
        <w:rPr>
          <w:rStyle w:val="Appelnotedebasdep"/>
          <w:rFonts w:asciiTheme="majorBidi" w:eastAsia="Times New Roman" w:hAnsiTheme="majorBidi" w:cstheme="majorBidi"/>
          <w:color w:val="000000"/>
          <w:lang w:eastAsia="fr-FR"/>
        </w:rPr>
        <w:footnoteReference w:id="26"/>
      </w:r>
    </w:p>
    <w:p w14:paraId="4BCF4C64"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Selon Henri BOUQUIN, les budgets sont l’expression comptable et financière des plans d’action retenus pour que les objectifs visés et les moyens disponibles sur le court terme convergent vers les buts à long terme de l’organisation.</w:t>
      </w:r>
      <w:r w:rsidRPr="004224FB">
        <w:rPr>
          <w:rStyle w:val="Appelnotedebasdep"/>
          <w:rFonts w:asciiTheme="majorBidi" w:eastAsia="Times New Roman" w:hAnsiTheme="majorBidi" w:cstheme="majorBidi"/>
          <w:color w:val="000000"/>
          <w:lang w:eastAsia="fr-FR"/>
        </w:rPr>
        <w:footnoteReference w:id="27"/>
      </w:r>
      <w:r w:rsidRPr="004224FB">
        <w:rPr>
          <w:rFonts w:asciiTheme="majorBidi" w:eastAsia="Times New Roman" w:hAnsiTheme="majorBidi" w:cstheme="majorBidi"/>
          <w:color w:val="000000"/>
          <w:lang w:eastAsia="fr-FR"/>
        </w:rPr>
        <w:t> </w:t>
      </w:r>
    </w:p>
    <w:p w14:paraId="6AB26C52" w14:textId="1C339355"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Selon Michel GERVAIS</w:t>
      </w:r>
      <w:r w:rsidR="000A2D36">
        <w:rPr>
          <w:rFonts w:asciiTheme="majorBidi" w:eastAsia="Times New Roman" w:hAnsiTheme="majorBidi" w:cstheme="majorBidi"/>
          <w:color w:val="000000"/>
          <w:lang w:eastAsia="fr-FR"/>
        </w:rPr>
        <w:t xml:space="preserve"> </w:t>
      </w:r>
      <w:r w:rsidRPr="004224FB">
        <w:rPr>
          <w:rFonts w:asciiTheme="majorBidi" w:eastAsia="Times New Roman" w:hAnsiTheme="majorBidi" w:cstheme="majorBidi"/>
          <w:color w:val="000000"/>
          <w:lang w:eastAsia="fr-FR"/>
        </w:rPr>
        <w:t>: Le budget est : « Une simple prévision valorisée si l’optique est de faire de la simulation, mais plan à court terme chiffré comportant affectation de ressources et assignation de responsabilités si l’optique est de contrôler les responsabilités déléguées ».</w:t>
      </w:r>
      <w:r w:rsidRPr="004224FB">
        <w:rPr>
          <w:rStyle w:val="Appelnotedebasdep"/>
          <w:rFonts w:asciiTheme="majorBidi" w:eastAsia="Times New Roman" w:hAnsiTheme="majorBidi" w:cstheme="majorBidi"/>
          <w:color w:val="000000"/>
          <w:lang w:eastAsia="fr-FR"/>
        </w:rPr>
        <w:footnoteReference w:id="28"/>
      </w:r>
    </w:p>
    <w:p w14:paraId="59F27761"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Les budgets, souvent annuels, sont détaillés par périodes plus courtes (mois) afin de repérer et analyser les écarts selon une périodicité adaptée à la durée du cycle de production et de procéder efficacement aux régulations qui s’imposent.</w:t>
      </w:r>
      <w:r w:rsidRPr="004224FB">
        <w:rPr>
          <w:rStyle w:val="Appelnotedebasdep"/>
          <w:rFonts w:asciiTheme="majorBidi" w:eastAsia="Times New Roman" w:hAnsiTheme="majorBidi" w:cstheme="majorBidi"/>
          <w:color w:val="000000"/>
          <w:lang w:eastAsia="fr-FR"/>
        </w:rPr>
        <w:footnoteReference w:id="29"/>
      </w:r>
    </w:p>
    <w:p w14:paraId="45DAAC2A" w14:textId="77777777" w:rsidR="00E038EA" w:rsidRPr="004224FB" w:rsidRDefault="00E038EA" w:rsidP="00AE3850">
      <w:pPr>
        <w:spacing w:line="360" w:lineRule="auto"/>
        <w:jc w:val="both"/>
        <w:rPr>
          <w:rFonts w:asciiTheme="majorBidi" w:eastAsia="Times New Roman" w:hAnsiTheme="majorBidi" w:cstheme="majorBidi"/>
          <w:lang w:eastAsia="fr-FR"/>
        </w:rPr>
      </w:pPr>
    </w:p>
    <w:p w14:paraId="710B9E9F" w14:textId="4F1A641E" w:rsidR="00E038EA" w:rsidRPr="000A2D36" w:rsidRDefault="00E038EA" w:rsidP="00C13671">
      <w:pPr>
        <w:pStyle w:val="Titre5"/>
        <w:numPr>
          <w:ilvl w:val="0"/>
          <w:numId w:val="101"/>
        </w:numPr>
        <w:spacing w:line="360" w:lineRule="auto"/>
        <w:jc w:val="both"/>
        <w:rPr>
          <w:rFonts w:asciiTheme="majorBidi" w:hAnsiTheme="majorBidi"/>
          <w:b/>
          <w:bCs/>
          <w:color w:val="auto"/>
          <w:u w:val="single"/>
          <w:lang w:eastAsia="fr-FR"/>
        </w:rPr>
      </w:pPr>
      <w:bookmarkStart w:id="95" w:name="_Toc199314411"/>
      <w:r w:rsidRPr="000A2D36">
        <w:rPr>
          <w:rFonts w:asciiTheme="majorBidi" w:hAnsiTheme="majorBidi"/>
          <w:b/>
          <w:bCs/>
          <w:color w:val="auto"/>
          <w:u w:val="single"/>
          <w:lang w:eastAsia="fr-FR"/>
        </w:rPr>
        <w:t>Les rôles du budget</w:t>
      </w:r>
      <w:r w:rsidR="000A2D36" w:rsidRPr="000A2D36">
        <w:rPr>
          <w:rFonts w:asciiTheme="majorBidi" w:hAnsiTheme="majorBidi"/>
          <w:b/>
          <w:bCs/>
          <w:color w:val="auto"/>
          <w:u w:val="single"/>
          <w:lang w:eastAsia="fr-FR"/>
        </w:rPr>
        <w:t xml:space="preserve"> :</w:t>
      </w:r>
      <w:bookmarkEnd w:id="95"/>
    </w:p>
    <w:p w14:paraId="65D13205" w14:textId="77777777" w:rsidR="00E038EA" w:rsidRPr="004224FB"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Divers rôles sont attribués au budget. Anthony résume les finalités du budget et du processus de préparation budgétaire en cinq points (Anthony 1988)</w:t>
      </w:r>
      <w:r w:rsidRPr="004224FB">
        <w:rPr>
          <w:rStyle w:val="Appelnotedebasdep"/>
          <w:rFonts w:asciiTheme="majorBidi" w:eastAsia="Times New Roman" w:hAnsiTheme="majorBidi" w:cstheme="majorBidi"/>
          <w:color w:val="000000"/>
          <w:lang w:eastAsia="fr-FR"/>
        </w:rPr>
        <w:footnoteReference w:id="30"/>
      </w:r>
      <w:r w:rsidRPr="004224FB">
        <w:rPr>
          <w:rFonts w:asciiTheme="majorBidi" w:eastAsia="Times New Roman" w:hAnsiTheme="majorBidi" w:cstheme="majorBidi"/>
          <w:color w:val="000000"/>
          <w:lang w:eastAsia="fr-FR"/>
        </w:rPr>
        <w:t xml:space="preserve"> : </w:t>
      </w:r>
    </w:p>
    <w:p w14:paraId="2578D830" w14:textId="77777777" w:rsidR="00E038EA" w:rsidRPr="004224FB" w:rsidRDefault="00E038EA" w:rsidP="00C13671">
      <w:pPr>
        <w:pStyle w:val="Paragraphedeliste"/>
        <w:numPr>
          <w:ilvl w:val="0"/>
          <w:numId w:val="19"/>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Outil de planification : Permet d’anticiper les ressources et les dépenses pour atteindre les objectifs fixés.</w:t>
      </w:r>
    </w:p>
    <w:p w14:paraId="280A7245" w14:textId="77777777" w:rsidR="00E038EA" w:rsidRPr="004224FB" w:rsidRDefault="00E038EA" w:rsidP="00C13671">
      <w:pPr>
        <w:pStyle w:val="Paragraphedeliste"/>
        <w:numPr>
          <w:ilvl w:val="0"/>
          <w:numId w:val="19"/>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Instrument de contrôle : Assure le suivi et l’évaluation des écarts entre les prévisions et les réalisations.</w:t>
      </w:r>
    </w:p>
    <w:p w14:paraId="33CE89D3" w14:textId="77777777" w:rsidR="00E038EA" w:rsidRPr="004224FB" w:rsidRDefault="00E038EA" w:rsidP="00C13671">
      <w:pPr>
        <w:pStyle w:val="Paragraphedeliste"/>
        <w:numPr>
          <w:ilvl w:val="0"/>
          <w:numId w:val="19"/>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Moyen de coordination : Favorise la cohérence entre les différentes fonctions et départements d’une organisation.</w:t>
      </w:r>
    </w:p>
    <w:p w14:paraId="158A2571" w14:textId="77777777" w:rsidR="00E038EA" w:rsidRPr="004224FB" w:rsidRDefault="00E038EA" w:rsidP="00C13671">
      <w:pPr>
        <w:pStyle w:val="Paragraphedeliste"/>
        <w:numPr>
          <w:ilvl w:val="0"/>
          <w:numId w:val="19"/>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lastRenderedPageBreak/>
        <w:t>Support à la prise de décision : Aide les dirigeants à allouer efficacement les ressources et à ajuster les stratégies.</w:t>
      </w:r>
    </w:p>
    <w:p w14:paraId="6FCB25F5" w14:textId="77777777" w:rsidR="00E038EA" w:rsidRPr="004224FB" w:rsidRDefault="00E038EA" w:rsidP="00C13671">
      <w:pPr>
        <w:pStyle w:val="Paragraphedeliste"/>
        <w:numPr>
          <w:ilvl w:val="0"/>
          <w:numId w:val="19"/>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Outil de motivation : Encourage les équipes à atteindre les objectifs grâce à des indicateurs de performance budgétaires.</w:t>
      </w:r>
    </w:p>
    <w:p w14:paraId="5F7C13E6" w14:textId="77777777" w:rsidR="00E038EA" w:rsidRPr="001E179B" w:rsidRDefault="00E038EA" w:rsidP="00C13671">
      <w:pPr>
        <w:pStyle w:val="Paragraphedeliste"/>
        <w:numPr>
          <w:ilvl w:val="0"/>
          <w:numId w:val="19"/>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Cadre de responsabilité : Délimite les engagements financiers et les responsabilités des gestionnaires.</w:t>
      </w:r>
    </w:p>
    <w:p w14:paraId="7951109A" w14:textId="77777777" w:rsidR="001E179B" w:rsidRPr="001E179B" w:rsidRDefault="001E179B" w:rsidP="00AE3850">
      <w:pPr>
        <w:spacing w:after="200" w:line="360" w:lineRule="auto"/>
        <w:jc w:val="both"/>
        <w:rPr>
          <w:rFonts w:asciiTheme="majorBidi" w:eastAsia="Times New Roman" w:hAnsiTheme="majorBidi" w:cstheme="majorBidi"/>
          <w:lang w:eastAsia="fr-FR"/>
        </w:rPr>
      </w:pPr>
    </w:p>
    <w:p w14:paraId="36144DF9" w14:textId="277078B5" w:rsidR="00E038EA" w:rsidRPr="000A2D36" w:rsidRDefault="00E038EA" w:rsidP="00C13671">
      <w:pPr>
        <w:pStyle w:val="Titre5"/>
        <w:numPr>
          <w:ilvl w:val="0"/>
          <w:numId w:val="101"/>
        </w:numPr>
        <w:spacing w:line="360" w:lineRule="auto"/>
        <w:jc w:val="both"/>
        <w:rPr>
          <w:rFonts w:asciiTheme="majorBidi" w:hAnsiTheme="majorBidi"/>
          <w:b/>
          <w:bCs/>
          <w:color w:val="auto"/>
          <w:u w:val="single"/>
        </w:rPr>
      </w:pPr>
      <w:bookmarkStart w:id="96" w:name="_Toc199314412"/>
      <w:r w:rsidRPr="000A2D36">
        <w:rPr>
          <w:rFonts w:asciiTheme="majorBidi" w:hAnsiTheme="majorBidi"/>
          <w:b/>
          <w:bCs/>
          <w:color w:val="auto"/>
          <w:u w:val="single"/>
        </w:rPr>
        <w:t>Typologie du budget</w:t>
      </w:r>
      <w:r w:rsidR="000A2D36" w:rsidRPr="000A2D36">
        <w:rPr>
          <w:rFonts w:asciiTheme="majorBidi" w:hAnsiTheme="majorBidi"/>
          <w:b/>
          <w:bCs/>
          <w:color w:val="auto"/>
          <w:u w:val="single"/>
        </w:rPr>
        <w:t xml:space="preserve"> :</w:t>
      </w:r>
      <w:bookmarkEnd w:id="96"/>
    </w:p>
    <w:p w14:paraId="4400271E" w14:textId="77777777" w:rsidR="00E038EA" w:rsidRDefault="00E038EA" w:rsidP="00AE3850">
      <w:pPr>
        <w:spacing w:line="360" w:lineRule="auto"/>
        <w:ind w:firstLine="708"/>
        <w:jc w:val="both"/>
        <w:rPr>
          <w:rFonts w:asciiTheme="majorBidi" w:hAnsiTheme="majorBidi" w:cstheme="majorBidi"/>
          <w:color w:val="000000"/>
        </w:rPr>
      </w:pPr>
      <w:r w:rsidRPr="004224FB">
        <w:rPr>
          <w:rFonts w:asciiTheme="majorBidi" w:hAnsiTheme="majorBidi" w:cstheme="majorBidi"/>
          <w:color w:val="000000"/>
        </w:rPr>
        <w:t xml:space="preserve">D’une manière générale les budgets dépendent étroitement de la structure et de l’organisation de l’entreprise, ils sont dépendants les uns des autres ; c’est pourquoi avant de les élaborer on doit tenir compte de cet état de dépendance ; qui dit dépendance dit hiérarchie, il y a par conséquence hiérarchie des budgets qui détermine les types de budget. </w:t>
      </w:r>
    </w:p>
    <w:p w14:paraId="7E4AFAE1" w14:textId="1D877364" w:rsidR="003F1B79" w:rsidRDefault="003F1B79" w:rsidP="003F1B79">
      <w:pPr>
        <w:spacing w:line="360" w:lineRule="auto"/>
        <w:jc w:val="both"/>
        <w:rPr>
          <w:rFonts w:asciiTheme="majorBidi" w:hAnsiTheme="majorBidi" w:cstheme="majorBidi"/>
          <w:color w:val="000000"/>
        </w:rPr>
      </w:pPr>
      <w:r>
        <w:rPr>
          <w:rFonts w:asciiTheme="majorBidi" w:hAnsiTheme="majorBidi" w:cstheme="majorBidi"/>
          <w:color w:val="000000"/>
        </w:rPr>
        <w:t xml:space="preserve">   </w:t>
      </w:r>
      <w:r w:rsidRPr="004224FB">
        <w:rPr>
          <w:rFonts w:asciiTheme="majorBidi" w:hAnsiTheme="majorBidi" w:cstheme="majorBidi"/>
          <w:color w:val="000000"/>
        </w:rPr>
        <w:t>Le schéma ci-dessus démontre les différents types de budgets, nous allons évoquer de ce qui suit la définition de chacun</w:t>
      </w:r>
      <w:r>
        <w:rPr>
          <w:rFonts w:asciiTheme="majorBidi" w:hAnsiTheme="majorBidi" w:cstheme="majorBidi"/>
          <w:color w:val="000000"/>
        </w:rPr>
        <w:t>.</w:t>
      </w:r>
    </w:p>
    <w:p w14:paraId="00E67C37" w14:textId="77777777" w:rsidR="001E179B" w:rsidRPr="004224FB" w:rsidRDefault="001E179B" w:rsidP="00AE3850">
      <w:pPr>
        <w:spacing w:line="360" w:lineRule="auto"/>
        <w:ind w:firstLine="708"/>
        <w:jc w:val="both"/>
        <w:rPr>
          <w:rFonts w:asciiTheme="majorBidi" w:hAnsiTheme="majorBidi" w:cstheme="majorBidi"/>
        </w:rPr>
      </w:pPr>
    </w:p>
    <w:p w14:paraId="59594243" w14:textId="0EB59EE0" w:rsidR="000A2D36" w:rsidRPr="000A2D36" w:rsidRDefault="000A2D36" w:rsidP="00AE3850">
      <w:pPr>
        <w:pStyle w:val="Lgende"/>
        <w:keepNext/>
        <w:spacing w:line="360" w:lineRule="auto"/>
        <w:jc w:val="both"/>
        <w:rPr>
          <w:rFonts w:asciiTheme="majorBidi" w:hAnsiTheme="majorBidi" w:cstheme="majorBidi"/>
          <w:b/>
          <w:bCs/>
          <w:i w:val="0"/>
          <w:iCs w:val="0"/>
          <w:color w:val="auto"/>
          <w:sz w:val="24"/>
          <w:szCs w:val="24"/>
        </w:rPr>
      </w:pPr>
      <w:bookmarkStart w:id="97" w:name="_Toc199314763"/>
      <w:r w:rsidRPr="000A2D36">
        <w:rPr>
          <w:rFonts w:asciiTheme="majorBidi" w:hAnsiTheme="majorBidi" w:cstheme="majorBidi"/>
          <w:b/>
          <w:bCs/>
          <w:i w:val="0"/>
          <w:iCs w:val="0"/>
          <w:color w:val="auto"/>
          <w:sz w:val="24"/>
          <w:szCs w:val="24"/>
        </w:rPr>
        <w:t xml:space="preserve">Figure N°1- </w:t>
      </w:r>
      <w:r w:rsidRPr="000A2D36">
        <w:rPr>
          <w:rFonts w:asciiTheme="majorBidi" w:hAnsiTheme="majorBidi" w:cstheme="majorBidi"/>
          <w:b/>
          <w:bCs/>
          <w:i w:val="0"/>
          <w:iCs w:val="0"/>
          <w:color w:val="auto"/>
          <w:sz w:val="24"/>
          <w:szCs w:val="24"/>
        </w:rPr>
        <w:fldChar w:fldCharType="begin"/>
      </w:r>
      <w:r w:rsidRPr="000A2D36">
        <w:rPr>
          <w:rFonts w:asciiTheme="majorBidi" w:hAnsiTheme="majorBidi" w:cstheme="majorBidi"/>
          <w:b/>
          <w:bCs/>
          <w:i w:val="0"/>
          <w:iCs w:val="0"/>
          <w:color w:val="auto"/>
          <w:sz w:val="24"/>
          <w:szCs w:val="24"/>
        </w:rPr>
        <w:instrText xml:space="preserve"> SEQ Figure_N°1- \* ARABIC </w:instrText>
      </w:r>
      <w:r w:rsidRPr="000A2D36">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6</w:t>
      </w:r>
      <w:r w:rsidRPr="000A2D36">
        <w:rPr>
          <w:rFonts w:asciiTheme="majorBidi" w:hAnsiTheme="majorBidi" w:cstheme="majorBidi"/>
          <w:b/>
          <w:bCs/>
          <w:i w:val="0"/>
          <w:iCs w:val="0"/>
          <w:color w:val="auto"/>
          <w:sz w:val="24"/>
          <w:szCs w:val="24"/>
        </w:rPr>
        <w:fldChar w:fldCharType="end"/>
      </w:r>
      <w:r w:rsidRPr="000A2D36">
        <w:rPr>
          <w:rFonts w:asciiTheme="majorBidi" w:hAnsiTheme="majorBidi" w:cstheme="majorBidi"/>
          <w:b/>
          <w:bCs/>
          <w:i w:val="0"/>
          <w:iCs w:val="0"/>
          <w:color w:val="auto"/>
          <w:sz w:val="24"/>
          <w:szCs w:val="24"/>
        </w:rPr>
        <w:t>: La hiérarchie budgétaire</w:t>
      </w:r>
      <w:bookmarkEnd w:id="97"/>
    </w:p>
    <w:p w14:paraId="54E985AF" w14:textId="699E9B48" w:rsidR="00E038EA" w:rsidRPr="004224FB" w:rsidRDefault="000A2D36" w:rsidP="00AE3850">
      <w:pPr>
        <w:spacing w:line="360" w:lineRule="auto"/>
        <w:jc w:val="both"/>
        <w:rPr>
          <w:rFonts w:asciiTheme="majorBidi" w:hAnsiTheme="majorBidi" w:cstheme="majorBidi"/>
        </w:rPr>
      </w:pPr>
      <w:r>
        <w:rPr>
          <w:rFonts w:asciiTheme="majorBidi" w:hAnsiTheme="majorBidi" w:cstheme="majorBidi"/>
          <w:noProof/>
          <w:lang w:eastAsia="fr-FR"/>
        </w:rPr>
        <w:drawing>
          <wp:inline distT="0" distB="0" distL="0" distR="0" wp14:anchorId="04B80608" wp14:editId="284A9A62">
            <wp:extent cx="5105662" cy="2622685"/>
            <wp:effectExtent l="0" t="0" r="0" b="6350"/>
            <wp:docPr id="42" name="Image 42" descr="Une image contenant texte, diagramme, ligne, capture d’écr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 42" descr="Une image contenant texte, diagramme, ligne, capture d’écran&#10;&#10;Le contenu généré par l’IA peut être incorrect."/>
                    <pic:cNvPicPr/>
                  </pic:nvPicPr>
                  <pic:blipFill>
                    <a:blip r:embed="rId22">
                      <a:extLst>
                        <a:ext uri="{28A0092B-C50C-407E-A947-70E740481C1C}">
                          <a14:useLocalDpi xmlns:a14="http://schemas.microsoft.com/office/drawing/2010/main" val="0"/>
                        </a:ext>
                      </a:extLst>
                    </a:blip>
                    <a:stretch>
                      <a:fillRect/>
                    </a:stretch>
                  </pic:blipFill>
                  <pic:spPr>
                    <a:xfrm>
                      <a:off x="0" y="0"/>
                      <a:ext cx="5105662" cy="2622685"/>
                    </a:xfrm>
                    <a:prstGeom prst="rect">
                      <a:avLst/>
                    </a:prstGeom>
                  </pic:spPr>
                </pic:pic>
              </a:graphicData>
            </a:graphic>
          </wp:inline>
        </w:drawing>
      </w:r>
    </w:p>
    <w:p w14:paraId="6E669D5B" w14:textId="54716120" w:rsidR="001E179B" w:rsidRDefault="000A2D36" w:rsidP="00AE3850">
      <w:pPr>
        <w:spacing w:line="360" w:lineRule="auto"/>
        <w:jc w:val="both"/>
        <w:rPr>
          <w:rFonts w:asciiTheme="majorBidi" w:hAnsiTheme="majorBidi" w:cstheme="majorBidi"/>
          <w:color w:val="000000"/>
        </w:rPr>
      </w:pPr>
      <w:r w:rsidRPr="000A2D36">
        <w:rPr>
          <w:rFonts w:asciiTheme="majorBidi" w:hAnsiTheme="majorBidi" w:cstheme="majorBidi"/>
          <w:b/>
          <w:bCs/>
        </w:rPr>
        <w:t>Source : BRIGITTE DORIATH.Op.cit.p2</w:t>
      </w:r>
    </w:p>
    <w:p w14:paraId="1657E8F0" w14:textId="77777777" w:rsidR="003F1B79" w:rsidRPr="004224FB" w:rsidRDefault="003F1B79" w:rsidP="00AE3850">
      <w:pPr>
        <w:spacing w:line="360" w:lineRule="auto"/>
        <w:ind w:firstLine="708"/>
        <w:jc w:val="both"/>
        <w:rPr>
          <w:rFonts w:asciiTheme="majorBidi" w:hAnsiTheme="majorBidi" w:cstheme="majorBidi"/>
          <w:color w:val="000000"/>
        </w:rPr>
      </w:pPr>
    </w:p>
    <w:p w14:paraId="1599466E" w14:textId="77777777" w:rsidR="00E038EA" w:rsidRPr="004224FB" w:rsidRDefault="00E038EA" w:rsidP="00C13671">
      <w:pPr>
        <w:pStyle w:val="Paragraphedeliste"/>
        <w:numPr>
          <w:ilvl w:val="0"/>
          <w:numId w:val="45"/>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color w:val="000000"/>
          <w:lang w:eastAsia="fr-FR"/>
        </w:rPr>
        <w:lastRenderedPageBreak/>
        <w:t>Le budget des ventes</w:t>
      </w:r>
    </w:p>
    <w:p w14:paraId="342F9B91"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budget des ventes constitue la pièce maîtresse de la gestion budgétaire : il est à la fois déterminant pour l’élaboration des autres budgets et constitue les principales recettes futures de l’entreprise.</w:t>
      </w:r>
      <w:r w:rsidRPr="004224FB">
        <w:rPr>
          <w:rStyle w:val="Appelnotedebasdep"/>
          <w:rFonts w:asciiTheme="majorBidi" w:eastAsia="Times New Roman" w:hAnsiTheme="majorBidi" w:cstheme="majorBidi"/>
          <w:color w:val="000000"/>
          <w:lang w:eastAsia="fr-FR"/>
        </w:rPr>
        <w:footnoteReference w:id="31"/>
      </w:r>
    </w:p>
    <w:p w14:paraId="216FC698"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budget des ventes est issu de la valorisation du programme grâce à une prévision des prix :</w:t>
      </w:r>
    </w:p>
    <w:p w14:paraId="5822828B" w14:textId="77777777" w:rsidR="00E038EA" w:rsidRPr="004224FB" w:rsidRDefault="00E038EA" w:rsidP="00C13671">
      <w:pPr>
        <w:pStyle w:val="Paragraphedeliste"/>
        <w:numPr>
          <w:ilvl w:val="0"/>
          <w:numId w:val="16"/>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Informations provenant des services comptables et commerciaux.</w:t>
      </w:r>
    </w:p>
    <w:p w14:paraId="3EF6F9B8" w14:textId="70849D5B" w:rsidR="00E038EA" w:rsidRPr="004224FB" w:rsidRDefault="001E179B" w:rsidP="00C13671">
      <w:pPr>
        <w:pStyle w:val="Paragraphedeliste"/>
        <w:numPr>
          <w:ilvl w:val="0"/>
          <w:numId w:val="16"/>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Étude</w:t>
      </w:r>
      <w:r w:rsidR="00E038EA" w:rsidRPr="004224FB">
        <w:rPr>
          <w:rFonts w:asciiTheme="majorBidi" w:eastAsia="Times New Roman" w:hAnsiTheme="majorBidi" w:cstheme="majorBidi"/>
          <w:color w:val="000000"/>
          <w:lang w:eastAsia="fr-FR"/>
        </w:rPr>
        <w:t xml:space="preserve"> de la concurrence.</w:t>
      </w:r>
    </w:p>
    <w:p w14:paraId="23D6DEEA" w14:textId="77777777" w:rsidR="00E038EA" w:rsidRPr="004224FB" w:rsidRDefault="00E038EA" w:rsidP="00C13671">
      <w:pPr>
        <w:pStyle w:val="Paragraphedeliste"/>
        <w:numPr>
          <w:ilvl w:val="0"/>
          <w:numId w:val="16"/>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Analyse des prix : prix psychologique, élasticité de la demande par rapport aux prix. </w:t>
      </w:r>
    </w:p>
    <w:p w14:paraId="05326D09" w14:textId="77777777" w:rsidR="00E038EA" w:rsidRPr="004224FB" w:rsidRDefault="00E038EA" w:rsidP="00C13671">
      <w:pPr>
        <w:pStyle w:val="Paragraphedeliste"/>
        <w:numPr>
          <w:ilvl w:val="0"/>
          <w:numId w:val="16"/>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Connaissance des coûts.</w:t>
      </w:r>
    </w:p>
    <w:p w14:paraId="7A8DA452" w14:textId="77777777" w:rsidR="00E038EA"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Le budget des ventes peut prendre différentes formes : il peut être construit, par exemple, par produit, par région ou par représentant.</w:t>
      </w:r>
    </w:p>
    <w:p w14:paraId="00B854A3" w14:textId="77777777" w:rsidR="003E175B" w:rsidRPr="004224FB" w:rsidRDefault="003E175B" w:rsidP="00AE3850">
      <w:pPr>
        <w:spacing w:line="360" w:lineRule="auto"/>
        <w:ind w:firstLine="708"/>
        <w:jc w:val="both"/>
        <w:rPr>
          <w:rFonts w:asciiTheme="majorBidi" w:eastAsia="Times New Roman" w:hAnsiTheme="majorBidi" w:cstheme="majorBidi"/>
          <w:lang w:eastAsia="fr-FR"/>
        </w:rPr>
      </w:pPr>
    </w:p>
    <w:p w14:paraId="26E5C485" w14:textId="77777777" w:rsidR="00E038EA" w:rsidRPr="004224FB" w:rsidRDefault="00E038EA" w:rsidP="00C13671">
      <w:pPr>
        <w:pStyle w:val="Paragraphedeliste"/>
        <w:numPr>
          <w:ilvl w:val="0"/>
          <w:numId w:val="45"/>
        </w:numPr>
        <w:spacing w:after="200" w:line="360" w:lineRule="auto"/>
        <w:jc w:val="both"/>
        <w:rPr>
          <w:rFonts w:asciiTheme="majorBidi" w:eastAsia="Times New Roman" w:hAnsiTheme="majorBidi" w:cstheme="majorBidi"/>
          <w:b/>
          <w:bCs/>
          <w:color w:val="000000"/>
          <w:lang w:eastAsia="fr-FR"/>
        </w:rPr>
      </w:pPr>
      <w:r w:rsidRPr="004224FB">
        <w:rPr>
          <w:rFonts w:asciiTheme="majorBidi" w:eastAsia="Times New Roman" w:hAnsiTheme="majorBidi" w:cstheme="majorBidi"/>
          <w:b/>
          <w:bCs/>
          <w:color w:val="000000"/>
          <w:lang w:eastAsia="fr-FR"/>
        </w:rPr>
        <w:t xml:space="preserve">Le budget de production </w:t>
      </w:r>
    </w:p>
    <w:p w14:paraId="57B0D6FD" w14:textId="77777777" w:rsidR="00E038EA" w:rsidRDefault="00E038EA" w:rsidP="00AE3850">
      <w:pPr>
        <w:spacing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Le budget de production établit, dans le cadre de l’exercice budgétaire, la prévision valorisée des moyens mis en œuvre (matières, main-d’œuvre, centres de frais).</w:t>
      </w:r>
    </w:p>
    <w:p w14:paraId="49EBD0F6" w14:textId="77777777" w:rsidR="003E175B" w:rsidRPr="004224FB" w:rsidRDefault="003E175B" w:rsidP="00AE3850">
      <w:pPr>
        <w:spacing w:line="360" w:lineRule="auto"/>
        <w:jc w:val="both"/>
        <w:rPr>
          <w:rFonts w:asciiTheme="majorBidi" w:eastAsia="Times New Roman" w:hAnsiTheme="majorBidi" w:cstheme="majorBidi"/>
          <w:lang w:eastAsia="fr-FR"/>
        </w:rPr>
      </w:pPr>
    </w:p>
    <w:p w14:paraId="36349C5A" w14:textId="77777777" w:rsidR="00E038EA" w:rsidRPr="004224FB" w:rsidRDefault="00E038EA" w:rsidP="00C13671">
      <w:pPr>
        <w:pStyle w:val="Paragraphedeliste"/>
        <w:numPr>
          <w:ilvl w:val="0"/>
          <w:numId w:val="45"/>
        </w:numPr>
        <w:spacing w:after="200" w:line="360" w:lineRule="auto"/>
        <w:jc w:val="both"/>
        <w:rPr>
          <w:rFonts w:asciiTheme="majorBidi" w:eastAsia="Times New Roman" w:hAnsiTheme="majorBidi" w:cstheme="majorBidi"/>
          <w:b/>
          <w:bCs/>
          <w:color w:val="000000"/>
          <w:lang w:eastAsia="fr-FR"/>
        </w:rPr>
      </w:pPr>
      <w:r w:rsidRPr="004224FB">
        <w:rPr>
          <w:rFonts w:asciiTheme="majorBidi" w:eastAsia="Times New Roman" w:hAnsiTheme="majorBidi" w:cstheme="majorBidi"/>
          <w:b/>
          <w:bCs/>
          <w:color w:val="000000"/>
          <w:lang w:eastAsia="fr-FR"/>
        </w:rPr>
        <w:t>Le budget des approvisionnements</w:t>
      </w:r>
    </w:p>
    <w:p w14:paraId="1B5EE684"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La prévision conduit à la création de divers budgets, dont la diversité est déterminée par la structure organisationnelle de l'entreprise et le réseau d'analyse comptable </w:t>
      </w:r>
      <w:r w:rsidRPr="004224FB">
        <w:rPr>
          <w:rStyle w:val="Appelnotedebasdep"/>
          <w:rFonts w:asciiTheme="majorBidi" w:eastAsia="Times New Roman" w:hAnsiTheme="majorBidi" w:cstheme="majorBidi"/>
          <w:color w:val="000000"/>
          <w:lang w:eastAsia="fr-FR"/>
        </w:rPr>
        <w:footnoteReference w:id="32"/>
      </w:r>
      <w:r w:rsidRPr="004224FB">
        <w:rPr>
          <w:rFonts w:asciiTheme="majorBidi" w:eastAsia="Times New Roman" w:hAnsiTheme="majorBidi" w:cstheme="majorBidi"/>
          <w:color w:val="000000"/>
          <w:lang w:eastAsia="fr-FR"/>
        </w:rPr>
        <w:t>:</w:t>
      </w:r>
    </w:p>
    <w:p w14:paraId="22BE03D0"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budget des achats : reflète, sur une base mensuelle, les achats prévus en fonction des estimations de prix. </w:t>
      </w:r>
    </w:p>
    <w:p w14:paraId="4A712471" w14:textId="1641A113" w:rsidR="00E038EA" w:rsidRDefault="00E038EA" w:rsidP="00AE3850">
      <w:pPr>
        <w:spacing w:line="360" w:lineRule="auto"/>
        <w:ind w:firstLine="360"/>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Le budget des charges d’approvisionnement et de stockage : est établi en fonction des centres d'analyse : boutique, centre d'approvisionnement, etc. Ces budgets sont conçus en tenant compte des coûts variables et fixes.</w:t>
      </w:r>
    </w:p>
    <w:p w14:paraId="3012ED48" w14:textId="77777777" w:rsidR="003E175B" w:rsidRPr="004224FB" w:rsidRDefault="003E175B" w:rsidP="00AE3850">
      <w:pPr>
        <w:spacing w:line="360" w:lineRule="auto"/>
        <w:ind w:firstLine="360"/>
        <w:jc w:val="both"/>
        <w:rPr>
          <w:rFonts w:asciiTheme="majorBidi" w:eastAsia="Times New Roman" w:hAnsiTheme="majorBidi" w:cstheme="majorBidi"/>
          <w:color w:val="000000"/>
          <w:lang w:eastAsia="fr-FR"/>
        </w:rPr>
      </w:pPr>
    </w:p>
    <w:p w14:paraId="718FDBB0" w14:textId="77777777" w:rsidR="00E038EA" w:rsidRPr="004224FB" w:rsidRDefault="00E038EA" w:rsidP="00C13671">
      <w:pPr>
        <w:pStyle w:val="Paragraphedeliste"/>
        <w:numPr>
          <w:ilvl w:val="0"/>
          <w:numId w:val="45"/>
        </w:numPr>
        <w:spacing w:after="200" w:line="360" w:lineRule="auto"/>
        <w:jc w:val="both"/>
        <w:rPr>
          <w:rFonts w:asciiTheme="majorBidi" w:eastAsia="Times New Roman" w:hAnsiTheme="majorBidi" w:cstheme="majorBidi"/>
          <w:b/>
          <w:bCs/>
          <w:color w:val="000000"/>
          <w:lang w:eastAsia="fr-FR"/>
        </w:rPr>
      </w:pPr>
      <w:r w:rsidRPr="004224FB">
        <w:rPr>
          <w:rFonts w:asciiTheme="majorBidi" w:eastAsia="Times New Roman" w:hAnsiTheme="majorBidi" w:cstheme="majorBidi"/>
          <w:b/>
          <w:bCs/>
          <w:color w:val="000000"/>
          <w:lang w:eastAsia="fr-FR"/>
        </w:rPr>
        <w:t xml:space="preserve">Le budget des autres charges </w:t>
      </w:r>
    </w:p>
    <w:p w14:paraId="1392B1CB" w14:textId="47DAEC32" w:rsidR="00E038EA" w:rsidRDefault="00E038EA" w:rsidP="00AE3850">
      <w:pPr>
        <w:spacing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La budgétisation des autres charges peut donner lieu à une démarche simplifiée si l’on fait l’hypothèse d’une bonne stabilité des processus et si on se limite aux charges engagées par le centre de responsabilité lui-même.</w:t>
      </w:r>
      <w:r w:rsidRPr="004224FB">
        <w:rPr>
          <w:rStyle w:val="Appelnotedebasdep"/>
          <w:rFonts w:asciiTheme="majorBidi" w:eastAsia="Times New Roman" w:hAnsiTheme="majorBidi" w:cstheme="majorBidi"/>
          <w:color w:val="000000"/>
          <w:lang w:eastAsia="fr-FR"/>
        </w:rPr>
        <w:footnoteReference w:id="33"/>
      </w:r>
    </w:p>
    <w:p w14:paraId="7CAB7884" w14:textId="77777777" w:rsidR="003E175B" w:rsidRPr="001E179B" w:rsidRDefault="003E175B" w:rsidP="00AE3850">
      <w:pPr>
        <w:spacing w:line="360" w:lineRule="auto"/>
        <w:ind w:firstLine="708"/>
        <w:jc w:val="both"/>
        <w:rPr>
          <w:rFonts w:asciiTheme="majorBidi" w:eastAsia="Times New Roman" w:hAnsiTheme="majorBidi" w:cstheme="majorBidi"/>
          <w:lang w:eastAsia="fr-FR"/>
        </w:rPr>
      </w:pPr>
    </w:p>
    <w:p w14:paraId="7DBB688C" w14:textId="77777777" w:rsidR="00E038EA" w:rsidRPr="004224FB" w:rsidRDefault="00E038EA" w:rsidP="00C13671">
      <w:pPr>
        <w:pStyle w:val="Paragraphedeliste"/>
        <w:numPr>
          <w:ilvl w:val="0"/>
          <w:numId w:val="45"/>
        </w:numPr>
        <w:spacing w:after="200" w:line="360" w:lineRule="auto"/>
        <w:jc w:val="both"/>
        <w:rPr>
          <w:rFonts w:asciiTheme="majorBidi" w:eastAsia="Times New Roman" w:hAnsiTheme="majorBidi" w:cstheme="majorBidi"/>
          <w:b/>
          <w:bCs/>
          <w:color w:val="000000"/>
          <w:lang w:eastAsia="fr-FR"/>
        </w:rPr>
      </w:pPr>
      <w:r w:rsidRPr="004224FB">
        <w:rPr>
          <w:rFonts w:asciiTheme="majorBidi" w:eastAsia="Times New Roman" w:hAnsiTheme="majorBidi" w:cstheme="majorBidi"/>
          <w:b/>
          <w:bCs/>
          <w:color w:val="000000"/>
          <w:lang w:eastAsia="fr-FR"/>
        </w:rPr>
        <w:t>Le budget d’investissement</w:t>
      </w:r>
    </w:p>
    <w:p w14:paraId="19A6BEB8"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Dans le cadre de l’exercice budgétaire, le budget d’investissement présente une planification mensuelle détaillée incluant :</w:t>
      </w:r>
    </w:p>
    <w:p w14:paraId="2CEF5610" w14:textId="77777777" w:rsidR="00E038EA" w:rsidRPr="004224FB" w:rsidRDefault="00E038EA" w:rsidP="00C13671">
      <w:pPr>
        <w:pStyle w:val="Paragraphedeliste"/>
        <w:numPr>
          <w:ilvl w:val="0"/>
          <w:numId w:val="46"/>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Les dates et montants des engagements, correspondant aux moments où l’entreprise s’oblige à payer les livraisons et prestations selon un calendrier défini ou à verser un dédit.</w:t>
      </w:r>
    </w:p>
    <w:p w14:paraId="74C566A5" w14:textId="77777777" w:rsidR="00E038EA" w:rsidRPr="004224FB" w:rsidRDefault="00E038EA" w:rsidP="00C13671">
      <w:pPr>
        <w:pStyle w:val="Paragraphedeliste"/>
        <w:numPr>
          <w:ilvl w:val="0"/>
          <w:numId w:val="46"/>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Les dates et montants des réceptions, essentiels pour assurer la mise en œuvre effective du projet.</w:t>
      </w:r>
    </w:p>
    <w:p w14:paraId="53FFC90B" w14:textId="77777777" w:rsidR="00E038EA" w:rsidRPr="004224FB" w:rsidRDefault="00E038EA" w:rsidP="00C13671">
      <w:pPr>
        <w:pStyle w:val="Paragraphedeliste"/>
        <w:numPr>
          <w:ilvl w:val="0"/>
          <w:numId w:val="46"/>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Les dates et montants des paiements, permettant une gestion optimale de la trésorerie de l’entreprise.</w:t>
      </w:r>
    </w:p>
    <w:p w14:paraId="16D083A4"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budget de trésorerie, le bilan et le compte de résultat prévisionnels sont issus de l’ensemble des budgets précédemment analysés.</w:t>
      </w:r>
    </w:p>
    <w:p w14:paraId="56466BE1" w14:textId="77777777" w:rsidR="003E175B" w:rsidRDefault="003E175B" w:rsidP="00AE3850">
      <w:pPr>
        <w:spacing w:line="360" w:lineRule="auto"/>
        <w:jc w:val="both"/>
        <w:rPr>
          <w:rFonts w:asciiTheme="majorBidi" w:eastAsia="Times New Roman" w:hAnsiTheme="majorBidi" w:cstheme="majorBidi"/>
          <w:b/>
          <w:bCs/>
          <w:color w:val="000000"/>
          <w:lang w:eastAsia="fr-FR"/>
        </w:rPr>
      </w:pPr>
      <w:r>
        <w:rPr>
          <w:rFonts w:asciiTheme="majorBidi" w:eastAsia="Times New Roman" w:hAnsiTheme="majorBidi" w:cstheme="majorBidi"/>
          <w:b/>
          <w:bCs/>
          <w:color w:val="000000"/>
          <w:lang w:eastAsia="fr-FR"/>
        </w:rPr>
        <w:br w:type="page"/>
      </w:r>
    </w:p>
    <w:p w14:paraId="5856D97B" w14:textId="593B62B4" w:rsidR="00E038EA" w:rsidRPr="004224FB" w:rsidRDefault="00E038EA" w:rsidP="00C13671">
      <w:pPr>
        <w:pStyle w:val="Paragraphedeliste"/>
        <w:numPr>
          <w:ilvl w:val="0"/>
          <w:numId w:val="45"/>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color w:val="000000"/>
          <w:lang w:eastAsia="fr-FR"/>
        </w:rPr>
        <w:lastRenderedPageBreak/>
        <w:t>Le budget de trésorerie</w:t>
      </w:r>
    </w:p>
    <w:p w14:paraId="16E238A6"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budget de trésorerie recense les recettes et dépenses découlant de la prévision budgétaire. Son élaboration nécessite des informations complémentaires telles que les échéances et les modes de règlement. Ce budget met en évidence, mois par mois, les déficits ou excédents de trésorerie, nécessitant des ajustements. Il permet à l’entreprise d’anticiper ses besoins financiers et de négocier avec ses partenaires sans précipitation ni contrainte, ce qui constitue un avantage stratégique.</w:t>
      </w:r>
      <w:r w:rsidRPr="004224FB">
        <w:rPr>
          <w:rStyle w:val="Appelnotedebasdep"/>
          <w:rFonts w:asciiTheme="majorBidi" w:eastAsia="Times New Roman" w:hAnsiTheme="majorBidi" w:cstheme="majorBidi"/>
          <w:color w:val="000000"/>
          <w:lang w:eastAsia="fr-FR"/>
        </w:rPr>
        <w:footnoteReference w:id="34"/>
      </w:r>
    </w:p>
    <w:p w14:paraId="7FA40088" w14:textId="77777777" w:rsidR="00E038EA" w:rsidRDefault="00E038EA" w:rsidP="00AE3850">
      <w:pPr>
        <w:spacing w:line="360" w:lineRule="auto"/>
        <w:ind w:firstLine="360"/>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Bien que la budgétisation de la trésorerie puisse être réalisée sur une base annuelle, elle reste approximative. Toutefois, une modélisation efficace des flux de liquidités permet de réduire ces approximations à un niveau acceptable.</w:t>
      </w:r>
      <w:r w:rsidRPr="004224FB">
        <w:rPr>
          <w:rStyle w:val="Appelnotedebasdep"/>
          <w:rFonts w:asciiTheme="majorBidi" w:eastAsia="Times New Roman" w:hAnsiTheme="majorBidi" w:cstheme="majorBidi"/>
          <w:color w:val="000000"/>
          <w:lang w:eastAsia="fr-FR"/>
        </w:rPr>
        <w:footnoteReference w:id="35"/>
      </w:r>
    </w:p>
    <w:p w14:paraId="76D66D2A" w14:textId="77777777" w:rsidR="003E175B" w:rsidRPr="004224FB" w:rsidRDefault="003E175B" w:rsidP="00AE3850">
      <w:pPr>
        <w:spacing w:line="360" w:lineRule="auto"/>
        <w:ind w:firstLine="360"/>
        <w:jc w:val="both"/>
        <w:rPr>
          <w:rFonts w:asciiTheme="majorBidi" w:eastAsia="Times New Roman" w:hAnsiTheme="majorBidi" w:cstheme="majorBidi"/>
          <w:lang w:eastAsia="fr-FR"/>
        </w:rPr>
      </w:pPr>
    </w:p>
    <w:p w14:paraId="51B56581" w14:textId="77777777" w:rsidR="00E038EA" w:rsidRPr="004224FB" w:rsidRDefault="00E038EA" w:rsidP="00C13671">
      <w:pPr>
        <w:pStyle w:val="Paragraphedeliste"/>
        <w:numPr>
          <w:ilvl w:val="0"/>
          <w:numId w:val="45"/>
        </w:numPr>
        <w:spacing w:after="200" w:line="360" w:lineRule="auto"/>
        <w:jc w:val="both"/>
        <w:rPr>
          <w:rFonts w:asciiTheme="majorBidi" w:eastAsia="Times New Roman" w:hAnsiTheme="majorBidi" w:cstheme="majorBidi"/>
          <w:b/>
          <w:bCs/>
          <w:lang w:eastAsia="fr-FR"/>
        </w:rPr>
      </w:pPr>
      <w:r w:rsidRPr="004224FB">
        <w:rPr>
          <w:rFonts w:asciiTheme="majorBidi" w:eastAsia="Times New Roman" w:hAnsiTheme="majorBidi" w:cstheme="majorBidi"/>
          <w:b/>
          <w:bCs/>
          <w:color w:val="000000"/>
          <w:lang w:eastAsia="fr-FR"/>
        </w:rPr>
        <w:t>Les budgets généraux</w:t>
      </w:r>
    </w:p>
    <w:p w14:paraId="3703E8B2"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Les budgets généraux sont des documents de synthèse permettant aux responsables d’évaluer la cohérence de l’ensemble du processus budgétaire. Ils englobent :</w:t>
      </w:r>
    </w:p>
    <w:p w14:paraId="2C02BE8B" w14:textId="77777777" w:rsidR="00E038EA" w:rsidRPr="004224FB" w:rsidRDefault="00E038EA" w:rsidP="00C13671">
      <w:pPr>
        <w:pStyle w:val="Paragraphedeliste"/>
        <w:numPr>
          <w:ilvl w:val="0"/>
          <w:numId w:val="47"/>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L’équilibre global de la trésorerie (budget de trésorerie).</w:t>
      </w:r>
    </w:p>
    <w:p w14:paraId="0054B816" w14:textId="77777777" w:rsidR="00E038EA" w:rsidRPr="004224FB" w:rsidRDefault="00E038EA" w:rsidP="00C13671">
      <w:pPr>
        <w:pStyle w:val="Paragraphedeliste"/>
        <w:numPr>
          <w:ilvl w:val="0"/>
          <w:numId w:val="47"/>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L’équilibre financier (bilan prévisionnel).</w:t>
      </w:r>
    </w:p>
    <w:p w14:paraId="31113452" w14:textId="2ACF7846" w:rsidR="001E179B" w:rsidRPr="003E175B" w:rsidRDefault="00E038EA" w:rsidP="00C13671">
      <w:pPr>
        <w:pStyle w:val="Paragraphedeliste"/>
        <w:numPr>
          <w:ilvl w:val="0"/>
          <w:numId w:val="47"/>
        </w:numPr>
        <w:spacing w:after="200" w:line="360" w:lineRule="auto"/>
        <w:jc w:val="both"/>
        <w:rPr>
          <w:rFonts w:asciiTheme="majorBidi" w:eastAsia="Times New Roman" w:hAnsiTheme="majorBidi" w:cstheme="majorBidi"/>
          <w:b/>
          <w:bCs/>
          <w:color w:val="000000"/>
          <w:lang w:eastAsia="fr-FR"/>
        </w:rPr>
      </w:pPr>
      <w:r w:rsidRPr="00893D59">
        <w:rPr>
          <w:rFonts w:asciiTheme="majorBidi" w:eastAsia="Times New Roman" w:hAnsiTheme="majorBidi" w:cstheme="majorBidi"/>
          <w:color w:val="000000"/>
          <w:lang w:eastAsia="fr-FR"/>
        </w:rPr>
        <w:t>L’équilibre de la formation du résultat (compte de résultat prévisionne).</w:t>
      </w:r>
      <w:r w:rsidRPr="004224FB">
        <w:rPr>
          <w:rStyle w:val="Appelnotedebasdep"/>
          <w:rFonts w:asciiTheme="majorBidi" w:eastAsia="Times New Roman" w:hAnsiTheme="majorBidi" w:cstheme="majorBidi"/>
          <w:color w:val="000000"/>
          <w:lang w:eastAsia="fr-FR"/>
        </w:rPr>
        <w:footnoteReference w:id="36"/>
      </w:r>
    </w:p>
    <w:p w14:paraId="5E92DF30" w14:textId="77777777" w:rsidR="003E175B" w:rsidRDefault="003E175B" w:rsidP="00AE3850">
      <w:pPr>
        <w:spacing w:line="360" w:lineRule="auto"/>
        <w:jc w:val="both"/>
        <w:rPr>
          <w:rFonts w:asciiTheme="majorBidi" w:eastAsiaTheme="majorEastAsia" w:hAnsiTheme="majorBidi" w:cstheme="majorBidi"/>
          <w:b/>
          <w:bCs/>
          <w:u w:val="single"/>
          <w:lang w:eastAsia="fr-FR"/>
        </w:rPr>
      </w:pPr>
      <w:r>
        <w:rPr>
          <w:rFonts w:asciiTheme="majorBidi" w:hAnsiTheme="majorBidi"/>
          <w:b/>
          <w:bCs/>
          <w:i/>
          <w:iCs/>
          <w:u w:val="single"/>
          <w:lang w:eastAsia="fr-FR"/>
        </w:rPr>
        <w:br w:type="page"/>
      </w:r>
    </w:p>
    <w:p w14:paraId="656450EE" w14:textId="7342A3CD" w:rsidR="00E038EA" w:rsidRPr="001E179B" w:rsidRDefault="00E038EA" w:rsidP="00C13671">
      <w:pPr>
        <w:pStyle w:val="Titre4"/>
        <w:numPr>
          <w:ilvl w:val="0"/>
          <w:numId w:val="100"/>
        </w:numPr>
        <w:spacing w:line="360" w:lineRule="auto"/>
        <w:jc w:val="both"/>
        <w:rPr>
          <w:rFonts w:asciiTheme="majorBidi" w:hAnsiTheme="majorBidi"/>
          <w:b/>
          <w:bCs/>
          <w:i w:val="0"/>
          <w:iCs w:val="0"/>
          <w:color w:val="auto"/>
          <w:u w:val="single"/>
          <w:lang w:eastAsia="fr-FR"/>
        </w:rPr>
      </w:pPr>
      <w:bookmarkStart w:id="98" w:name="_Toc199314413"/>
      <w:r w:rsidRPr="001E179B">
        <w:rPr>
          <w:rFonts w:asciiTheme="majorBidi" w:hAnsiTheme="majorBidi"/>
          <w:b/>
          <w:bCs/>
          <w:i w:val="0"/>
          <w:iCs w:val="0"/>
          <w:color w:val="auto"/>
          <w:u w:val="single"/>
          <w:lang w:eastAsia="fr-FR"/>
        </w:rPr>
        <w:lastRenderedPageBreak/>
        <w:t xml:space="preserve">Le contrôle budgétaire </w:t>
      </w:r>
      <w:r w:rsidR="001E179B" w:rsidRPr="001E179B">
        <w:rPr>
          <w:rFonts w:asciiTheme="majorBidi" w:hAnsiTheme="majorBidi"/>
          <w:b/>
          <w:bCs/>
          <w:i w:val="0"/>
          <w:iCs w:val="0"/>
          <w:color w:val="auto"/>
          <w:u w:val="single"/>
          <w:lang w:eastAsia="fr-FR"/>
        </w:rPr>
        <w:t>:</w:t>
      </w:r>
      <w:bookmarkEnd w:id="98"/>
    </w:p>
    <w:p w14:paraId="5481A9CE"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contrôle budgétaire est la comparaison des résultats réels et des prévisions chiffrées figurant aux budgets afin : </w:t>
      </w:r>
    </w:p>
    <w:p w14:paraId="0D5C1A88" w14:textId="77777777" w:rsidR="00E038EA" w:rsidRPr="004224FB" w:rsidRDefault="00E038EA" w:rsidP="00C13671">
      <w:pPr>
        <w:pStyle w:val="Paragraphedeliste"/>
        <w:numPr>
          <w:ilvl w:val="0"/>
          <w:numId w:val="20"/>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De rechercher la (ou les) cause(s) d’écarts.</w:t>
      </w:r>
    </w:p>
    <w:p w14:paraId="21728CF4" w14:textId="77777777" w:rsidR="00E038EA" w:rsidRPr="004224FB" w:rsidRDefault="00E038EA" w:rsidP="00C13671">
      <w:pPr>
        <w:pStyle w:val="Paragraphedeliste"/>
        <w:numPr>
          <w:ilvl w:val="0"/>
          <w:numId w:val="20"/>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D’informer les différents niveaux hiérarchiques.</w:t>
      </w:r>
    </w:p>
    <w:p w14:paraId="4296334C" w14:textId="77777777" w:rsidR="00E038EA" w:rsidRPr="004224FB" w:rsidRDefault="00E038EA" w:rsidP="00C13671">
      <w:pPr>
        <w:pStyle w:val="Paragraphedeliste"/>
        <w:numPr>
          <w:ilvl w:val="0"/>
          <w:numId w:val="20"/>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De prendre les mesures correctives éventuellement nécessaires.</w:t>
      </w:r>
    </w:p>
    <w:p w14:paraId="4635CE70" w14:textId="6C682AE6" w:rsidR="00E038EA" w:rsidRPr="003E175B" w:rsidRDefault="00E038EA" w:rsidP="00C13671">
      <w:pPr>
        <w:pStyle w:val="Paragraphedeliste"/>
        <w:numPr>
          <w:ilvl w:val="0"/>
          <w:numId w:val="20"/>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D’apprécier l’activité des responsables budgétaires.</w:t>
      </w:r>
    </w:p>
    <w:p w14:paraId="3B571460" w14:textId="77777777" w:rsidR="003E175B" w:rsidRPr="003E175B" w:rsidRDefault="003E175B" w:rsidP="00AE3850">
      <w:pPr>
        <w:spacing w:after="200" w:line="360" w:lineRule="auto"/>
        <w:jc w:val="both"/>
        <w:rPr>
          <w:rFonts w:asciiTheme="majorBidi" w:eastAsia="Times New Roman" w:hAnsiTheme="majorBidi" w:cstheme="majorBidi"/>
          <w:lang w:eastAsia="fr-FR"/>
        </w:rPr>
      </w:pPr>
    </w:p>
    <w:p w14:paraId="193D8019" w14:textId="6198BEB4" w:rsidR="00E038EA" w:rsidRPr="003E175B" w:rsidRDefault="00E038EA" w:rsidP="00C13671">
      <w:pPr>
        <w:pStyle w:val="Titre3"/>
        <w:numPr>
          <w:ilvl w:val="0"/>
          <w:numId w:val="98"/>
        </w:numPr>
        <w:spacing w:line="360" w:lineRule="auto"/>
        <w:jc w:val="both"/>
        <w:rPr>
          <w:rFonts w:asciiTheme="majorBidi" w:hAnsiTheme="majorBidi"/>
          <w:b/>
          <w:bCs/>
          <w:color w:val="auto"/>
          <w:sz w:val="24"/>
          <w:szCs w:val="24"/>
          <w:u w:val="single"/>
          <w:lang w:eastAsia="fr-FR"/>
        </w:rPr>
      </w:pPr>
      <w:bookmarkStart w:id="99" w:name="_Toc199314414"/>
      <w:r w:rsidRPr="003E175B">
        <w:rPr>
          <w:rFonts w:asciiTheme="majorBidi" w:hAnsiTheme="majorBidi"/>
          <w:b/>
          <w:bCs/>
          <w:color w:val="auto"/>
          <w:sz w:val="24"/>
          <w:szCs w:val="24"/>
          <w:u w:val="single"/>
          <w:lang w:eastAsia="fr-FR"/>
        </w:rPr>
        <w:t>Limites de la gestion budgétaire</w:t>
      </w:r>
      <w:r w:rsidR="003E175B" w:rsidRPr="003E175B">
        <w:rPr>
          <w:rFonts w:asciiTheme="majorBidi" w:hAnsiTheme="majorBidi"/>
          <w:b/>
          <w:bCs/>
          <w:color w:val="auto"/>
          <w:sz w:val="24"/>
          <w:szCs w:val="24"/>
          <w:u w:val="single"/>
          <w:lang w:eastAsia="fr-FR"/>
        </w:rPr>
        <w:t xml:space="preserve"> :</w:t>
      </w:r>
      <w:bookmarkEnd w:id="99"/>
    </w:p>
    <w:p w14:paraId="6767F7A7"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Parmi les limites de la gestion budgétaire</w:t>
      </w:r>
      <w:r w:rsidRPr="004224FB">
        <w:rPr>
          <w:rStyle w:val="Appelnotedebasdep"/>
          <w:rFonts w:asciiTheme="majorBidi" w:eastAsia="Times New Roman" w:hAnsiTheme="majorBidi" w:cstheme="majorBidi"/>
          <w:color w:val="000000"/>
          <w:lang w:eastAsia="fr-FR"/>
        </w:rPr>
        <w:footnoteReference w:id="37"/>
      </w:r>
      <w:r w:rsidRPr="004224FB">
        <w:rPr>
          <w:rFonts w:asciiTheme="majorBidi" w:eastAsia="Times New Roman" w:hAnsiTheme="majorBidi" w:cstheme="majorBidi"/>
          <w:color w:val="000000"/>
          <w:lang w:eastAsia="fr-FR"/>
        </w:rPr>
        <w:t> :</w:t>
      </w:r>
    </w:p>
    <w:p w14:paraId="1A94A0D4" w14:textId="77777777" w:rsidR="00E038EA" w:rsidRPr="004224FB" w:rsidRDefault="00E038EA" w:rsidP="00C13671">
      <w:pPr>
        <w:pStyle w:val="Paragraphedeliste"/>
        <w:numPr>
          <w:ilvl w:val="0"/>
          <w:numId w:val="21"/>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La construction budgétaire se fonde, en grande partie, sur les modèles passés. Elle risque de pérenniser des postes budgétaires non efficients. C’est en particulier vrai pour l’ensemble des budgets fonctionnels</w:t>
      </w:r>
    </w:p>
    <w:p w14:paraId="52EAB2B7" w14:textId="77777777" w:rsidR="00E038EA" w:rsidRPr="004224FB" w:rsidRDefault="00E038EA" w:rsidP="00C13671">
      <w:pPr>
        <w:pStyle w:val="Paragraphedeliste"/>
        <w:numPr>
          <w:ilvl w:val="0"/>
          <w:numId w:val="21"/>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La désignation des responsabilités, le contrôle peuvent être mal vécus. Une formation faisant ressortir l’intérêt de la gestion budgétaire doit motiver le personnel  </w:t>
      </w:r>
    </w:p>
    <w:p w14:paraId="10D6FE2F" w14:textId="77777777" w:rsidR="00E038EA" w:rsidRPr="004224FB" w:rsidRDefault="00E038EA" w:rsidP="00C13671">
      <w:pPr>
        <w:pStyle w:val="Paragraphedeliste"/>
        <w:numPr>
          <w:ilvl w:val="0"/>
          <w:numId w:val="21"/>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budget risque, dans le cadre d’une décentralisation non sincère, de se transformer en un ensemble de règles rigides qui s’imposent aux « responsables » ; </w:t>
      </w:r>
    </w:p>
    <w:p w14:paraId="22E2138A" w14:textId="77777777" w:rsidR="00E038EA" w:rsidRPr="004224FB" w:rsidRDefault="00E038EA" w:rsidP="00C13671">
      <w:pPr>
        <w:pStyle w:val="Paragraphedeliste"/>
        <w:numPr>
          <w:ilvl w:val="0"/>
          <w:numId w:val="21"/>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À l’inverse, la liberté donnée aux responsables peut induire des « féodalités », lieux de pouvoirs, au détriment de la stratégie de l’entreprise et de son intérêt global.  </w:t>
      </w:r>
    </w:p>
    <w:p w14:paraId="56144D07" w14:textId="77777777" w:rsidR="00E038EA" w:rsidRPr="004224FB" w:rsidRDefault="00E038EA" w:rsidP="00C13671">
      <w:pPr>
        <w:pStyle w:val="Paragraphedeliste"/>
        <w:numPr>
          <w:ilvl w:val="0"/>
          <w:numId w:val="21"/>
        </w:numPr>
        <w:spacing w:after="20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Les évolutions de l’environnement peuvent rendre la construction budgétaire obsolète. La veille doit être constante afin d’adapter les programmes d’actions et les prévisions.</w:t>
      </w:r>
    </w:p>
    <w:p w14:paraId="63DBF2B6" w14:textId="73A5BE3C" w:rsidR="00E038EA" w:rsidRPr="004224FB" w:rsidRDefault="00E038EA" w:rsidP="00AE3850">
      <w:pPr>
        <w:spacing w:line="360" w:lineRule="auto"/>
        <w:jc w:val="both"/>
        <w:rPr>
          <w:rFonts w:asciiTheme="majorBidi" w:hAnsiTheme="majorBidi" w:cstheme="majorBidi"/>
          <w:b/>
          <w:bCs/>
        </w:rPr>
      </w:pPr>
    </w:p>
    <w:p w14:paraId="1FD34072" w14:textId="77777777" w:rsidR="003E175B" w:rsidRDefault="003E175B" w:rsidP="00AE3850">
      <w:pPr>
        <w:spacing w:line="360" w:lineRule="auto"/>
        <w:jc w:val="both"/>
        <w:rPr>
          <w:rFonts w:asciiTheme="majorBidi" w:hAnsiTheme="majorBidi" w:cstheme="majorBidi"/>
          <w:b/>
          <w:bCs/>
          <w:sz w:val="28"/>
          <w:szCs w:val="28"/>
          <w:u w:val="single"/>
        </w:rPr>
      </w:pPr>
      <w:r>
        <w:rPr>
          <w:rFonts w:asciiTheme="majorBidi" w:hAnsiTheme="majorBidi" w:cstheme="majorBidi"/>
          <w:b/>
          <w:bCs/>
          <w:sz w:val="28"/>
          <w:szCs w:val="28"/>
          <w:u w:val="single"/>
        </w:rPr>
        <w:br w:type="page"/>
      </w:r>
    </w:p>
    <w:p w14:paraId="07FB22E9" w14:textId="3CC7DA0E" w:rsidR="00E038EA" w:rsidRPr="003E175B" w:rsidRDefault="00E038EA" w:rsidP="00AE3850">
      <w:pPr>
        <w:pStyle w:val="Titre2"/>
        <w:spacing w:line="360" w:lineRule="auto"/>
        <w:jc w:val="both"/>
        <w:rPr>
          <w:rFonts w:asciiTheme="majorBidi" w:hAnsiTheme="majorBidi"/>
          <w:b/>
          <w:bCs/>
          <w:color w:val="auto"/>
          <w:sz w:val="28"/>
          <w:szCs w:val="28"/>
          <w:u w:val="single"/>
        </w:rPr>
      </w:pPr>
      <w:bookmarkStart w:id="100" w:name="_Toc199314415"/>
      <w:bookmarkStart w:id="101" w:name="_Toc199314582"/>
      <w:r w:rsidRPr="003E175B">
        <w:rPr>
          <w:rFonts w:asciiTheme="majorBidi" w:hAnsiTheme="majorBidi"/>
          <w:b/>
          <w:bCs/>
          <w:color w:val="auto"/>
          <w:sz w:val="28"/>
          <w:szCs w:val="28"/>
          <w:u w:val="single"/>
        </w:rPr>
        <w:lastRenderedPageBreak/>
        <w:t xml:space="preserve">Section </w:t>
      </w:r>
      <w:r w:rsidR="003E175B" w:rsidRPr="003E175B">
        <w:rPr>
          <w:rFonts w:asciiTheme="majorBidi" w:hAnsiTheme="majorBidi"/>
          <w:b/>
          <w:bCs/>
          <w:color w:val="auto"/>
          <w:sz w:val="28"/>
          <w:szCs w:val="28"/>
          <w:u w:val="single"/>
        </w:rPr>
        <w:t>0</w:t>
      </w:r>
      <w:r w:rsidRPr="003E175B">
        <w:rPr>
          <w:rFonts w:asciiTheme="majorBidi" w:hAnsiTheme="majorBidi"/>
          <w:b/>
          <w:bCs/>
          <w:color w:val="auto"/>
          <w:sz w:val="28"/>
          <w:szCs w:val="28"/>
          <w:u w:val="single"/>
        </w:rPr>
        <w:t>3 : Le contrôle budgétaire</w:t>
      </w:r>
      <w:bookmarkEnd w:id="100"/>
      <w:bookmarkEnd w:id="101"/>
    </w:p>
    <w:p w14:paraId="4877029C" w14:textId="77777777" w:rsidR="00E038EA" w:rsidRPr="004224FB" w:rsidRDefault="00E038EA" w:rsidP="00AE3850">
      <w:pPr>
        <w:spacing w:line="360" w:lineRule="auto"/>
        <w:ind w:firstLine="708"/>
        <w:jc w:val="both"/>
        <w:rPr>
          <w:rFonts w:asciiTheme="majorBidi" w:hAnsiTheme="majorBidi" w:cstheme="majorBidi"/>
        </w:rPr>
      </w:pPr>
      <w:r w:rsidRPr="004224FB">
        <w:rPr>
          <w:rFonts w:asciiTheme="majorBidi" w:hAnsiTheme="majorBidi" w:cstheme="majorBidi"/>
          <w:color w:val="000000"/>
        </w:rPr>
        <w:t>Le contrôle budgétaire constitue la troisième étape du processus de gestion budgétaire, succédant à la prévision et à la budgétisation. Il représente une procédure essentielle permettant d’assurer la maîtrise des ressources financières et d’optimiser l’allocation budgétaire.</w:t>
      </w:r>
    </w:p>
    <w:p w14:paraId="18ABFCD5" w14:textId="77777777" w:rsidR="00E038EA" w:rsidRPr="004224FB" w:rsidRDefault="00E038EA" w:rsidP="00AE3850">
      <w:pPr>
        <w:spacing w:line="360" w:lineRule="auto"/>
        <w:ind w:firstLine="708"/>
        <w:jc w:val="both"/>
        <w:rPr>
          <w:rFonts w:asciiTheme="majorBidi" w:hAnsiTheme="majorBidi" w:cstheme="majorBidi"/>
          <w:color w:val="000000"/>
        </w:rPr>
      </w:pPr>
      <w:r w:rsidRPr="004224FB">
        <w:rPr>
          <w:rFonts w:asciiTheme="majorBidi" w:hAnsiTheme="majorBidi" w:cstheme="majorBidi"/>
          <w:color w:val="000000"/>
        </w:rPr>
        <w:t>Dans cette section, nous présenterons la définition et les objectifs du contrôle budgétaire, ses caractéristiques, son rôle, ses principes, ainsi que ses différentes étapes et outils.</w:t>
      </w:r>
    </w:p>
    <w:p w14:paraId="190F28E9" w14:textId="77777777" w:rsidR="00E038EA" w:rsidRPr="004224FB" w:rsidRDefault="00E038EA" w:rsidP="00AE3850">
      <w:pPr>
        <w:spacing w:line="360" w:lineRule="auto"/>
        <w:ind w:firstLine="708"/>
        <w:jc w:val="both"/>
        <w:rPr>
          <w:rFonts w:asciiTheme="majorBidi" w:hAnsiTheme="majorBidi" w:cstheme="majorBidi"/>
        </w:rPr>
      </w:pPr>
    </w:p>
    <w:p w14:paraId="75A12897" w14:textId="49FCDC77" w:rsidR="00E038EA" w:rsidRPr="008A631B" w:rsidRDefault="00E038EA" w:rsidP="00C13671">
      <w:pPr>
        <w:pStyle w:val="Titre3"/>
        <w:numPr>
          <w:ilvl w:val="0"/>
          <w:numId w:val="102"/>
        </w:numPr>
        <w:spacing w:line="360" w:lineRule="auto"/>
        <w:jc w:val="both"/>
        <w:rPr>
          <w:rFonts w:asciiTheme="majorBidi" w:hAnsiTheme="majorBidi"/>
          <w:b/>
          <w:bCs/>
          <w:color w:val="auto"/>
          <w:sz w:val="24"/>
          <w:szCs w:val="24"/>
          <w:u w:val="single"/>
        </w:rPr>
      </w:pPr>
      <w:bookmarkStart w:id="102" w:name="_Toc199314416"/>
      <w:r w:rsidRPr="008A631B">
        <w:rPr>
          <w:rFonts w:asciiTheme="majorBidi" w:hAnsiTheme="majorBidi"/>
          <w:b/>
          <w:bCs/>
          <w:color w:val="auto"/>
          <w:sz w:val="24"/>
          <w:szCs w:val="24"/>
          <w:u w:val="single"/>
        </w:rPr>
        <w:t>Définition du contrôle budgétaire</w:t>
      </w:r>
      <w:r w:rsidR="003E175B" w:rsidRPr="008A631B">
        <w:rPr>
          <w:rFonts w:asciiTheme="majorBidi" w:hAnsiTheme="majorBidi"/>
          <w:b/>
          <w:bCs/>
          <w:color w:val="auto"/>
          <w:sz w:val="24"/>
          <w:szCs w:val="24"/>
          <w:u w:val="single"/>
        </w:rPr>
        <w:t xml:space="preserve"> :</w:t>
      </w:r>
      <w:bookmarkEnd w:id="102"/>
    </w:p>
    <w:p w14:paraId="429F20AA"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  Selon Langlois, Bonnier et Bringer, « le contrôle budgétaire est une procédure qui compare a posteriori les réalisations aux prévisions budgétaires d’un centre de responsabilité »</w:t>
      </w:r>
      <w:r w:rsidRPr="004224FB">
        <w:rPr>
          <w:rStyle w:val="Appelnotedebasdep"/>
          <w:rFonts w:asciiTheme="majorBidi" w:hAnsiTheme="majorBidi" w:cstheme="majorBidi"/>
          <w:color w:val="000000"/>
        </w:rPr>
        <w:footnoteReference w:id="38"/>
      </w:r>
    </w:p>
    <w:p w14:paraId="6DB504AE"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De son côté, Gervais (2003, p. 123) définit le contrôle budgétaire comme un processus de comparaison continue entre les résultats réels et les prévisions budgétaires. Il poursuit en précisant que cette démarche vise à :</w:t>
      </w:r>
    </w:p>
    <w:p w14:paraId="548168C4" w14:textId="77777777" w:rsidR="00E038EA" w:rsidRPr="004224FB" w:rsidRDefault="00E038EA" w:rsidP="00C13671">
      <w:pPr>
        <w:pStyle w:val="Paragraphedeliste"/>
        <w:numPr>
          <w:ilvl w:val="0"/>
          <w:numId w:val="23"/>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Identifier les causes des écarts constatés ;</w:t>
      </w:r>
    </w:p>
    <w:p w14:paraId="039D143A" w14:textId="77777777" w:rsidR="00E038EA" w:rsidRPr="004224FB" w:rsidRDefault="00E038EA" w:rsidP="00C13671">
      <w:pPr>
        <w:pStyle w:val="Paragraphedeliste"/>
        <w:numPr>
          <w:ilvl w:val="0"/>
          <w:numId w:val="23"/>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Informer les différents niveaux hiérarchiques de l’organisation ;</w:t>
      </w:r>
    </w:p>
    <w:p w14:paraId="3C1DB390" w14:textId="77777777" w:rsidR="00E038EA" w:rsidRPr="004224FB" w:rsidRDefault="00E038EA" w:rsidP="00C13671">
      <w:pPr>
        <w:pStyle w:val="Paragraphedeliste"/>
        <w:numPr>
          <w:ilvl w:val="0"/>
          <w:numId w:val="23"/>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Mettre en place des mesures correctives lorsque cela est nécessaire ;</w:t>
      </w:r>
    </w:p>
    <w:p w14:paraId="5A7E6185" w14:textId="77777777" w:rsidR="00E038EA" w:rsidRPr="004224FB" w:rsidRDefault="00E038EA" w:rsidP="00C13671">
      <w:pPr>
        <w:pStyle w:val="Paragraphedeliste"/>
        <w:numPr>
          <w:ilvl w:val="0"/>
          <w:numId w:val="23"/>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Évaluer la performance des responsables budgétaires.</w:t>
      </w:r>
    </w:p>
    <w:p w14:paraId="3D700CB9"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Ainsi, le contrôle budgétaire constitue un outil stratégique permettant de :</w:t>
      </w:r>
    </w:p>
    <w:p w14:paraId="0EA4F425" w14:textId="77777777" w:rsidR="00E038EA" w:rsidRPr="004224FB" w:rsidRDefault="00E038EA" w:rsidP="00C13671">
      <w:pPr>
        <w:pStyle w:val="Paragraphedeliste"/>
        <w:numPr>
          <w:ilvl w:val="0"/>
          <w:numId w:val="22"/>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Piloter les activités et assurer la maîtrise budgétaire ;</w:t>
      </w:r>
    </w:p>
    <w:p w14:paraId="6936E83C" w14:textId="77777777" w:rsidR="00E038EA" w:rsidRPr="004224FB" w:rsidRDefault="00E038EA" w:rsidP="00C13671">
      <w:pPr>
        <w:pStyle w:val="Paragraphedeliste"/>
        <w:numPr>
          <w:ilvl w:val="0"/>
          <w:numId w:val="22"/>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Anticiper et gérer les écarts budgétaires ;</w:t>
      </w:r>
    </w:p>
    <w:p w14:paraId="7A7839DC" w14:textId="77777777" w:rsidR="00E038EA" w:rsidRPr="004224FB" w:rsidRDefault="00E038EA" w:rsidP="00C13671">
      <w:pPr>
        <w:pStyle w:val="Paragraphedeliste"/>
        <w:numPr>
          <w:ilvl w:val="0"/>
          <w:numId w:val="22"/>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Intégrer le contrôle budgétaire comme une pratique managériale transparente et comprise par tous les acteurs concernés ;</w:t>
      </w:r>
    </w:p>
    <w:p w14:paraId="7150949F" w14:textId="77777777" w:rsidR="00E038EA" w:rsidRPr="004224FB" w:rsidRDefault="00E038EA" w:rsidP="00C13671">
      <w:pPr>
        <w:pStyle w:val="Paragraphedeliste"/>
        <w:numPr>
          <w:ilvl w:val="0"/>
          <w:numId w:val="22"/>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Optimiser l’utilisation des ressources disponibles</w:t>
      </w:r>
      <w:r w:rsidRPr="004224FB">
        <w:rPr>
          <w:rStyle w:val="Appelnotedebasdep"/>
          <w:rFonts w:asciiTheme="majorBidi" w:hAnsiTheme="majorBidi" w:cstheme="majorBidi"/>
          <w:color w:val="000000"/>
        </w:rPr>
        <w:footnoteReference w:id="39"/>
      </w:r>
      <w:r w:rsidRPr="004224FB">
        <w:rPr>
          <w:rFonts w:asciiTheme="majorBidi" w:hAnsiTheme="majorBidi" w:cstheme="majorBidi"/>
          <w:color w:val="000000"/>
        </w:rPr>
        <w:t>.</w:t>
      </w:r>
    </w:p>
    <w:p w14:paraId="3B628096"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rPr>
        <w:br w:type="page"/>
      </w:r>
    </w:p>
    <w:p w14:paraId="4CEBD8D4" w14:textId="185E9CCC" w:rsidR="00E038EA" w:rsidRPr="008A631B" w:rsidRDefault="00E038EA" w:rsidP="00C13671">
      <w:pPr>
        <w:pStyle w:val="Titre3"/>
        <w:numPr>
          <w:ilvl w:val="0"/>
          <w:numId w:val="102"/>
        </w:numPr>
        <w:spacing w:line="360" w:lineRule="auto"/>
        <w:jc w:val="both"/>
        <w:rPr>
          <w:rFonts w:asciiTheme="majorBidi" w:hAnsiTheme="majorBidi"/>
          <w:b/>
          <w:bCs/>
          <w:color w:val="auto"/>
          <w:sz w:val="24"/>
          <w:szCs w:val="24"/>
          <w:u w:val="single"/>
        </w:rPr>
      </w:pPr>
      <w:bookmarkStart w:id="103" w:name="_Toc199314417"/>
      <w:r w:rsidRPr="008A631B">
        <w:rPr>
          <w:rFonts w:asciiTheme="majorBidi" w:hAnsiTheme="majorBidi"/>
          <w:b/>
          <w:bCs/>
          <w:color w:val="auto"/>
          <w:sz w:val="24"/>
          <w:szCs w:val="24"/>
          <w:u w:val="single"/>
        </w:rPr>
        <w:lastRenderedPageBreak/>
        <w:t>Rôle du contrôle budgétaire</w:t>
      </w:r>
      <w:r w:rsidR="008A631B" w:rsidRPr="008A631B">
        <w:rPr>
          <w:rFonts w:asciiTheme="majorBidi" w:hAnsiTheme="majorBidi"/>
          <w:b/>
          <w:bCs/>
          <w:color w:val="auto"/>
          <w:sz w:val="24"/>
          <w:szCs w:val="24"/>
          <w:u w:val="single"/>
        </w:rPr>
        <w:t xml:space="preserve"> :</w:t>
      </w:r>
      <w:bookmarkEnd w:id="103"/>
    </w:p>
    <w:p w14:paraId="0EEA0ACB" w14:textId="77777777" w:rsidR="00E038EA" w:rsidRPr="004224FB" w:rsidRDefault="00E038EA" w:rsidP="00AE3850">
      <w:pPr>
        <w:spacing w:line="360" w:lineRule="auto"/>
        <w:ind w:firstLine="708"/>
        <w:jc w:val="both"/>
        <w:rPr>
          <w:rFonts w:asciiTheme="majorBidi" w:hAnsiTheme="majorBidi" w:cstheme="majorBidi"/>
          <w:color w:val="000000"/>
        </w:rPr>
      </w:pPr>
      <w:r w:rsidRPr="004224FB">
        <w:rPr>
          <w:rFonts w:asciiTheme="majorBidi" w:hAnsiTheme="majorBidi" w:cstheme="majorBidi"/>
          <w:color w:val="000000"/>
        </w:rPr>
        <w:t>Le contrôle budgétaire joue un rôle essentiel dans l’amélioration de la performance organisationnelle. Il instaure un cadre structurant qui agit comme un « code de bonne conduite » pour l’entreprise.</w:t>
      </w:r>
      <w:r w:rsidRPr="004224FB">
        <w:rPr>
          <w:rStyle w:val="Appelnotedebasdep"/>
          <w:rFonts w:asciiTheme="majorBidi" w:hAnsiTheme="majorBidi" w:cstheme="majorBidi"/>
          <w:color w:val="000000"/>
        </w:rPr>
        <w:footnoteReference w:id="40"/>
      </w:r>
    </w:p>
    <w:p w14:paraId="43ACD60D" w14:textId="77777777" w:rsidR="00E038EA" w:rsidRPr="004224FB" w:rsidRDefault="00E038EA" w:rsidP="00AE3850">
      <w:pPr>
        <w:spacing w:line="360" w:lineRule="auto"/>
        <w:ind w:firstLine="360"/>
        <w:jc w:val="both"/>
        <w:rPr>
          <w:rFonts w:asciiTheme="majorBidi" w:hAnsiTheme="majorBidi" w:cstheme="majorBidi"/>
          <w:color w:val="000000"/>
        </w:rPr>
      </w:pPr>
      <w:r w:rsidRPr="004224FB">
        <w:rPr>
          <w:rFonts w:asciiTheme="majorBidi" w:hAnsiTheme="majorBidi" w:cstheme="majorBidi"/>
          <w:color w:val="000000"/>
        </w:rPr>
        <w:t>Ainsi, il permet de :</w:t>
      </w:r>
    </w:p>
    <w:p w14:paraId="589C956D" w14:textId="77777777" w:rsidR="00E038EA" w:rsidRPr="004224FB" w:rsidRDefault="00E038EA" w:rsidP="00C13671">
      <w:pPr>
        <w:pStyle w:val="Paragraphedeliste"/>
        <w:numPr>
          <w:ilvl w:val="0"/>
          <w:numId w:val="24"/>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Assurer le respect des contraintes tout en favorisant un mode de gestion contractuel ;</w:t>
      </w:r>
    </w:p>
    <w:p w14:paraId="0A1D553C" w14:textId="77777777" w:rsidR="00E038EA" w:rsidRPr="004224FB" w:rsidRDefault="00E038EA" w:rsidP="00C13671">
      <w:pPr>
        <w:pStyle w:val="Paragraphedeliste"/>
        <w:numPr>
          <w:ilvl w:val="0"/>
          <w:numId w:val="24"/>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Responsabiliser l’ensemble des niveaux hiérarchiques grâce à un mécanisme de délégations successives ;</w:t>
      </w:r>
    </w:p>
    <w:p w14:paraId="225BA216" w14:textId="77777777" w:rsidR="00E038EA" w:rsidRPr="004224FB" w:rsidRDefault="00E038EA" w:rsidP="00C13671">
      <w:pPr>
        <w:pStyle w:val="Paragraphedeliste"/>
        <w:numPr>
          <w:ilvl w:val="0"/>
          <w:numId w:val="24"/>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Encourager un questionnement régulier et développer des compétences en négociation dans divers contextes de communication ;</w:t>
      </w:r>
    </w:p>
    <w:p w14:paraId="3065DDD1" w14:textId="77777777" w:rsidR="00E038EA" w:rsidRPr="004224FB" w:rsidRDefault="00E038EA" w:rsidP="00C13671">
      <w:pPr>
        <w:pStyle w:val="Paragraphedeliste"/>
        <w:numPr>
          <w:ilvl w:val="0"/>
          <w:numId w:val="24"/>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Surveiller en permanence les événements susceptibles d’affecter les prévisions budgétaires ;</w:t>
      </w:r>
    </w:p>
    <w:p w14:paraId="4EFB5AC4" w14:textId="77777777" w:rsidR="00E038EA" w:rsidRPr="004224FB" w:rsidRDefault="00E038EA" w:rsidP="00C13671">
      <w:pPr>
        <w:pStyle w:val="Paragraphedeliste"/>
        <w:numPr>
          <w:ilvl w:val="0"/>
          <w:numId w:val="24"/>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Établir des prévisions et élaborer un programme d’activités cohérent avec les objectifs stratégiques de l’organisation.</w:t>
      </w:r>
    </w:p>
    <w:p w14:paraId="1BD5E1C1" w14:textId="77777777" w:rsidR="00E038EA" w:rsidRPr="004224FB" w:rsidRDefault="00E038EA" w:rsidP="00AE3850">
      <w:pPr>
        <w:spacing w:line="360" w:lineRule="auto"/>
        <w:jc w:val="both"/>
        <w:rPr>
          <w:rFonts w:asciiTheme="majorBidi" w:hAnsiTheme="majorBidi" w:cstheme="majorBidi"/>
          <w:color w:val="000000"/>
        </w:rPr>
      </w:pPr>
    </w:p>
    <w:p w14:paraId="774266B4" w14:textId="55331AC6" w:rsidR="00E038EA" w:rsidRPr="008A631B" w:rsidRDefault="00E038EA" w:rsidP="00C13671">
      <w:pPr>
        <w:pStyle w:val="Titre3"/>
        <w:numPr>
          <w:ilvl w:val="0"/>
          <w:numId w:val="102"/>
        </w:numPr>
        <w:spacing w:line="360" w:lineRule="auto"/>
        <w:jc w:val="both"/>
        <w:rPr>
          <w:rFonts w:asciiTheme="majorBidi" w:hAnsiTheme="majorBidi"/>
          <w:b/>
          <w:bCs/>
          <w:color w:val="auto"/>
          <w:sz w:val="24"/>
          <w:szCs w:val="24"/>
          <w:u w:val="single"/>
        </w:rPr>
      </w:pPr>
      <w:bookmarkStart w:id="104" w:name="_Toc199314418"/>
      <w:r w:rsidRPr="008A631B">
        <w:rPr>
          <w:rFonts w:asciiTheme="majorBidi" w:hAnsiTheme="majorBidi"/>
          <w:b/>
          <w:bCs/>
          <w:color w:val="auto"/>
          <w:sz w:val="24"/>
          <w:szCs w:val="24"/>
          <w:u w:val="single"/>
        </w:rPr>
        <w:t>Les objectifs du contrôle budgétaire</w:t>
      </w:r>
      <w:r w:rsidR="008A631B" w:rsidRPr="008A631B">
        <w:rPr>
          <w:rFonts w:asciiTheme="majorBidi" w:hAnsiTheme="majorBidi"/>
          <w:b/>
          <w:bCs/>
          <w:color w:val="auto"/>
          <w:sz w:val="24"/>
          <w:szCs w:val="24"/>
          <w:u w:val="single"/>
        </w:rPr>
        <w:t xml:space="preserve"> :</w:t>
      </w:r>
      <w:bookmarkEnd w:id="104"/>
    </w:p>
    <w:p w14:paraId="496AED11" w14:textId="77777777" w:rsidR="00E038EA" w:rsidRPr="004224FB" w:rsidRDefault="00E038EA" w:rsidP="00AE3850">
      <w:pPr>
        <w:spacing w:line="360" w:lineRule="auto"/>
        <w:ind w:firstLine="708"/>
        <w:jc w:val="both"/>
        <w:rPr>
          <w:rFonts w:asciiTheme="majorBidi" w:hAnsiTheme="majorBidi" w:cstheme="majorBidi"/>
          <w:color w:val="000000"/>
        </w:rPr>
      </w:pPr>
      <w:r w:rsidRPr="004224FB">
        <w:rPr>
          <w:rFonts w:asciiTheme="majorBidi" w:hAnsiTheme="majorBidi" w:cstheme="majorBidi"/>
          <w:color w:val="000000"/>
        </w:rPr>
        <w:t xml:space="preserve">Le contrôle budgétaire poursuit plusieurs objectifs stratégiques, essentiels à la bonne gouvernance financière et à l’optimisation des ressources organisationnelles. </w:t>
      </w:r>
    </w:p>
    <w:p w14:paraId="261591C0" w14:textId="77777777" w:rsidR="00E038EA" w:rsidRPr="004224FB" w:rsidRDefault="00E038EA" w:rsidP="00AE3850">
      <w:pPr>
        <w:spacing w:line="360" w:lineRule="auto"/>
        <w:ind w:firstLine="708"/>
        <w:jc w:val="both"/>
        <w:rPr>
          <w:rFonts w:asciiTheme="majorBidi" w:hAnsiTheme="majorBidi" w:cstheme="majorBidi"/>
        </w:rPr>
      </w:pPr>
      <w:r w:rsidRPr="004224FB">
        <w:rPr>
          <w:rFonts w:asciiTheme="majorBidi" w:hAnsiTheme="majorBidi" w:cstheme="majorBidi"/>
          <w:color w:val="000000"/>
        </w:rPr>
        <w:t>Parmi ces objectifs, on peut citer</w:t>
      </w:r>
      <w:r w:rsidRPr="004224FB">
        <w:rPr>
          <w:rStyle w:val="Appelnotedebasdep"/>
          <w:rFonts w:asciiTheme="majorBidi" w:hAnsiTheme="majorBidi" w:cstheme="majorBidi"/>
          <w:color w:val="000000"/>
        </w:rPr>
        <w:footnoteReference w:id="41"/>
      </w:r>
      <w:r w:rsidRPr="004224FB">
        <w:rPr>
          <w:rFonts w:asciiTheme="majorBidi" w:hAnsiTheme="majorBidi" w:cstheme="majorBidi"/>
          <w:color w:val="000000"/>
        </w:rPr>
        <w:t xml:space="preserve"> :</w:t>
      </w:r>
    </w:p>
    <w:p w14:paraId="24852DCC"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rPr>
      </w:pPr>
      <w:r w:rsidRPr="004224FB">
        <w:rPr>
          <w:rFonts w:asciiTheme="majorBidi" w:hAnsiTheme="majorBidi" w:cstheme="majorBidi"/>
          <w:color w:val="000000"/>
        </w:rPr>
        <w:t>Motiver les responsables et surveiller les délégations afin de garantir une implication efficace des acteurs dans la gestion budgétaire ;</w:t>
      </w:r>
    </w:p>
    <w:p w14:paraId="243AA3AF"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Encourager le dialogue et la communication pour assurer une meilleure coordination entre les différentes parties prenantes ;</w:t>
      </w:r>
    </w:p>
    <w:p w14:paraId="78A6295E"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Coordonner les activités des différentes unités, en veillant à la cohésion entre les centres de responsabilité et en évaluant la maîtrise du processus de décentralisation ;</w:t>
      </w:r>
    </w:p>
    <w:p w14:paraId="198DEF37"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Mesurer la performance, en analysant l’exécution budgétaire et son adéquation avec les objectifs fixés, ce qui reflète le degré de contrôle des facteurs clés de succès ;</w:t>
      </w:r>
    </w:p>
    <w:p w14:paraId="751ED264"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lastRenderedPageBreak/>
        <w:t>Fournir aux décideurs des informations stratégiques sur l’application et le suivi des orientations budgétaires ;</w:t>
      </w:r>
    </w:p>
    <w:p w14:paraId="3A7A361F"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Identifier et analyser les écarts significatifs entre les prévisions et les réalisations afin de mieux comprendre les facteurs de variation ;</w:t>
      </w:r>
    </w:p>
    <w:p w14:paraId="7D7B1D66"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Réajuster les prévisions et mettre en place des actions correctives pour améliorer la gestion budgétaire en temps réel ;</w:t>
      </w:r>
    </w:p>
    <w:p w14:paraId="7723BF99"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S’assurer que l’élaboration des budgets intègre une approche participative, en prenant en compte les contributions formulées à tous les niveaux de gestion ;</w:t>
      </w:r>
    </w:p>
    <w:p w14:paraId="317A4000"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Responsabiliser chaque gestionnaire impliqué dans le processus budgétaire, en lui confiant un rôle actif dans son domaine d’intervention ;</w:t>
      </w:r>
    </w:p>
    <w:p w14:paraId="39F61DBC" w14:textId="77777777" w:rsidR="00E038EA" w:rsidRPr="004224FB" w:rsidRDefault="00E038EA" w:rsidP="00C13671">
      <w:pPr>
        <w:pStyle w:val="Paragraphedeliste"/>
        <w:numPr>
          <w:ilvl w:val="0"/>
          <w:numId w:val="25"/>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Optimiser la rentabilité de l’organisation, en contrôlant efficacement les recettes et les dépenses afin d’atteindre les objectifs de performance financière.</w:t>
      </w:r>
    </w:p>
    <w:p w14:paraId="31DF980E" w14:textId="77777777" w:rsidR="00E038EA" w:rsidRPr="004224FB" w:rsidRDefault="00E038EA" w:rsidP="00AE3850">
      <w:pPr>
        <w:spacing w:line="360" w:lineRule="auto"/>
        <w:jc w:val="both"/>
        <w:rPr>
          <w:rFonts w:asciiTheme="majorBidi" w:hAnsiTheme="majorBidi" w:cstheme="majorBidi"/>
        </w:rPr>
      </w:pPr>
    </w:p>
    <w:p w14:paraId="69D913FF" w14:textId="73C3B6DF" w:rsidR="00E038EA" w:rsidRPr="008A631B" w:rsidRDefault="00E038EA" w:rsidP="00C13671">
      <w:pPr>
        <w:pStyle w:val="Titre3"/>
        <w:numPr>
          <w:ilvl w:val="0"/>
          <w:numId w:val="102"/>
        </w:numPr>
        <w:spacing w:line="360" w:lineRule="auto"/>
        <w:jc w:val="both"/>
        <w:rPr>
          <w:rFonts w:asciiTheme="majorBidi" w:hAnsiTheme="majorBidi"/>
          <w:b/>
          <w:bCs/>
          <w:color w:val="auto"/>
          <w:sz w:val="24"/>
          <w:szCs w:val="24"/>
          <w:u w:val="single"/>
        </w:rPr>
      </w:pPr>
      <w:bookmarkStart w:id="105" w:name="_Toc199314419"/>
      <w:r w:rsidRPr="008A631B">
        <w:rPr>
          <w:rFonts w:asciiTheme="majorBidi" w:hAnsiTheme="majorBidi"/>
          <w:b/>
          <w:bCs/>
          <w:color w:val="auto"/>
          <w:sz w:val="24"/>
          <w:szCs w:val="24"/>
          <w:u w:val="single"/>
        </w:rPr>
        <w:t>Les différentes étapes du contrôle budgétaire</w:t>
      </w:r>
      <w:r w:rsidR="008A631B" w:rsidRPr="008A631B">
        <w:rPr>
          <w:rFonts w:asciiTheme="majorBidi" w:hAnsiTheme="majorBidi"/>
          <w:b/>
          <w:bCs/>
          <w:color w:val="auto"/>
          <w:sz w:val="24"/>
          <w:szCs w:val="24"/>
          <w:u w:val="single"/>
        </w:rPr>
        <w:t xml:space="preserve"> :</w:t>
      </w:r>
      <w:bookmarkEnd w:id="105"/>
    </w:p>
    <w:p w14:paraId="47E0FF58"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D'une manière générale, le contrôle budgétaire se déroule en trois étapes principales :</w:t>
      </w:r>
    </w:p>
    <w:p w14:paraId="1DB0A76A" w14:textId="3A9F7F4E" w:rsidR="00E038EA" w:rsidRPr="008A631B" w:rsidRDefault="00E038EA" w:rsidP="00C13671">
      <w:pPr>
        <w:pStyle w:val="Titre4"/>
        <w:numPr>
          <w:ilvl w:val="0"/>
          <w:numId w:val="103"/>
        </w:numPr>
        <w:spacing w:line="360" w:lineRule="auto"/>
        <w:jc w:val="both"/>
        <w:rPr>
          <w:rFonts w:asciiTheme="majorBidi" w:hAnsiTheme="majorBidi"/>
          <w:b/>
          <w:bCs/>
          <w:i w:val="0"/>
          <w:iCs w:val="0"/>
          <w:color w:val="auto"/>
          <w:u w:val="single"/>
        </w:rPr>
      </w:pPr>
      <w:bookmarkStart w:id="106" w:name="_Toc199314420"/>
      <w:r w:rsidRPr="008A631B">
        <w:rPr>
          <w:rFonts w:asciiTheme="majorBidi" w:hAnsiTheme="majorBidi"/>
          <w:b/>
          <w:bCs/>
          <w:i w:val="0"/>
          <w:iCs w:val="0"/>
          <w:color w:val="auto"/>
          <w:u w:val="single"/>
        </w:rPr>
        <w:t>Le contrôle avant l'action ou contrôle a priori</w:t>
      </w:r>
      <w:r w:rsidR="008A631B" w:rsidRPr="008A631B">
        <w:rPr>
          <w:rFonts w:asciiTheme="majorBidi" w:hAnsiTheme="majorBidi"/>
          <w:b/>
          <w:bCs/>
          <w:i w:val="0"/>
          <w:iCs w:val="0"/>
          <w:color w:val="auto"/>
          <w:u w:val="single"/>
        </w:rPr>
        <w:t xml:space="preserve"> :</w:t>
      </w:r>
      <w:bookmarkEnd w:id="106"/>
    </w:p>
    <w:p w14:paraId="1D135C2F"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  Ce contrôle intervient principalement lors de l'élaboration des budgets. Il vise à anticiper les conséquences des décisions avant leur mise en œuvre et joue un rôle essentiel dans la gestion budgétaire</w:t>
      </w:r>
      <w:r w:rsidRPr="004224FB">
        <w:rPr>
          <w:rStyle w:val="Appelnotedebasdep"/>
          <w:rFonts w:asciiTheme="majorBidi" w:hAnsiTheme="majorBidi" w:cstheme="majorBidi"/>
          <w:color w:val="000000"/>
        </w:rPr>
        <w:footnoteReference w:id="42"/>
      </w:r>
      <w:r w:rsidRPr="004224FB">
        <w:rPr>
          <w:rFonts w:asciiTheme="majorBidi" w:hAnsiTheme="majorBidi" w:cstheme="majorBidi"/>
          <w:color w:val="000000"/>
        </w:rPr>
        <w:t>. Plus précisément, il permet :</w:t>
      </w:r>
    </w:p>
    <w:p w14:paraId="0AC44647" w14:textId="77777777" w:rsidR="00E038EA" w:rsidRPr="004224FB" w:rsidRDefault="00E038EA" w:rsidP="00C13671">
      <w:pPr>
        <w:pStyle w:val="Paragraphedeliste"/>
        <w:numPr>
          <w:ilvl w:val="0"/>
          <w:numId w:val="26"/>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Aux cadres opérationnels d’anticiper les impacts de leurs décisions avant d'engager des actions ;</w:t>
      </w:r>
    </w:p>
    <w:p w14:paraId="26C8C50C" w14:textId="77777777" w:rsidR="00E038EA" w:rsidRPr="004224FB" w:rsidRDefault="00E038EA" w:rsidP="00C13671">
      <w:pPr>
        <w:pStyle w:val="Paragraphedeliste"/>
        <w:numPr>
          <w:ilvl w:val="0"/>
          <w:numId w:val="26"/>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Aux supérieurs hiérarchiques de définir les limites de leurs délégations de pouvoir en simulant le fonctionnement de leur périmètre de responsabilité, composé de plusieurs unités sous leur autorité.</w:t>
      </w:r>
    </w:p>
    <w:p w14:paraId="7F3C1A1F" w14:textId="77777777" w:rsidR="00E038EA" w:rsidRPr="004224FB" w:rsidRDefault="00E038EA" w:rsidP="00AE3850">
      <w:pPr>
        <w:spacing w:line="360" w:lineRule="auto"/>
        <w:ind w:firstLine="708"/>
        <w:jc w:val="both"/>
        <w:rPr>
          <w:rFonts w:asciiTheme="majorBidi" w:hAnsiTheme="majorBidi" w:cstheme="majorBidi"/>
          <w:color w:val="000000"/>
        </w:rPr>
      </w:pPr>
      <w:r w:rsidRPr="004224FB">
        <w:rPr>
          <w:rFonts w:asciiTheme="majorBidi" w:hAnsiTheme="majorBidi" w:cstheme="majorBidi"/>
          <w:color w:val="000000"/>
        </w:rPr>
        <w:t>Ainsi, le contrôle a priori est étroitement lié à la fonction de simulation, qui constitue aujourd’hui un élément fondamental du processus de budgétisation.</w:t>
      </w:r>
    </w:p>
    <w:p w14:paraId="3FC32361" w14:textId="77777777" w:rsidR="00E038EA" w:rsidRPr="004224FB" w:rsidRDefault="00E038EA" w:rsidP="00AE3850">
      <w:pPr>
        <w:spacing w:line="360" w:lineRule="auto"/>
        <w:ind w:firstLine="708"/>
        <w:jc w:val="both"/>
        <w:rPr>
          <w:rFonts w:asciiTheme="majorBidi" w:hAnsiTheme="majorBidi" w:cstheme="majorBidi"/>
          <w:color w:val="000000"/>
        </w:rPr>
      </w:pPr>
    </w:p>
    <w:p w14:paraId="3C310D7D" w14:textId="54FB441C" w:rsidR="00E038EA" w:rsidRPr="008A631B" w:rsidRDefault="00E038EA" w:rsidP="00C13671">
      <w:pPr>
        <w:pStyle w:val="Titre4"/>
        <w:numPr>
          <w:ilvl w:val="0"/>
          <w:numId w:val="103"/>
        </w:numPr>
        <w:spacing w:line="360" w:lineRule="auto"/>
        <w:jc w:val="both"/>
        <w:rPr>
          <w:rFonts w:asciiTheme="majorBidi" w:hAnsiTheme="majorBidi"/>
          <w:b/>
          <w:bCs/>
          <w:i w:val="0"/>
          <w:iCs w:val="0"/>
          <w:color w:val="auto"/>
          <w:u w:val="single"/>
        </w:rPr>
      </w:pPr>
      <w:bookmarkStart w:id="107" w:name="_Toc199314421"/>
      <w:r w:rsidRPr="008A631B">
        <w:rPr>
          <w:rFonts w:asciiTheme="majorBidi" w:hAnsiTheme="majorBidi"/>
          <w:b/>
          <w:bCs/>
          <w:i w:val="0"/>
          <w:iCs w:val="0"/>
          <w:color w:val="auto"/>
          <w:u w:val="single"/>
        </w:rPr>
        <w:lastRenderedPageBreak/>
        <w:t>Le contrôle pendant l'action ou contrôle concomitant</w:t>
      </w:r>
      <w:r w:rsidR="008A631B" w:rsidRPr="008A631B">
        <w:rPr>
          <w:rFonts w:asciiTheme="majorBidi" w:hAnsiTheme="majorBidi"/>
          <w:b/>
          <w:bCs/>
          <w:i w:val="0"/>
          <w:iCs w:val="0"/>
          <w:color w:val="auto"/>
          <w:u w:val="single"/>
        </w:rPr>
        <w:t xml:space="preserve"> :</w:t>
      </w:r>
      <w:bookmarkEnd w:id="107"/>
    </w:p>
    <w:p w14:paraId="40DF58AA" w14:textId="77777777" w:rsidR="00E038EA" w:rsidRPr="004224FB" w:rsidRDefault="00E038EA" w:rsidP="00AE3850">
      <w:pPr>
        <w:spacing w:line="360" w:lineRule="auto"/>
        <w:ind w:firstLine="708"/>
        <w:jc w:val="both"/>
        <w:rPr>
          <w:rFonts w:asciiTheme="majorBidi" w:hAnsiTheme="majorBidi" w:cstheme="majorBidi"/>
          <w:b/>
          <w:bCs/>
        </w:rPr>
      </w:pPr>
      <w:r w:rsidRPr="004224FB">
        <w:rPr>
          <w:rFonts w:asciiTheme="majorBidi" w:hAnsiTheme="majorBidi" w:cstheme="majorBidi"/>
          <w:color w:val="000000"/>
        </w:rPr>
        <w:t>Le contrôle concomitant est un contrôle opérationnel qui vise à ajuster en temps réel les écarts significatifs entre les prévisions et les réalisations. Son objectif principal est de permettre la mise en œuvre rapide d’actions correctives lorsque cela est nécessaire (Ibid.).</w:t>
      </w:r>
    </w:p>
    <w:p w14:paraId="53594CF2"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Pour assurer son efficacité, il repose sur :</w:t>
      </w:r>
    </w:p>
    <w:p w14:paraId="23E9BBEE" w14:textId="77777777" w:rsidR="00E038EA" w:rsidRPr="004224FB" w:rsidRDefault="00E038EA" w:rsidP="00C13671">
      <w:pPr>
        <w:pStyle w:val="Paragraphedeliste"/>
        <w:numPr>
          <w:ilvl w:val="0"/>
          <w:numId w:val="29"/>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La transmission rapide et continue des informations sur les réalisations aux acteurs opérationnels ;</w:t>
      </w:r>
    </w:p>
    <w:p w14:paraId="58DB4F09" w14:textId="77777777" w:rsidR="00E038EA" w:rsidRDefault="00E038EA" w:rsidP="00C13671">
      <w:pPr>
        <w:pStyle w:val="Paragraphedeliste"/>
        <w:numPr>
          <w:ilvl w:val="0"/>
          <w:numId w:val="29"/>
        </w:numPr>
        <w:spacing w:after="200" w:line="360" w:lineRule="auto"/>
        <w:jc w:val="both"/>
        <w:rPr>
          <w:rFonts w:asciiTheme="majorBidi" w:hAnsiTheme="majorBidi" w:cstheme="majorBidi"/>
          <w:color w:val="000000"/>
        </w:rPr>
      </w:pPr>
      <w:r w:rsidRPr="00893D59">
        <w:rPr>
          <w:rFonts w:asciiTheme="majorBidi" w:hAnsiTheme="majorBidi" w:cstheme="majorBidi"/>
          <w:color w:val="000000"/>
        </w:rPr>
        <w:t>L’identification des sources de problèmes par le biais de l’analyse des écarts.</w:t>
      </w:r>
    </w:p>
    <w:p w14:paraId="7073E13C" w14:textId="77777777" w:rsidR="00E038EA" w:rsidRPr="00893D59" w:rsidRDefault="00E038EA" w:rsidP="00AE3850">
      <w:pPr>
        <w:pStyle w:val="Paragraphedeliste"/>
        <w:spacing w:line="360" w:lineRule="auto"/>
        <w:jc w:val="both"/>
        <w:rPr>
          <w:rFonts w:asciiTheme="majorBidi" w:hAnsiTheme="majorBidi" w:cstheme="majorBidi"/>
          <w:color w:val="000000"/>
        </w:rPr>
      </w:pPr>
    </w:p>
    <w:p w14:paraId="2894BA40" w14:textId="451418B5" w:rsidR="00E038EA" w:rsidRPr="008A631B" w:rsidRDefault="00E038EA" w:rsidP="00C13671">
      <w:pPr>
        <w:pStyle w:val="Titre4"/>
        <w:numPr>
          <w:ilvl w:val="0"/>
          <w:numId w:val="103"/>
        </w:numPr>
        <w:spacing w:line="360" w:lineRule="auto"/>
        <w:jc w:val="both"/>
        <w:rPr>
          <w:rFonts w:asciiTheme="majorBidi" w:hAnsiTheme="majorBidi"/>
          <w:b/>
          <w:bCs/>
          <w:i w:val="0"/>
          <w:iCs w:val="0"/>
          <w:color w:val="auto"/>
          <w:u w:val="single"/>
        </w:rPr>
      </w:pPr>
      <w:bookmarkStart w:id="108" w:name="_Toc199314422"/>
      <w:r w:rsidRPr="008A631B">
        <w:rPr>
          <w:rFonts w:asciiTheme="majorBidi" w:hAnsiTheme="majorBidi"/>
          <w:b/>
          <w:bCs/>
          <w:i w:val="0"/>
          <w:iCs w:val="0"/>
          <w:color w:val="auto"/>
          <w:u w:val="single"/>
        </w:rPr>
        <w:t>Le contrôle après l'action ou contrôle a posteriori</w:t>
      </w:r>
      <w:r w:rsidR="008A631B" w:rsidRPr="008A631B">
        <w:rPr>
          <w:rFonts w:asciiTheme="majorBidi" w:hAnsiTheme="majorBidi"/>
          <w:b/>
          <w:bCs/>
          <w:i w:val="0"/>
          <w:iCs w:val="0"/>
          <w:color w:val="auto"/>
          <w:u w:val="single"/>
        </w:rPr>
        <w:t xml:space="preserve"> :</w:t>
      </w:r>
      <w:bookmarkEnd w:id="108"/>
    </w:p>
    <w:p w14:paraId="6CBA020A"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  Ce contrôle intervient à la fin du cycle budgétaire et repose sur l’évaluation des performances à travers l’analyse des résultats obtenus. Il s’appuie sur deux types d’informations :</w:t>
      </w:r>
    </w:p>
    <w:p w14:paraId="36ED1CD7" w14:textId="77777777" w:rsidR="00E038EA" w:rsidRPr="004224FB" w:rsidRDefault="00E038EA" w:rsidP="00C13671">
      <w:pPr>
        <w:pStyle w:val="Paragraphedeliste"/>
        <w:numPr>
          <w:ilvl w:val="0"/>
          <w:numId w:val="28"/>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Les informations systématiques, qui comparent les réalisations finales aux prévisions initiales ;</w:t>
      </w:r>
    </w:p>
    <w:p w14:paraId="41782A77" w14:textId="77777777" w:rsidR="00E038EA" w:rsidRPr="004224FB" w:rsidRDefault="00E038EA" w:rsidP="00C13671">
      <w:pPr>
        <w:pStyle w:val="Paragraphedeliste"/>
        <w:numPr>
          <w:ilvl w:val="0"/>
          <w:numId w:val="28"/>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Les informations conjoncturelles, qui mettent en évidence les événements imprévus ainsi que leurs causes et conséquences sur les écarts constatés.</w:t>
      </w:r>
    </w:p>
    <w:p w14:paraId="3A01E036" w14:textId="77777777" w:rsidR="00E038EA" w:rsidRPr="004224FB" w:rsidRDefault="00E038EA" w:rsidP="00AE3850">
      <w:pPr>
        <w:spacing w:line="360" w:lineRule="auto"/>
        <w:jc w:val="both"/>
        <w:rPr>
          <w:rFonts w:asciiTheme="majorBidi" w:hAnsiTheme="majorBidi" w:cstheme="majorBidi"/>
          <w:color w:val="000000"/>
        </w:rPr>
      </w:pPr>
      <w:r w:rsidRPr="004224FB">
        <w:rPr>
          <w:rFonts w:asciiTheme="majorBidi" w:hAnsiTheme="majorBidi" w:cstheme="majorBidi"/>
          <w:color w:val="000000"/>
        </w:rPr>
        <w:t>Le contrôle a posteriori joue un rôle essentiel puisqu’il permet d’analyser en profondeur la gestion budgétaire et d’identifier des axes d’amélioration. Il vise notamment à :</w:t>
      </w:r>
    </w:p>
    <w:p w14:paraId="75034E4E" w14:textId="77777777" w:rsidR="00E038EA" w:rsidRPr="004224FB" w:rsidRDefault="00E038EA" w:rsidP="00C13671">
      <w:pPr>
        <w:pStyle w:val="Paragraphedeliste"/>
        <w:numPr>
          <w:ilvl w:val="0"/>
          <w:numId w:val="27"/>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Fournir aux responsables des unités de gestion les éléments nécessaires à l’établissement de leur compte rendu de gestion ;</w:t>
      </w:r>
    </w:p>
    <w:p w14:paraId="1AE00C9C" w14:textId="77777777" w:rsidR="00E038EA" w:rsidRPr="004224FB" w:rsidRDefault="00E038EA" w:rsidP="00C13671">
      <w:pPr>
        <w:pStyle w:val="Paragraphedeliste"/>
        <w:numPr>
          <w:ilvl w:val="0"/>
          <w:numId w:val="27"/>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Mettre à jour les normes techniques et économiques utilisées ;</w:t>
      </w:r>
    </w:p>
    <w:p w14:paraId="20508355" w14:textId="77777777" w:rsidR="00E038EA" w:rsidRPr="004224FB" w:rsidRDefault="00E038EA" w:rsidP="00C13671">
      <w:pPr>
        <w:pStyle w:val="Paragraphedeliste"/>
        <w:numPr>
          <w:ilvl w:val="0"/>
          <w:numId w:val="27"/>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Renforcer la fiabilité du processus budgétaire et ajuster les grandes orientations stratégiques.</w:t>
      </w:r>
    </w:p>
    <w:p w14:paraId="4BCB125E" w14:textId="77777777" w:rsidR="00E038EA" w:rsidRPr="004224FB" w:rsidRDefault="00E038EA" w:rsidP="00AE3850">
      <w:pPr>
        <w:spacing w:line="360" w:lineRule="auto"/>
        <w:jc w:val="both"/>
        <w:rPr>
          <w:rFonts w:asciiTheme="majorBidi" w:hAnsiTheme="majorBidi" w:cstheme="majorBidi"/>
          <w:color w:val="000000"/>
        </w:rPr>
      </w:pPr>
    </w:p>
    <w:p w14:paraId="488C8CB8" w14:textId="77777777" w:rsidR="00E038EA" w:rsidRDefault="00E038EA" w:rsidP="00AE3850">
      <w:pPr>
        <w:spacing w:line="360" w:lineRule="auto"/>
        <w:jc w:val="both"/>
        <w:rPr>
          <w:rFonts w:asciiTheme="majorBidi" w:eastAsia="Times New Roman" w:hAnsiTheme="majorBidi" w:cstheme="majorBidi"/>
          <w:b/>
          <w:bCs/>
          <w:u w:val="single"/>
          <w:lang w:eastAsia="fr-FR"/>
        </w:rPr>
      </w:pPr>
      <w:r>
        <w:rPr>
          <w:rFonts w:asciiTheme="majorBidi" w:eastAsia="Times New Roman" w:hAnsiTheme="majorBidi" w:cstheme="majorBidi"/>
          <w:b/>
          <w:bCs/>
          <w:u w:val="single"/>
          <w:lang w:eastAsia="fr-FR"/>
        </w:rPr>
        <w:br w:type="page"/>
      </w:r>
    </w:p>
    <w:p w14:paraId="52FF5040" w14:textId="26AB8C45" w:rsidR="00E038EA" w:rsidRPr="008A631B" w:rsidRDefault="00E038EA" w:rsidP="00C13671">
      <w:pPr>
        <w:pStyle w:val="Paragraphedeliste"/>
        <w:numPr>
          <w:ilvl w:val="0"/>
          <w:numId w:val="102"/>
        </w:numPr>
        <w:spacing w:after="200" w:line="360" w:lineRule="auto"/>
        <w:jc w:val="both"/>
        <w:rPr>
          <w:rFonts w:asciiTheme="majorBidi" w:eastAsia="Times New Roman" w:hAnsiTheme="majorBidi" w:cstheme="majorBidi"/>
          <w:b/>
          <w:bCs/>
          <w:u w:val="single"/>
          <w:lang w:eastAsia="fr-FR"/>
        </w:rPr>
      </w:pPr>
      <w:bookmarkStart w:id="109" w:name="_Toc199314423"/>
      <w:r w:rsidRPr="008A631B">
        <w:rPr>
          <w:rStyle w:val="Titre3Car"/>
          <w:rFonts w:asciiTheme="majorBidi" w:hAnsiTheme="majorBidi"/>
          <w:b/>
          <w:bCs/>
          <w:color w:val="auto"/>
          <w:sz w:val="24"/>
          <w:szCs w:val="24"/>
          <w:u w:val="single"/>
        </w:rPr>
        <w:lastRenderedPageBreak/>
        <w:t>Les caractéristiques du contrôle budgétaire</w:t>
      </w:r>
      <w:r w:rsidR="008A631B" w:rsidRPr="008A631B">
        <w:rPr>
          <w:rStyle w:val="Titre3Car"/>
          <w:rFonts w:asciiTheme="majorBidi" w:hAnsiTheme="majorBidi"/>
          <w:b/>
          <w:bCs/>
          <w:color w:val="auto"/>
          <w:sz w:val="24"/>
          <w:szCs w:val="24"/>
          <w:u w:val="single"/>
        </w:rPr>
        <w:t xml:space="preserve"> :</w:t>
      </w:r>
      <w:bookmarkEnd w:id="109"/>
      <w:r w:rsidR="008A631B" w:rsidRPr="008A631B">
        <w:rPr>
          <w:rFonts w:asciiTheme="majorBidi" w:eastAsia="Times New Roman" w:hAnsiTheme="majorBidi" w:cstheme="majorBidi"/>
          <w:b/>
          <w:bCs/>
          <w:sz w:val="22"/>
          <w:szCs w:val="22"/>
          <w:lang w:eastAsia="fr-FR"/>
        </w:rPr>
        <w:t xml:space="preserve"> </w:t>
      </w:r>
      <w:r w:rsidR="006F481C" w:rsidRPr="008A631B">
        <w:rPr>
          <w:rStyle w:val="Appelnotedebasdep"/>
          <w:rFonts w:asciiTheme="majorBidi" w:eastAsia="Times New Roman" w:hAnsiTheme="majorBidi" w:cstheme="majorBidi"/>
          <w:color w:val="000000"/>
          <w:lang w:eastAsia="fr-FR"/>
        </w:rPr>
        <w:footnoteReference w:id="43"/>
      </w:r>
    </w:p>
    <w:p w14:paraId="27B68630"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   Le contrôle budgétaire présente plusieurs caractéristiques essentielles qui en font un outil clé du pilotage financier et de la gestion des performances organisationnelles.</w:t>
      </w:r>
    </w:p>
    <w:p w14:paraId="2046983C" w14:textId="16F90CE4" w:rsidR="00E038EA" w:rsidRPr="008A631B" w:rsidRDefault="00E038EA" w:rsidP="00C13671">
      <w:pPr>
        <w:pStyle w:val="Titre4"/>
        <w:numPr>
          <w:ilvl w:val="0"/>
          <w:numId w:val="104"/>
        </w:numPr>
        <w:spacing w:line="360" w:lineRule="auto"/>
        <w:jc w:val="both"/>
        <w:rPr>
          <w:rFonts w:asciiTheme="majorBidi" w:hAnsiTheme="majorBidi"/>
          <w:b/>
          <w:bCs/>
          <w:i w:val="0"/>
          <w:iCs w:val="0"/>
          <w:color w:val="auto"/>
          <w:u w:val="single"/>
          <w:lang w:eastAsia="fr-FR"/>
        </w:rPr>
      </w:pPr>
      <w:bookmarkStart w:id="110" w:name="_Toc199314424"/>
      <w:r w:rsidRPr="008A631B">
        <w:rPr>
          <w:rFonts w:asciiTheme="majorBidi" w:hAnsiTheme="majorBidi"/>
          <w:b/>
          <w:bCs/>
          <w:i w:val="0"/>
          <w:iCs w:val="0"/>
          <w:color w:val="auto"/>
          <w:u w:val="single"/>
          <w:lang w:eastAsia="fr-FR"/>
        </w:rPr>
        <w:t>Un composant du contrôle de gestion</w:t>
      </w:r>
      <w:r w:rsidR="008A631B" w:rsidRPr="008A631B">
        <w:rPr>
          <w:rFonts w:asciiTheme="majorBidi" w:hAnsiTheme="majorBidi"/>
          <w:b/>
          <w:bCs/>
          <w:i w:val="0"/>
          <w:iCs w:val="0"/>
          <w:color w:val="auto"/>
          <w:u w:val="single"/>
          <w:lang w:eastAsia="fr-FR"/>
        </w:rPr>
        <w:t xml:space="preserve"> :</w:t>
      </w:r>
      <w:bookmarkEnd w:id="110"/>
    </w:p>
    <w:p w14:paraId="4F4B037F"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contrôle budgétaire constitue un élément fondamental du contrôle de gestion, en contribuant au système d’information managérial. Il met en évidence les écarts entre les prévisions et les réalisations tout en identifiant leurs causes. Dans certaines organisations, le contrôle de gestion se limite exclusivement au contrôle budgétaire.</w:t>
      </w:r>
    </w:p>
    <w:p w14:paraId="0BD206D7" w14:textId="2B7C8FF8" w:rsidR="00E038EA" w:rsidRPr="008A631B" w:rsidRDefault="00E038EA" w:rsidP="00C13671">
      <w:pPr>
        <w:pStyle w:val="Titre4"/>
        <w:numPr>
          <w:ilvl w:val="0"/>
          <w:numId w:val="104"/>
        </w:numPr>
        <w:spacing w:line="360" w:lineRule="auto"/>
        <w:jc w:val="both"/>
        <w:rPr>
          <w:rFonts w:asciiTheme="majorBidi" w:hAnsiTheme="majorBidi"/>
          <w:b/>
          <w:bCs/>
          <w:i w:val="0"/>
          <w:iCs w:val="0"/>
          <w:color w:val="auto"/>
          <w:u w:val="single"/>
          <w:lang w:eastAsia="fr-FR"/>
        </w:rPr>
      </w:pPr>
      <w:bookmarkStart w:id="111" w:name="_Toc199314425"/>
      <w:r w:rsidRPr="008A631B">
        <w:rPr>
          <w:rFonts w:asciiTheme="majorBidi" w:hAnsiTheme="majorBidi"/>
          <w:b/>
          <w:bCs/>
          <w:i w:val="0"/>
          <w:iCs w:val="0"/>
          <w:color w:val="auto"/>
          <w:u w:val="single"/>
          <w:lang w:eastAsia="fr-FR"/>
        </w:rPr>
        <w:t>Un contrôle rétrospectif</w:t>
      </w:r>
      <w:r w:rsidR="008A631B" w:rsidRPr="008A631B">
        <w:rPr>
          <w:rFonts w:asciiTheme="majorBidi" w:hAnsiTheme="majorBidi"/>
          <w:b/>
          <w:bCs/>
          <w:i w:val="0"/>
          <w:iCs w:val="0"/>
          <w:color w:val="auto"/>
          <w:u w:val="single"/>
          <w:lang w:eastAsia="fr-FR"/>
        </w:rPr>
        <w:t xml:space="preserve"> :</w:t>
      </w:r>
      <w:bookmarkEnd w:id="111"/>
    </w:p>
    <w:p w14:paraId="135D2892"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contrôle budgétaire repose principalement sur une analyse a posteriori, en s’intéressant aux performances d’une période passée (généralement mensuelle). Il consiste à comparer les réalisations aux prévisions budgétaires et à examiner les causes des écarts constatés.</w:t>
      </w:r>
    </w:p>
    <w:p w14:paraId="77EA20EF" w14:textId="156FC476" w:rsidR="00E038EA" w:rsidRPr="008A631B" w:rsidRDefault="00E038EA" w:rsidP="00C13671">
      <w:pPr>
        <w:pStyle w:val="Titre4"/>
        <w:numPr>
          <w:ilvl w:val="0"/>
          <w:numId w:val="104"/>
        </w:numPr>
        <w:spacing w:line="360" w:lineRule="auto"/>
        <w:jc w:val="both"/>
        <w:rPr>
          <w:rFonts w:asciiTheme="majorBidi" w:hAnsiTheme="majorBidi"/>
          <w:b/>
          <w:bCs/>
          <w:i w:val="0"/>
          <w:iCs w:val="0"/>
          <w:color w:val="auto"/>
          <w:u w:val="single"/>
          <w:lang w:eastAsia="fr-FR"/>
        </w:rPr>
      </w:pPr>
      <w:bookmarkStart w:id="112" w:name="_Toc199314426"/>
      <w:r w:rsidRPr="008A631B">
        <w:rPr>
          <w:rFonts w:asciiTheme="majorBidi" w:hAnsiTheme="majorBidi"/>
          <w:b/>
          <w:bCs/>
          <w:i w:val="0"/>
          <w:iCs w:val="0"/>
          <w:color w:val="auto"/>
          <w:u w:val="single"/>
          <w:lang w:eastAsia="fr-FR"/>
        </w:rPr>
        <w:t>Une dominante financière</w:t>
      </w:r>
      <w:r w:rsidR="008A631B" w:rsidRPr="008A631B">
        <w:rPr>
          <w:rFonts w:asciiTheme="majorBidi" w:hAnsiTheme="majorBidi"/>
          <w:b/>
          <w:bCs/>
          <w:i w:val="0"/>
          <w:iCs w:val="0"/>
          <w:color w:val="auto"/>
          <w:u w:val="single"/>
          <w:lang w:eastAsia="fr-FR"/>
        </w:rPr>
        <w:t xml:space="preserve"> :</w:t>
      </w:r>
      <w:bookmarkEnd w:id="112"/>
    </w:p>
    <w:p w14:paraId="6BFE5DFE" w14:textId="77777777" w:rsidR="00E038EA" w:rsidRPr="004224FB" w:rsidRDefault="00E038EA" w:rsidP="00AE3850">
      <w:pPr>
        <w:spacing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Basé sur une approche comptable, le contrôle budgétaire privilégie les indicateurs financiers, exprimés en unités monétaires. Ces indicateurs permettent d’évaluer la santé financière de l’organisation et d’orienter les prises de décision.</w:t>
      </w:r>
    </w:p>
    <w:p w14:paraId="1868CC24" w14:textId="77777777" w:rsidR="00E038EA" w:rsidRPr="00893D59" w:rsidRDefault="00E038EA" w:rsidP="00AE3850">
      <w:pPr>
        <w:spacing w:line="360" w:lineRule="auto"/>
        <w:jc w:val="both"/>
        <w:rPr>
          <w:rFonts w:asciiTheme="majorBidi" w:eastAsia="Times New Roman" w:hAnsiTheme="majorBidi" w:cstheme="majorBidi"/>
          <w:b/>
          <w:bCs/>
          <w:color w:val="000000"/>
          <w:lang w:eastAsia="fr-FR"/>
        </w:rPr>
      </w:pPr>
    </w:p>
    <w:p w14:paraId="076C4617" w14:textId="53A098BD" w:rsidR="00E038EA" w:rsidRPr="008A631B" w:rsidRDefault="00E038EA" w:rsidP="00C13671">
      <w:pPr>
        <w:pStyle w:val="Titre4"/>
        <w:numPr>
          <w:ilvl w:val="0"/>
          <w:numId w:val="104"/>
        </w:numPr>
        <w:spacing w:line="360" w:lineRule="auto"/>
        <w:jc w:val="both"/>
        <w:rPr>
          <w:rFonts w:asciiTheme="majorBidi" w:hAnsiTheme="majorBidi"/>
          <w:b/>
          <w:bCs/>
          <w:i w:val="0"/>
          <w:iCs w:val="0"/>
          <w:color w:val="auto"/>
          <w:u w:val="single"/>
          <w:lang w:eastAsia="fr-FR"/>
        </w:rPr>
      </w:pPr>
      <w:bookmarkStart w:id="113" w:name="_Toc199314427"/>
      <w:r w:rsidRPr="008A631B">
        <w:rPr>
          <w:rFonts w:asciiTheme="majorBidi" w:hAnsiTheme="majorBidi"/>
          <w:b/>
          <w:bCs/>
          <w:i w:val="0"/>
          <w:iCs w:val="0"/>
          <w:color w:val="auto"/>
          <w:u w:val="single"/>
          <w:lang w:eastAsia="fr-FR"/>
        </w:rPr>
        <w:t>Un outil d’évaluation et d’ajustement</w:t>
      </w:r>
      <w:r w:rsidR="008A631B" w:rsidRPr="008A631B">
        <w:rPr>
          <w:rFonts w:asciiTheme="majorBidi" w:hAnsiTheme="majorBidi"/>
          <w:b/>
          <w:bCs/>
          <w:i w:val="0"/>
          <w:iCs w:val="0"/>
          <w:color w:val="auto"/>
          <w:u w:val="single"/>
          <w:lang w:eastAsia="fr-FR"/>
        </w:rPr>
        <w:t xml:space="preserve"> :</w:t>
      </w:r>
      <w:bookmarkEnd w:id="113"/>
    </w:p>
    <w:p w14:paraId="5FC99EFE" w14:textId="2FF787BB"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contrôle budgétaire joue un rôle essentiel dans le suivi de l’exécution des budgets. Il permet notamment :</w:t>
      </w:r>
    </w:p>
    <w:p w14:paraId="54E570C8" w14:textId="77777777" w:rsidR="00E038EA" w:rsidRPr="004224FB" w:rsidRDefault="00E038EA" w:rsidP="00C13671">
      <w:pPr>
        <w:pStyle w:val="Paragraphedeliste"/>
        <w:numPr>
          <w:ilvl w:val="0"/>
          <w:numId w:val="43"/>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D’évaluer la performance des acteurs en mesurant leur capacité à respecter les objectifs budgétaires ;</w:t>
      </w:r>
    </w:p>
    <w:p w14:paraId="012481D3" w14:textId="77777777" w:rsidR="00E038EA" w:rsidRPr="004224FB" w:rsidRDefault="00E038EA" w:rsidP="00C13671">
      <w:pPr>
        <w:pStyle w:val="Paragraphedeliste"/>
        <w:numPr>
          <w:ilvl w:val="0"/>
          <w:numId w:val="43"/>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De procéder aux ajustements nécessaires en mettant en place des régulations adaptées aux écarts constatés.</w:t>
      </w:r>
    </w:p>
    <w:p w14:paraId="709534F8" w14:textId="77777777" w:rsidR="00E038EA" w:rsidRPr="004224FB" w:rsidRDefault="00E038EA" w:rsidP="00AE3850">
      <w:pPr>
        <w:spacing w:line="360" w:lineRule="auto"/>
        <w:jc w:val="both"/>
        <w:rPr>
          <w:rFonts w:asciiTheme="majorBidi" w:eastAsia="Times New Roman" w:hAnsiTheme="majorBidi" w:cstheme="majorBidi"/>
          <w:color w:val="000000"/>
          <w:lang w:eastAsia="fr-FR"/>
        </w:rPr>
      </w:pPr>
    </w:p>
    <w:p w14:paraId="19416BBD" w14:textId="77777777" w:rsidR="008A631B" w:rsidRDefault="008A631B" w:rsidP="00AE3850">
      <w:pPr>
        <w:spacing w:line="360" w:lineRule="auto"/>
        <w:jc w:val="both"/>
        <w:rPr>
          <w:rFonts w:asciiTheme="majorBidi" w:eastAsia="Times New Roman" w:hAnsiTheme="majorBidi" w:cstheme="majorBidi"/>
          <w:b/>
          <w:bCs/>
          <w:u w:val="single"/>
          <w:lang w:eastAsia="fr-FR"/>
        </w:rPr>
      </w:pPr>
      <w:r>
        <w:rPr>
          <w:rFonts w:asciiTheme="majorBidi" w:eastAsia="Times New Roman" w:hAnsiTheme="majorBidi" w:cstheme="majorBidi"/>
          <w:b/>
          <w:bCs/>
          <w:u w:val="single"/>
          <w:lang w:eastAsia="fr-FR"/>
        </w:rPr>
        <w:br w:type="page"/>
      </w:r>
    </w:p>
    <w:p w14:paraId="271E0C93" w14:textId="05DFF9E4" w:rsidR="00E038EA" w:rsidRPr="007F12D4" w:rsidRDefault="00E038EA" w:rsidP="00C13671">
      <w:pPr>
        <w:pStyle w:val="Titre3"/>
        <w:numPr>
          <w:ilvl w:val="0"/>
          <w:numId w:val="102"/>
        </w:numPr>
        <w:spacing w:line="360" w:lineRule="auto"/>
        <w:jc w:val="both"/>
        <w:rPr>
          <w:rFonts w:asciiTheme="majorBidi" w:hAnsiTheme="majorBidi"/>
          <w:b/>
          <w:bCs/>
          <w:color w:val="auto"/>
          <w:sz w:val="24"/>
          <w:szCs w:val="24"/>
          <w:u w:val="single"/>
          <w:lang w:eastAsia="fr-FR"/>
        </w:rPr>
      </w:pPr>
      <w:bookmarkStart w:id="114" w:name="_Toc199314428"/>
      <w:r w:rsidRPr="007F12D4">
        <w:rPr>
          <w:rFonts w:asciiTheme="majorBidi" w:hAnsiTheme="majorBidi"/>
          <w:b/>
          <w:bCs/>
          <w:color w:val="auto"/>
          <w:sz w:val="24"/>
          <w:szCs w:val="24"/>
          <w:u w:val="single"/>
          <w:lang w:eastAsia="fr-FR"/>
        </w:rPr>
        <w:lastRenderedPageBreak/>
        <w:t>Avantages et limites du contrôle budgétaire</w:t>
      </w:r>
      <w:r w:rsidR="008A631B" w:rsidRPr="007F12D4">
        <w:rPr>
          <w:rFonts w:asciiTheme="majorBidi" w:hAnsiTheme="majorBidi"/>
          <w:b/>
          <w:bCs/>
          <w:color w:val="auto"/>
          <w:sz w:val="24"/>
          <w:szCs w:val="24"/>
          <w:u w:val="single"/>
          <w:lang w:eastAsia="fr-FR"/>
        </w:rPr>
        <w:t xml:space="preserve"> :</w:t>
      </w:r>
      <w:bookmarkEnd w:id="114"/>
    </w:p>
    <w:p w14:paraId="46D539CB" w14:textId="535BBC01" w:rsidR="00E038EA" w:rsidRPr="007F12D4" w:rsidRDefault="00E038EA" w:rsidP="00C13671">
      <w:pPr>
        <w:pStyle w:val="Titre4"/>
        <w:numPr>
          <w:ilvl w:val="0"/>
          <w:numId w:val="105"/>
        </w:numPr>
        <w:spacing w:line="360" w:lineRule="auto"/>
        <w:jc w:val="both"/>
        <w:rPr>
          <w:rFonts w:asciiTheme="majorBidi" w:hAnsiTheme="majorBidi"/>
          <w:b/>
          <w:bCs/>
          <w:i w:val="0"/>
          <w:iCs w:val="0"/>
          <w:color w:val="auto"/>
          <w:u w:val="single"/>
          <w:lang w:eastAsia="fr-FR"/>
        </w:rPr>
      </w:pPr>
      <w:bookmarkStart w:id="115" w:name="_Toc199314429"/>
      <w:r w:rsidRPr="007F12D4">
        <w:rPr>
          <w:rFonts w:asciiTheme="majorBidi" w:hAnsiTheme="majorBidi"/>
          <w:b/>
          <w:bCs/>
          <w:i w:val="0"/>
          <w:iCs w:val="0"/>
          <w:color w:val="auto"/>
          <w:u w:val="single"/>
          <w:lang w:eastAsia="fr-FR"/>
        </w:rPr>
        <w:t>Avantages du contrôle budgétaire</w:t>
      </w:r>
      <w:r w:rsidR="007F12D4" w:rsidRPr="007F12D4">
        <w:rPr>
          <w:rFonts w:asciiTheme="majorBidi" w:hAnsiTheme="majorBidi"/>
          <w:b/>
          <w:bCs/>
          <w:i w:val="0"/>
          <w:iCs w:val="0"/>
          <w:color w:val="auto"/>
          <w:u w:val="single"/>
          <w:lang w:eastAsia="fr-FR"/>
        </w:rPr>
        <w:t xml:space="preserve"> :</w:t>
      </w:r>
      <w:bookmarkEnd w:id="115"/>
    </w:p>
    <w:p w14:paraId="7D170B24" w14:textId="77777777" w:rsidR="00E038EA" w:rsidRPr="004224FB" w:rsidRDefault="00E038EA" w:rsidP="00AE3850">
      <w:pPr>
        <w:spacing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Le contrôle budgétaire permet de fixer des objectifs stratégiques pour l’ensemble de l’organisation et d’assurer leur atteinte. Parmi ses principaux avantages, on peut citer</w:t>
      </w:r>
      <w:r w:rsidRPr="004224FB">
        <w:rPr>
          <w:rStyle w:val="Appelnotedebasdep"/>
          <w:rFonts w:asciiTheme="majorBidi" w:eastAsia="Times New Roman" w:hAnsiTheme="majorBidi" w:cstheme="majorBidi"/>
          <w:color w:val="000000"/>
          <w:lang w:eastAsia="fr-FR"/>
        </w:rPr>
        <w:footnoteReference w:id="44"/>
      </w:r>
      <w:r w:rsidRPr="004224FB">
        <w:rPr>
          <w:rFonts w:asciiTheme="majorBidi" w:eastAsia="Times New Roman" w:hAnsiTheme="majorBidi" w:cstheme="majorBidi"/>
          <w:color w:val="000000"/>
          <w:lang w:eastAsia="fr-FR"/>
        </w:rPr>
        <w:t xml:space="preserve"> :</w:t>
      </w:r>
    </w:p>
    <w:p w14:paraId="78136194" w14:textId="77777777" w:rsidR="00E038EA" w:rsidRPr="004224FB" w:rsidRDefault="00E038EA" w:rsidP="00C13671">
      <w:pPr>
        <w:pStyle w:val="Paragraphedeliste"/>
        <w:numPr>
          <w:ilvl w:val="0"/>
          <w:numId w:val="4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Maximisation des bénéfices</w:t>
      </w:r>
      <w:r w:rsidRPr="004224FB">
        <w:rPr>
          <w:rFonts w:asciiTheme="majorBidi" w:eastAsia="Times New Roman" w:hAnsiTheme="majorBidi" w:cstheme="majorBidi"/>
          <w:color w:val="000000"/>
          <w:lang w:eastAsia="fr-FR"/>
        </w:rPr>
        <w:t xml:space="preserve"> : Il vise à accroître la rentabilité globale de l’entreprise grâce à une planification rigoureuse, une coordination efficace et un suivi structuré des différentes activités.</w:t>
      </w:r>
    </w:p>
    <w:p w14:paraId="1A937490" w14:textId="77777777" w:rsidR="00E038EA" w:rsidRPr="004224FB" w:rsidRDefault="00E038EA" w:rsidP="00C13671">
      <w:pPr>
        <w:pStyle w:val="Paragraphedeliste"/>
        <w:numPr>
          <w:ilvl w:val="0"/>
          <w:numId w:val="4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Coordination optimisée</w:t>
      </w:r>
      <w:r w:rsidRPr="004224FB">
        <w:rPr>
          <w:rFonts w:asciiTheme="majorBidi" w:eastAsia="Times New Roman" w:hAnsiTheme="majorBidi" w:cstheme="majorBidi"/>
          <w:color w:val="000000"/>
          <w:lang w:eastAsia="fr-FR"/>
        </w:rPr>
        <w:t xml:space="preserve"> : Il facilite l’harmonisation entre les différentes fonctions et unités de l’organisation, en assurant une coopération accrue entre les acteurs impliqués dans l’exécution budgétaire.</w:t>
      </w:r>
    </w:p>
    <w:p w14:paraId="25EB6D4A" w14:textId="77777777" w:rsidR="00E038EA" w:rsidRPr="004224FB" w:rsidRDefault="00E038EA" w:rsidP="00C13671">
      <w:pPr>
        <w:pStyle w:val="Paragraphedeliste"/>
        <w:numPr>
          <w:ilvl w:val="0"/>
          <w:numId w:val="4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Évaluation des performances managériales</w:t>
      </w:r>
      <w:r w:rsidRPr="004224FB">
        <w:rPr>
          <w:rFonts w:asciiTheme="majorBidi" w:eastAsia="Times New Roman" w:hAnsiTheme="majorBidi" w:cstheme="majorBidi"/>
          <w:color w:val="000000"/>
          <w:lang w:eastAsia="fr-FR"/>
        </w:rPr>
        <w:t xml:space="preserve"> : Chaque département dispose d’objectifs budgétaires précis, et les écarts entre les réalisations et les prévisions sont signalés à la direction afin d’évaluer l’efficacité des responsables.</w:t>
      </w:r>
    </w:p>
    <w:p w14:paraId="53CC7378" w14:textId="77777777" w:rsidR="00E038EA" w:rsidRPr="004224FB" w:rsidRDefault="00E038EA" w:rsidP="00C13671">
      <w:pPr>
        <w:pStyle w:val="Paragraphedeliste"/>
        <w:numPr>
          <w:ilvl w:val="0"/>
          <w:numId w:val="4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Définition claire des objectifs</w:t>
      </w:r>
      <w:r w:rsidRPr="004224FB">
        <w:rPr>
          <w:rFonts w:asciiTheme="majorBidi" w:eastAsia="Times New Roman" w:hAnsiTheme="majorBidi" w:cstheme="majorBidi"/>
          <w:color w:val="000000"/>
          <w:lang w:eastAsia="fr-FR"/>
        </w:rPr>
        <w:t xml:space="preserve"> : La budgétisation permet de fixer en amont des cibles précises pour chaque département, ce qui contribue à renforcer la motivation et l’engagement des employés.</w:t>
      </w:r>
    </w:p>
    <w:p w14:paraId="65769649" w14:textId="77777777" w:rsidR="00E038EA" w:rsidRPr="004224FB" w:rsidRDefault="00E038EA" w:rsidP="00C13671">
      <w:pPr>
        <w:pStyle w:val="Paragraphedeliste"/>
        <w:numPr>
          <w:ilvl w:val="0"/>
          <w:numId w:val="4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Optimisation des ressources</w:t>
      </w:r>
      <w:r w:rsidRPr="004224FB">
        <w:rPr>
          <w:rFonts w:asciiTheme="majorBidi" w:eastAsia="Times New Roman" w:hAnsiTheme="majorBidi" w:cstheme="majorBidi"/>
          <w:color w:val="000000"/>
          <w:lang w:eastAsia="fr-FR"/>
        </w:rPr>
        <w:t xml:space="preserve"> : En assurant une gestion rigoureuse des dépenses et en réduisant les gaspillages, le contrôle budgétaire améliore l’efficience organisationnelle et participe au développement économique global.</w:t>
      </w:r>
    </w:p>
    <w:p w14:paraId="11706A9B" w14:textId="77777777" w:rsidR="00E038EA" w:rsidRPr="004224FB" w:rsidRDefault="00E038EA" w:rsidP="00C13671">
      <w:pPr>
        <w:pStyle w:val="Paragraphedeliste"/>
        <w:numPr>
          <w:ilvl w:val="0"/>
          <w:numId w:val="4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Identification des inefficiences</w:t>
      </w:r>
      <w:r w:rsidRPr="004224FB">
        <w:rPr>
          <w:rFonts w:asciiTheme="majorBidi" w:eastAsia="Times New Roman" w:hAnsiTheme="majorBidi" w:cstheme="majorBidi"/>
          <w:color w:val="000000"/>
          <w:lang w:eastAsia="fr-FR"/>
        </w:rPr>
        <w:t xml:space="preserve"> : L’analyse des écarts permet de repérer les zones de sous-performance et d’orienter les efforts vers leur correction.</w:t>
      </w:r>
    </w:p>
    <w:p w14:paraId="20B667FE" w14:textId="77777777" w:rsidR="00E038EA" w:rsidRPr="004224FB" w:rsidRDefault="00E038EA" w:rsidP="00C13671">
      <w:pPr>
        <w:pStyle w:val="Paragraphedeliste"/>
        <w:numPr>
          <w:ilvl w:val="0"/>
          <w:numId w:val="4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Amélioration continue</w:t>
      </w:r>
      <w:r w:rsidRPr="004224FB">
        <w:rPr>
          <w:rFonts w:asciiTheme="majorBidi" w:eastAsia="Times New Roman" w:hAnsiTheme="majorBidi" w:cstheme="majorBidi"/>
          <w:color w:val="000000"/>
          <w:lang w:eastAsia="fr-FR"/>
        </w:rPr>
        <w:t xml:space="preserve"> : Les ajustements budgétaires sont réalisés en temps réel afin de corriger les écarts défavorables dès leur apparition, évitant ainsi les interventions tardives en fin d’exercice.</w:t>
      </w:r>
    </w:p>
    <w:p w14:paraId="10C05125" w14:textId="77777777" w:rsidR="00E038EA" w:rsidRPr="004224FB" w:rsidRDefault="00E038EA" w:rsidP="00C13671">
      <w:pPr>
        <w:pStyle w:val="Paragraphedeliste"/>
        <w:numPr>
          <w:ilvl w:val="0"/>
          <w:numId w:val="42"/>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Élimination des activités non rentables</w:t>
      </w:r>
      <w:r w:rsidRPr="004224FB">
        <w:rPr>
          <w:rFonts w:asciiTheme="majorBidi" w:eastAsia="Times New Roman" w:hAnsiTheme="majorBidi" w:cstheme="majorBidi"/>
          <w:color w:val="000000"/>
          <w:lang w:eastAsia="fr-FR"/>
        </w:rPr>
        <w:t xml:space="preserve"> : Le contrôle budgétaire met en évidence les produits, services ou unités générant des pertes, ce qui permet de réallouer les ressources vers des activités plus performantes.</w:t>
      </w:r>
    </w:p>
    <w:p w14:paraId="3CF5B210" w14:textId="77777777" w:rsidR="00E038EA" w:rsidRDefault="00E038EA" w:rsidP="00AE3850">
      <w:pPr>
        <w:spacing w:line="360" w:lineRule="auto"/>
        <w:jc w:val="both"/>
        <w:rPr>
          <w:rFonts w:asciiTheme="majorBidi" w:eastAsia="Times New Roman" w:hAnsiTheme="majorBidi" w:cstheme="majorBidi"/>
          <w:b/>
          <w:bCs/>
          <w:color w:val="000000"/>
          <w:lang w:eastAsia="fr-FR"/>
        </w:rPr>
      </w:pPr>
      <w:r>
        <w:rPr>
          <w:rFonts w:asciiTheme="majorBidi" w:eastAsia="Times New Roman" w:hAnsiTheme="majorBidi" w:cstheme="majorBidi"/>
          <w:b/>
          <w:bCs/>
          <w:color w:val="000000"/>
          <w:lang w:eastAsia="fr-FR"/>
        </w:rPr>
        <w:br w:type="page"/>
      </w:r>
    </w:p>
    <w:p w14:paraId="38BCDD70" w14:textId="3D8CA3CD" w:rsidR="00E038EA" w:rsidRPr="007F12D4" w:rsidRDefault="00E038EA" w:rsidP="00C13671">
      <w:pPr>
        <w:pStyle w:val="Titre4"/>
        <w:numPr>
          <w:ilvl w:val="0"/>
          <w:numId w:val="105"/>
        </w:numPr>
        <w:spacing w:line="360" w:lineRule="auto"/>
        <w:jc w:val="both"/>
        <w:rPr>
          <w:rFonts w:asciiTheme="majorBidi" w:hAnsiTheme="majorBidi"/>
          <w:b/>
          <w:bCs/>
          <w:i w:val="0"/>
          <w:iCs w:val="0"/>
          <w:color w:val="auto"/>
          <w:u w:val="single"/>
          <w:lang w:eastAsia="fr-FR"/>
        </w:rPr>
      </w:pPr>
      <w:bookmarkStart w:id="116" w:name="_Toc199314430"/>
      <w:r w:rsidRPr="007F12D4">
        <w:rPr>
          <w:rFonts w:asciiTheme="majorBidi" w:hAnsiTheme="majorBidi"/>
          <w:b/>
          <w:bCs/>
          <w:i w:val="0"/>
          <w:iCs w:val="0"/>
          <w:color w:val="auto"/>
          <w:u w:val="single"/>
          <w:lang w:eastAsia="fr-FR"/>
        </w:rPr>
        <w:lastRenderedPageBreak/>
        <w:t>Limites du contrôle budgétaire</w:t>
      </w:r>
      <w:r w:rsidR="007F12D4" w:rsidRPr="007F12D4">
        <w:rPr>
          <w:rFonts w:asciiTheme="majorBidi" w:hAnsiTheme="majorBidi"/>
          <w:b/>
          <w:bCs/>
          <w:i w:val="0"/>
          <w:iCs w:val="0"/>
          <w:color w:val="auto"/>
          <w:u w:val="single"/>
          <w:lang w:eastAsia="fr-FR"/>
        </w:rPr>
        <w:t xml:space="preserve"> :</w:t>
      </w:r>
      <w:bookmarkEnd w:id="116"/>
    </w:p>
    <w:p w14:paraId="4087F26C" w14:textId="77777777" w:rsidR="00E038EA" w:rsidRPr="004224FB" w:rsidRDefault="00E038EA"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color w:val="000000"/>
          <w:lang w:eastAsia="fr-FR"/>
        </w:rPr>
        <w:t>Malgré ses nombreux avantages, le contrôle budgétaire présente certaines limites, notamment</w:t>
      </w:r>
      <w:r w:rsidRPr="004224FB">
        <w:rPr>
          <w:rStyle w:val="Appelnotedebasdep"/>
          <w:rFonts w:asciiTheme="majorBidi" w:eastAsia="Times New Roman" w:hAnsiTheme="majorBidi" w:cstheme="majorBidi"/>
          <w:color w:val="000000"/>
          <w:lang w:eastAsia="fr-FR"/>
        </w:rPr>
        <w:footnoteReference w:id="45"/>
      </w:r>
      <w:r w:rsidRPr="004224FB">
        <w:rPr>
          <w:rFonts w:asciiTheme="majorBidi" w:eastAsia="Times New Roman" w:hAnsiTheme="majorBidi" w:cstheme="majorBidi"/>
          <w:color w:val="000000"/>
          <w:lang w:eastAsia="fr-FR"/>
        </w:rPr>
        <w:t>:</w:t>
      </w:r>
    </w:p>
    <w:p w14:paraId="3A6BDFD1" w14:textId="77777777" w:rsidR="00E038EA" w:rsidRPr="004224FB" w:rsidRDefault="00E038EA" w:rsidP="00C13671">
      <w:pPr>
        <w:pStyle w:val="Paragraphedeliste"/>
        <w:numPr>
          <w:ilvl w:val="0"/>
          <w:numId w:val="41"/>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Une vision purement financière</w:t>
      </w:r>
      <w:r w:rsidRPr="004224FB">
        <w:rPr>
          <w:rFonts w:asciiTheme="majorBidi" w:eastAsia="Times New Roman" w:hAnsiTheme="majorBidi" w:cstheme="majorBidi"/>
          <w:color w:val="000000"/>
          <w:lang w:eastAsia="fr-FR"/>
        </w:rPr>
        <w:t xml:space="preserve"> : Il privilégie les indicateurs monétaires au détriment d’autres aspects qualitatifs tels que la qualité des services, la satisfaction des employés ou encore l’innovation.</w:t>
      </w:r>
    </w:p>
    <w:p w14:paraId="577632CF" w14:textId="77777777" w:rsidR="00E038EA" w:rsidRPr="004224FB" w:rsidRDefault="00E038EA" w:rsidP="00C13671">
      <w:pPr>
        <w:pStyle w:val="Paragraphedeliste"/>
        <w:numPr>
          <w:ilvl w:val="0"/>
          <w:numId w:val="41"/>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Une lourdeur administrative</w:t>
      </w:r>
      <w:r w:rsidRPr="004224FB">
        <w:rPr>
          <w:rFonts w:asciiTheme="majorBidi" w:eastAsia="Times New Roman" w:hAnsiTheme="majorBidi" w:cstheme="majorBidi"/>
          <w:color w:val="000000"/>
          <w:lang w:eastAsia="fr-FR"/>
        </w:rPr>
        <w:t xml:space="preserve"> : Le suivi des écarts budgétaires peut générer une surcharge d’informations, rendant difficile l’identification des indicateurs réellement pertinents pour la prise de décision.</w:t>
      </w:r>
    </w:p>
    <w:p w14:paraId="6C881FE4" w14:textId="77777777" w:rsidR="00E038EA" w:rsidRPr="004224FB" w:rsidRDefault="00E038EA" w:rsidP="00C13671">
      <w:pPr>
        <w:pStyle w:val="Paragraphedeliste"/>
        <w:numPr>
          <w:ilvl w:val="0"/>
          <w:numId w:val="41"/>
        </w:numPr>
        <w:spacing w:after="20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b/>
          <w:bCs/>
          <w:color w:val="000000"/>
          <w:lang w:eastAsia="fr-FR"/>
        </w:rPr>
        <w:t>Un risque de démotivation</w:t>
      </w:r>
      <w:r w:rsidRPr="004224FB">
        <w:rPr>
          <w:rFonts w:asciiTheme="majorBidi" w:eastAsia="Times New Roman" w:hAnsiTheme="majorBidi" w:cstheme="majorBidi"/>
          <w:color w:val="000000"/>
          <w:lang w:eastAsia="fr-FR"/>
        </w:rPr>
        <w:t xml:space="preserve"> : Lorsque les performances sont évaluées à travers des modèles de calcul inadaptés ou que les responsables sont tenus responsables d’écarts hors de leur contrôle, cela peut engendrer une frustration et une perte de motivation.</w:t>
      </w:r>
    </w:p>
    <w:p w14:paraId="3D3C4EDC" w14:textId="77777777" w:rsidR="00E038EA" w:rsidRPr="004224FB" w:rsidRDefault="00E038EA" w:rsidP="00C13671">
      <w:pPr>
        <w:pStyle w:val="Paragraphedeliste"/>
        <w:numPr>
          <w:ilvl w:val="0"/>
          <w:numId w:val="41"/>
        </w:numPr>
        <w:spacing w:after="200" w:line="360" w:lineRule="auto"/>
        <w:jc w:val="both"/>
        <w:rPr>
          <w:rFonts w:asciiTheme="majorBidi" w:hAnsiTheme="majorBidi" w:cstheme="majorBidi"/>
          <w:color w:val="000000"/>
        </w:rPr>
      </w:pPr>
      <w:r w:rsidRPr="004224FB">
        <w:rPr>
          <w:rFonts w:asciiTheme="majorBidi" w:hAnsiTheme="majorBidi" w:cstheme="majorBidi"/>
          <w:b/>
          <w:bCs/>
          <w:color w:val="000000"/>
        </w:rPr>
        <w:t>Un cloisonnement des départements</w:t>
      </w:r>
      <w:r w:rsidRPr="004224FB">
        <w:rPr>
          <w:rFonts w:asciiTheme="majorBidi" w:hAnsiTheme="majorBidi" w:cstheme="majorBidi"/>
          <w:color w:val="000000"/>
        </w:rPr>
        <w:t xml:space="preserve"> : Le contrôle budgétaire peut inciter chaque département à défendre ses propres intérêts budgétaires, ce qui peut nuire à la coopération interservices et générer des conflits internes.</w:t>
      </w:r>
    </w:p>
    <w:p w14:paraId="4DAA3074" w14:textId="77777777" w:rsidR="00E038EA" w:rsidRPr="004224FB" w:rsidRDefault="00E038EA" w:rsidP="00AE3850">
      <w:pPr>
        <w:spacing w:line="360" w:lineRule="auto"/>
        <w:jc w:val="both"/>
        <w:rPr>
          <w:rFonts w:asciiTheme="majorBidi" w:hAnsiTheme="majorBidi" w:cstheme="majorBidi"/>
        </w:rPr>
      </w:pPr>
    </w:p>
    <w:p w14:paraId="1511A683" w14:textId="16291EE5" w:rsidR="00E038EA" w:rsidRPr="007F12D4" w:rsidRDefault="00E038EA" w:rsidP="00C13671">
      <w:pPr>
        <w:pStyle w:val="Titre3"/>
        <w:numPr>
          <w:ilvl w:val="0"/>
          <w:numId w:val="102"/>
        </w:numPr>
        <w:spacing w:line="360" w:lineRule="auto"/>
        <w:jc w:val="both"/>
        <w:rPr>
          <w:rFonts w:asciiTheme="majorBidi" w:hAnsiTheme="majorBidi"/>
          <w:b/>
          <w:bCs/>
          <w:color w:val="auto"/>
          <w:sz w:val="24"/>
          <w:szCs w:val="24"/>
          <w:u w:val="single"/>
        </w:rPr>
      </w:pPr>
      <w:bookmarkStart w:id="117" w:name="_Toc199314431"/>
      <w:r w:rsidRPr="007F12D4">
        <w:rPr>
          <w:rFonts w:asciiTheme="majorBidi" w:hAnsiTheme="majorBidi"/>
          <w:b/>
          <w:bCs/>
          <w:color w:val="auto"/>
          <w:sz w:val="24"/>
          <w:szCs w:val="24"/>
          <w:u w:val="single"/>
        </w:rPr>
        <w:t>Les supports du contrôle budgétaire</w:t>
      </w:r>
      <w:r w:rsidR="007F12D4" w:rsidRPr="007F12D4">
        <w:rPr>
          <w:rFonts w:asciiTheme="majorBidi" w:hAnsiTheme="majorBidi"/>
          <w:b/>
          <w:bCs/>
          <w:color w:val="auto"/>
          <w:sz w:val="24"/>
          <w:szCs w:val="24"/>
          <w:u w:val="single"/>
        </w:rPr>
        <w:t xml:space="preserve"> </w:t>
      </w:r>
      <w:r w:rsidR="00FA51B9" w:rsidRPr="007F12D4">
        <w:rPr>
          <w:rFonts w:asciiTheme="majorBidi" w:hAnsiTheme="majorBidi"/>
          <w:b/>
          <w:bCs/>
          <w:color w:val="auto"/>
          <w:sz w:val="24"/>
          <w:szCs w:val="24"/>
          <w:u w:val="single"/>
        </w:rPr>
        <w:t>:</w:t>
      </w:r>
      <w:bookmarkEnd w:id="117"/>
    </w:p>
    <w:p w14:paraId="612DB74B"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  Le contrôle budgétaire repose sur plusieurs outils permettant de formaliser et d’analyser les informations financières. Parmi les principaux supports utilisés, on retrouve :</w:t>
      </w:r>
    </w:p>
    <w:p w14:paraId="31DDB1EE" w14:textId="091DAAD6" w:rsidR="00E038EA" w:rsidRPr="007F12D4" w:rsidRDefault="00E038EA" w:rsidP="00C13671">
      <w:pPr>
        <w:pStyle w:val="Titre4"/>
        <w:numPr>
          <w:ilvl w:val="0"/>
          <w:numId w:val="106"/>
        </w:numPr>
        <w:spacing w:line="360" w:lineRule="auto"/>
        <w:jc w:val="both"/>
        <w:rPr>
          <w:rFonts w:asciiTheme="majorBidi" w:hAnsiTheme="majorBidi"/>
          <w:b/>
          <w:bCs/>
          <w:i w:val="0"/>
          <w:iCs w:val="0"/>
          <w:color w:val="auto"/>
          <w:u w:val="single"/>
        </w:rPr>
      </w:pPr>
      <w:bookmarkStart w:id="118" w:name="_Toc199314432"/>
      <w:r w:rsidRPr="007F12D4">
        <w:rPr>
          <w:rFonts w:asciiTheme="majorBidi" w:hAnsiTheme="majorBidi"/>
          <w:b/>
          <w:bCs/>
          <w:i w:val="0"/>
          <w:iCs w:val="0"/>
          <w:color w:val="auto"/>
          <w:u w:val="single"/>
        </w:rPr>
        <w:t>Le tableau de bord budgétaire</w:t>
      </w:r>
      <w:r w:rsidR="007F12D4" w:rsidRPr="007F12D4">
        <w:rPr>
          <w:rFonts w:asciiTheme="majorBidi" w:hAnsiTheme="majorBidi"/>
          <w:b/>
          <w:bCs/>
          <w:i w:val="0"/>
          <w:iCs w:val="0"/>
          <w:color w:val="auto"/>
          <w:u w:val="single"/>
        </w:rPr>
        <w:t xml:space="preserve"> :</w:t>
      </w:r>
      <w:bookmarkEnd w:id="118"/>
    </w:p>
    <w:p w14:paraId="20FFD0B4"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  </w:t>
      </w:r>
      <w:r w:rsidRPr="004224FB">
        <w:rPr>
          <w:rFonts w:asciiTheme="majorBidi" w:hAnsiTheme="majorBidi" w:cstheme="majorBidi"/>
          <w:color w:val="000000"/>
        </w:rPr>
        <w:tab/>
        <w:t>Le tableau de bord budgétaire est un outil de pilotage permettant aux responsables d’assurer un suivi des recettes et des dépenses de chaque département. Il fournit des informations synthétiques et pertinentes pour faciliter la prise de décision à court terme.</w:t>
      </w:r>
    </w:p>
    <w:p w14:paraId="10F649AF" w14:textId="77777777" w:rsidR="00E038EA" w:rsidRPr="004224FB" w:rsidRDefault="00E038EA" w:rsidP="00AE3850">
      <w:pPr>
        <w:spacing w:line="360" w:lineRule="auto"/>
        <w:ind w:firstLine="708"/>
        <w:jc w:val="both"/>
        <w:rPr>
          <w:rFonts w:asciiTheme="majorBidi" w:hAnsiTheme="majorBidi" w:cstheme="majorBidi"/>
          <w:b/>
          <w:bCs/>
          <w:color w:val="000000"/>
        </w:rPr>
      </w:pPr>
      <w:r w:rsidRPr="004224FB">
        <w:rPr>
          <w:rFonts w:asciiTheme="majorBidi" w:hAnsiTheme="majorBidi" w:cstheme="majorBidi"/>
          <w:color w:val="000000"/>
        </w:rPr>
        <w:t>Il comprend des indicateurs comptables et budgétaires permettant de comparer les coûts et les résultats des centres de responsabilité avec les prévisions initiales. Il intègre également des éléments relatifs au niveau d’activité et à l’efficacité opérationnelle, afin d’interpréter plus précisément les performances financières.</w:t>
      </w:r>
      <w:r w:rsidRPr="004224FB">
        <w:rPr>
          <w:rFonts w:asciiTheme="majorBidi" w:hAnsiTheme="majorBidi" w:cstheme="majorBidi"/>
          <w:b/>
          <w:bCs/>
          <w:color w:val="000000"/>
        </w:rPr>
        <w:br w:type="page"/>
      </w:r>
    </w:p>
    <w:p w14:paraId="53756C34" w14:textId="10FE54D4" w:rsidR="00E038EA" w:rsidRPr="007F12D4" w:rsidRDefault="00E038EA" w:rsidP="00C13671">
      <w:pPr>
        <w:pStyle w:val="Titre4"/>
        <w:numPr>
          <w:ilvl w:val="0"/>
          <w:numId w:val="106"/>
        </w:numPr>
        <w:spacing w:line="360" w:lineRule="auto"/>
        <w:jc w:val="both"/>
        <w:rPr>
          <w:rFonts w:asciiTheme="majorBidi" w:hAnsiTheme="majorBidi"/>
          <w:b/>
          <w:bCs/>
          <w:i w:val="0"/>
          <w:iCs w:val="0"/>
          <w:color w:val="auto"/>
          <w:u w:val="single"/>
        </w:rPr>
      </w:pPr>
      <w:bookmarkStart w:id="119" w:name="_Toc199314433"/>
      <w:r w:rsidRPr="007F12D4">
        <w:rPr>
          <w:rFonts w:asciiTheme="majorBidi" w:hAnsiTheme="majorBidi"/>
          <w:b/>
          <w:bCs/>
          <w:i w:val="0"/>
          <w:iCs w:val="0"/>
          <w:color w:val="auto"/>
          <w:u w:val="single"/>
        </w:rPr>
        <w:lastRenderedPageBreak/>
        <w:t>Les rapports de contrôle</w:t>
      </w:r>
      <w:r w:rsidR="007F12D4" w:rsidRPr="007F12D4">
        <w:rPr>
          <w:rFonts w:asciiTheme="majorBidi" w:hAnsiTheme="majorBidi"/>
          <w:b/>
          <w:bCs/>
          <w:i w:val="0"/>
          <w:iCs w:val="0"/>
          <w:color w:val="auto"/>
          <w:u w:val="single"/>
        </w:rPr>
        <w:t xml:space="preserve"> :</w:t>
      </w:r>
      <w:bookmarkEnd w:id="119"/>
    </w:p>
    <w:p w14:paraId="5AC4F87B"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Les rapports de contrôle constituent des synthèses périodiques transmises aux supérieurs hiérarchiques. Ils incluent</w:t>
      </w:r>
      <w:r w:rsidRPr="004224FB">
        <w:rPr>
          <w:rStyle w:val="Appelnotedebasdep"/>
          <w:rFonts w:asciiTheme="majorBidi" w:hAnsiTheme="majorBidi" w:cstheme="majorBidi"/>
          <w:color w:val="000000"/>
        </w:rPr>
        <w:footnoteReference w:id="46"/>
      </w:r>
      <w:r w:rsidRPr="004224FB">
        <w:rPr>
          <w:rFonts w:asciiTheme="majorBidi" w:hAnsiTheme="majorBidi" w:cstheme="majorBidi"/>
          <w:color w:val="000000"/>
        </w:rPr>
        <w:t xml:space="preserve"> :</w:t>
      </w:r>
    </w:p>
    <w:p w14:paraId="517D6E9C" w14:textId="77777777" w:rsidR="00E038EA" w:rsidRPr="004224FB" w:rsidRDefault="00E038EA" w:rsidP="00C13671">
      <w:pPr>
        <w:pStyle w:val="Paragraphedeliste"/>
        <w:numPr>
          <w:ilvl w:val="0"/>
          <w:numId w:val="40"/>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Les variables de contrôle retenues et leurs objectifs ;</w:t>
      </w:r>
    </w:p>
    <w:p w14:paraId="54092E0A" w14:textId="77777777" w:rsidR="00E038EA" w:rsidRPr="004224FB" w:rsidRDefault="00E038EA" w:rsidP="00C13671">
      <w:pPr>
        <w:pStyle w:val="Paragraphedeliste"/>
        <w:numPr>
          <w:ilvl w:val="0"/>
          <w:numId w:val="40"/>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Les résultats obtenus et les écarts constatés ;</w:t>
      </w:r>
    </w:p>
    <w:p w14:paraId="7F380787" w14:textId="77777777" w:rsidR="00E038EA" w:rsidRPr="004224FB" w:rsidRDefault="00E038EA" w:rsidP="00C13671">
      <w:pPr>
        <w:pStyle w:val="Paragraphedeliste"/>
        <w:numPr>
          <w:ilvl w:val="0"/>
          <w:numId w:val="40"/>
        </w:numPr>
        <w:spacing w:after="200" w:line="360" w:lineRule="auto"/>
        <w:jc w:val="both"/>
        <w:rPr>
          <w:rFonts w:asciiTheme="majorBidi" w:hAnsiTheme="majorBidi" w:cstheme="majorBidi"/>
          <w:color w:val="000000"/>
        </w:rPr>
      </w:pPr>
      <w:r w:rsidRPr="004224FB">
        <w:rPr>
          <w:rFonts w:asciiTheme="majorBidi" w:hAnsiTheme="majorBidi" w:cstheme="majorBidi"/>
          <w:color w:val="000000"/>
        </w:rPr>
        <w:t>L’analyse des écarts et les mesures correctives envisagées.</w:t>
      </w:r>
    </w:p>
    <w:p w14:paraId="2385B457" w14:textId="77777777" w:rsidR="00E038EA" w:rsidRPr="004224FB" w:rsidRDefault="00E038EA" w:rsidP="00AE3850">
      <w:pPr>
        <w:spacing w:line="360" w:lineRule="auto"/>
        <w:jc w:val="both"/>
        <w:rPr>
          <w:rFonts w:asciiTheme="majorBidi" w:hAnsiTheme="majorBidi" w:cstheme="majorBidi"/>
        </w:rPr>
      </w:pPr>
      <w:r w:rsidRPr="004224FB">
        <w:rPr>
          <w:rFonts w:asciiTheme="majorBidi" w:hAnsiTheme="majorBidi" w:cstheme="majorBidi"/>
          <w:color w:val="000000"/>
        </w:rPr>
        <w:t>Le destinataire du rapport évalue ces informations afin d’ajuster les stratégies budgétaires et d’assurer une meilleure maîtrise des ressources financières.</w:t>
      </w:r>
    </w:p>
    <w:p w14:paraId="5B642F77" w14:textId="0E08EB54" w:rsidR="00E038EA" w:rsidRPr="007F12D4" w:rsidRDefault="00E038EA" w:rsidP="00C13671">
      <w:pPr>
        <w:pStyle w:val="Titre4"/>
        <w:numPr>
          <w:ilvl w:val="0"/>
          <w:numId w:val="106"/>
        </w:numPr>
        <w:spacing w:line="360" w:lineRule="auto"/>
        <w:jc w:val="both"/>
        <w:rPr>
          <w:rFonts w:asciiTheme="majorBidi" w:hAnsiTheme="majorBidi"/>
          <w:b/>
          <w:bCs/>
          <w:i w:val="0"/>
          <w:iCs w:val="0"/>
          <w:color w:val="auto"/>
          <w:u w:val="single"/>
        </w:rPr>
      </w:pPr>
      <w:bookmarkStart w:id="120" w:name="_Toc199314434"/>
      <w:r w:rsidRPr="007F12D4">
        <w:rPr>
          <w:rFonts w:asciiTheme="majorBidi" w:hAnsiTheme="majorBidi"/>
          <w:b/>
          <w:bCs/>
          <w:i w:val="0"/>
          <w:iCs w:val="0"/>
          <w:color w:val="auto"/>
          <w:u w:val="single"/>
        </w:rPr>
        <w:t>Les réunions de suivi budgétaire</w:t>
      </w:r>
      <w:r w:rsidR="007F12D4" w:rsidRPr="007F12D4">
        <w:rPr>
          <w:rFonts w:asciiTheme="majorBidi" w:hAnsiTheme="majorBidi"/>
          <w:b/>
          <w:bCs/>
          <w:i w:val="0"/>
          <w:iCs w:val="0"/>
          <w:color w:val="auto"/>
          <w:u w:val="single"/>
        </w:rPr>
        <w:t xml:space="preserve"> :</w:t>
      </w:r>
      <w:bookmarkEnd w:id="120"/>
    </w:p>
    <w:p w14:paraId="2D7DDB79" w14:textId="77777777" w:rsidR="00E038EA" w:rsidRPr="004224FB" w:rsidRDefault="00E038EA" w:rsidP="00AE3850">
      <w:pPr>
        <w:spacing w:line="360" w:lineRule="auto"/>
        <w:ind w:firstLine="708"/>
        <w:jc w:val="both"/>
        <w:rPr>
          <w:rFonts w:asciiTheme="majorBidi" w:hAnsiTheme="majorBidi" w:cstheme="majorBidi"/>
        </w:rPr>
      </w:pPr>
      <w:r w:rsidRPr="004224FB">
        <w:rPr>
          <w:rFonts w:asciiTheme="majorBidi" w:hAnsiTheme="majorBidi" w:cstheme="majorBidi"/>
          <w:color w:val="000000"/>
        </w:rPr>
        <w:t>Les réunions de suivi budgétaire constituent un moment clé du processus de contrôle. Elles réunissent le contrôleur de gestion et les différents responsables budgétaires afin d’analyser les écarts observés et de définir les ajustements nécessaires.</w:t>
      </w:r>
    </w:p>
    <w:p w14:paraId="5059725E" w14:textId="77777777" w:rsidR="00E038EA" w:rsidRPr="004224FB" w:rsidRDefault="00E038EA" w:rsidP="00AE3850">
      <w:pPr>
        <w:spacing w:line="360" w:lineRule="auto"/>
        <w:ind w:firstLine="708"/>
        <w:jc w:val="both"/>
        <w:rPr>
          <w:rFonts w:asciiTheme="majorBidi" w:hAnsiTheme="majorBidi" w:cstheme="majorBidi"/>
          <w:color w:val="000000"/>
        </w:rPr>
      </w:pPr>
      <w:r w:rsidRPr="004224FB">
        <w:rPr>
          <w:rFonts w:asciiTheme="majorBidi" w:hAnsiTheme="majorBidi" w:cstheme="majorBidi"/>
          <w:color w:val="000000"/>
        </w:rPr>
        <w:t>Un rapport est ensuite rédigé pour assurer un suivi des décisions prises et évaluer la mise en œuvre des actions correctives lors des réunions suivantes.</w:t>
      </w:r>
      <w:r w:rsidRPr="004224FB">
        <w:rPr>
          <w:rStyle w:val="Appelnotedebasdep"/>
          <w:rFonts w:asciiTheme="majorBidi" w:hAnsiTheme="majorBidi" w:cstheme="majorBidi"/>
          <w:color w:val="000000"/>
        </w:rPr>
        <w:footnoteReference w:id="47"/>
      </w:r>
    </w:p>
    <w:p w14:paraId="12856FF2" w14:textId="77777777" w:rsidR="00E038EA" w:rsidRPr="004224FB" w:rsidRDefault="00E038EA" w:rsidP="00AE3850">
      <w:pPr>
        <w:spacing w:line="360" w:lineRule="auto"/>
        <w:jc w:val="both"/>
        <w:rPr>
          <w:rFonts w:asciiTheme="majorBidi" w:hAnsiTheme="majorBidi" w:cstheme="majorBidi"/>
          <w:b/>
          <w:bCs/>
          <w:color w:val="000000"/>
          <w:sz w:val="28"/>
          <w:szCs w:val="28"/>
          <w:u w:val="single"/>
        </w:rPr>
      </w:pPr>
      <w:r w:rsidRPr="004224FB">
        <w:rPr>
          <w:rFonts w:asciiTheme="majorBidi" w:hAnsiTheme="majorBidi" w:cstheme="majorBidi"/>
          <w:b/>
          <w:bCs/>
          <w:color w:val="000000"/>
          <w:sz w:val="28"/>
          <w:szCs w:val="28"/>
          <w:u w:val="single"/>
        </w:rPr>
        <w:br w:type="page"/>
      </w:r>
    </w:p>
    <w:p w14:paraId="24244AB1" w14:textId="7A55D64B" w:rsidR="00E038EA" w:rsidRPr="007F12D4" w:rsidRDefault="00E038EA" w:rsidP="00AE3850">
      <w:pPr>
        <w:pStyle w:val="Titre1"/>
        <w:spacing w:line="360" w:lineRule="auto"/>
        <w:jc w:val="both"/>
        <w:rPr>
          <w:rFonts w:asciiTheme="majorBidi" w:hAnsiTheme="majorBidi"/>
          <w:b/>
          <w:bCs/>
          <w:color w:val="auto"/>
          <w:sz w:val="28"/>
          <w:szCs w:val="28"/>
          <w:u w:val="single"/>
        </w:rPr>
      </w:pPr>
      <w:bookmarkStart w:id="121" w:name="_Toc199314435"/>
      <w:bookmarkStart w:id="122" w:name="_Toc199314583"/>
      <w:r w:rsidRPr="007F12D4">
        <w:rPr>
          <w:rFonts w:asciiTheme="majorBidi" w:hAnsiTheme="majorBidi"/>
          <w:b/>
          <w:bCs/>
          <w:color w:val="auto"/>
          <w:sz w:val="28"/>
          <w:szCs w:val="28"/>
          <w:u w:val="single"/>
        </w:rPr>
        <w:lastRenderedPageBreak/>
        <w:t>Conclusion du chapitre 01</w:t>
      </w:r>
      <w:r w:rsidR="007F12D4" w:rsidRPr="007F12D4">
        <w:rPr>
          <w:rFonts w:asciiTheme="majorBidi" w:hAnsiTheme="majorBidi"/>
          <w:b/>
          <w:bCs/>
          <w:color w:val="auto"/>
          <w:sz w:val="28"/>
          <w:szCs w:val="28"/>
          <w:u w:val="single"/>
        </w:rPr>
        <w:t xml:space="preserve"> :</w:t>
      </w:r>
      <w:bookmarkEnd w:id="121"/>
      <w:bookmarkEnd w:id="122"/>
    </w:p>
    <w:p w14:paraId="1F522F7C" w14:textId="77777777" w:rsidR="00E038EA" w:rsidRPr="004224FB" w:rsidRDefault="00E038EA" w:rsidP="00AE3850">
      <w:pPr>
        <w:spacing w:before="240" w:after="240" w:line="360" w:lineRule="auto"/>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xml:space="preserve"> </w:t>
      </w:r>
      <w:r w:rsidRPr="004224FB">
        <w:rPr>
          <w:rFonts w:asciiTheme="majorBidi" w:eastAsia="Times New Roman" w:hAnsiTheme="majorBidi" w:cstheme="majorBidi"/>
          <w:color w:val="000000"/>
          <w:lang w:eastAsia="fr-FR"/>
        </w:rPr>
        <w:tab/>
        <w:t xml:space="preserve">En somme, ce premier chapitre nous a permis d'appréhender les fondements théoriques du contrôle de gestion, en tant que mécanisme stratégique de pilotage et d’aide à la décision au sein des organisations. Outil transversal, il permet aux dirigeants de suivre la performance, d’ajuster les actions en fonction des écarts constatés et de mieux orienter les ressources. </w:t>
      </w:r>
    </w:p>
    <w:p w14:paraId="2EF470F4" w14:textId="77777777" w:rsidR="00E038EA" w:rsidRPr="004224FB" w:rsidRDefault="00E038EA" w:rsidP="00AE3850">
      <w:pPr>
        <w:spacing w:before="240" w:after="240"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 xml:space="preserve">Dans cette perspective, la gestion budgétaire apparaît comme un élément central du contrôle de gestion, reposant sur un processus structuré allant de la prévision à la maîtrise des résultats.             </w:t>
      </w:r>
    </w:p>
    <w:p w14:paraId="729E105D" w14:textId="77777777" w:rsidR="00E038EA" w:rsidRPr="004224FB" w:rsidRDefault="00E038EA" w:rsidP="00AE3850">
      <w:pPr>
        <w:spacing w:before="240" w:after="240"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Elle constitue un cadre de référence pour planifier les activités, affecter les moyens et anticiper les évolutions. Le contrôle budgétaire, quant à lui, représente une étape clé de ce processus. Il vise à comparer les résultats réels aux prévisions afin d’identifier les écarts, d’en analyser les causes et de mettre en œuvre les actions correctrices nécessaires. Ainsi, ces trois notions sont étroitement liées et complémentaires, contribuant ensemble à renforcer l’efficacité du pilotage organisationnel.</w:t>
      </w:r>
    </w:p>
    <w:p w14:paraId="34E6A3D1" w14:textId="77777777" w:rsidR="00E038EA" w:rsidRPr="004224FB" w:rsidRDefault="00E038EA" w:rsidP="00AE3850">
      <w:pPr>
        <w:spacing w:before="240" w:after="240" w:line="360" w:lineRule="auto"/>
        <w:ind w:firstLine="708"/>
        <w:jc w:val="both"/>
        <w:rPr>
          <w:rFonts w:asciiTheme="majorBidi" w:eastAsia="Times New Roman" w:hAnsiTheme="majorBidi" w:cstheme="majorBidi"/>
          <w:color w:val="000000"/>
          <w:lang w:eastAsia="fr-FR"/>
        </w:rPr>
      </w:pPr>
      <w:r w:rsidRPr="004224FB">
        <w:rPr>
          <w:rFonts w:asciiTheme="majorBidi" w:eastAsia="Times New Roman" w:hAnsiTheme="majorBidi" w:cstheme="majorBidi"/>
          <w:color w:val="000000"/>
          <w:lang w:eastAsia="fr-FR"/>
        </w:rPr>
        <w:t>Dans le chapitre suivant, nous nous intéresserons aux pratiques concrètes du contrôle budgétaire, en mettant en lumière son application au sein des organisations, notamment à travers les outils et systèmes d’information mobilisés.</w:t>
      </w:r>
    </w:p>
    <w:p w14:paraId="1737F6F8" w14:textId="5D222565" w:rsidR="00E64C9D" w:rsidRPr="009132A6" w:rsidRDefault="00CD54D1" w:rsidP="00AE3850">
      <w:pPr>
        <w:spacing w:line="360" w:lineRule="auto"/>
        <w:ind w:firstLine="708"/>
        <w:jc w:val="both"/>
        <w:rPr>
          <w:rFonts w:asciiTheme="majorBidi" w:hAnsiTheme="majorBidi" w:cstheme="majorBidi"/>
        </w:rPr>
        <w:sectPr w:rsidR="00E64C9D" w:rsidRPr="009132A6" w:rsidSect="00CD54D1">
          <w:headerReference w:type="default" r:id="rId23"/>
          <w:pgSz w:w="11906" w:h="16838"/>
          <w:pgMar w:top="1418" w:right="1134" w:bottom="1418" w:left="1701" w:header="709" w:footer="709" w:gutter="0"/>
          <w:cols w:space="708"/>
          <w:docGrid w:linePitch="360"/>
        </w:sectPr>
      </w:pPr>
      <w:r w:rsidRPr="009132A6">
        <w:rPr>
          <w:rFonts w:asciiTheme="majorBidi" w:hAnsiTheme="majorBidi" w:cstheme="majorBidi"/>
        </w:rPr>
        <w:br w:type="page"/>
      </w:r>
    </w:p>
    <w:p w14:paraId="479E2758" w14:textId="77777777" w:rsidR="00E64C9D" w:rsidRPr="009132A6" w:rsidRDefault="00E64C9D" w:rsidP="00AE3850">
      <w:pPr>
        <w:spacing w:line="360" w:lineRule="auto"/>
        <w:jc w:val="both"/>
        <w:rPr>
          <w:rFonts w:asciiTheme="majorBidi" w:hAnsiTheme="majorBidi" w:cstheme="majorBidi"/>
        </w:rPr>
      </w:pPr>
    </w:p>
    <w:p w14:paraId="542E219C" w14:textId="42F12B64" w:rsidR="00CD54D1" w:rsidRPr="009132A6" w:rsidRDefault="00CD54D1" w:rsidP="00C13671">
      <w:pPr>
        <w:pStyle w:val="Paragraphedeliste"/>
        <w:numPr>
          <w:ilvl w:val="0"/>
          <w:numId w:val="1"/>
        </w:numPr>
        <w:pBdr>
          <w:bottom w:val="single" w:sz="6" w:space="1" w:color="auto"/>
        </w:pBdr>
        <w:spacing w:after="0" w:line="360" w:lineRule="auto"/>
        <w:jc w:val="both"/>
        <w:rPr>
          <w:rFonts w:asciiTheme="majorBidi" w:eastAsia="Times New Roman" w:hAnsiTheme="majorBidi" w:cstheme="majorBidi"/>
          <w:vanish/>
          <w:sz w:val="16"/>
          <w:szCs w:val="16"/>
          <w:lang w:eastAsia="fr-FR"/>
        </w:rPr>
      </w:pPr>
      <w:r w:rsidRPr="009132A6">
        <w:rPr>
          <w:rFonts w:asciiTheme="majorBidi" w:eastAsia="Times New Roman" w:hAnsiTheme="majorBidi" w:cstheme="majorBidi"/>
          <w:vanish/>
          <w:sz w:val="16"/>
          <w:szCs w:val="16"/>
          <w:lang w:eastAsia="fr-FR"/>
        </w:rPr>
        <w:t>Haut du formulaire</w:t>
      </w:r>
    </w:p>
    <w:p w14:paraId="08CC5004" w14:textId="0EAF7ED1" w:rsidR="00CD54D1" w:rsidRPr="009132A6" w:rsidRDefault="00CD54D1" w:rsidP="00AE3850">
      <w:pPr>
        <w:spacing w:line="360" w:lineRule="auto"/>
        <w:jc w:val="both"/>
        <w:rPr>
          <w:rFonts w:asciiTheme="majorBidi" w:hAnsiTheme="majorBidi" w:cstheme="majorBidi"/>
        </w:rPr>
      </w:pPr>
    </w:p>
    <w:p w14:paraId="212663F9" w14:textId="4DA553EC" w:rsidR="00CD54D1" w:rsidRPr="009132A6" w:rsidRDefault="00CD54D1" w:rsidP="00AE3850">
      <w:pPr>
        <w:spacing w:line="360" w:lineRule="auto"/>
        <w:jc w:val="both"/>
        <w:rPr>
          <w:rFonts w:asciiTheme="majorBidi" w:hAnsiTheme="majorBidi" w:cstheme="majorBidi"/>
          <w:b/>
          <w:bCs/>
          <w:sz w:val="72"/>
          <w:szCs w:val="72"/>
        </w:rPr>
      </w:pPr>
    </w:p>
    <w:p w14:paraId="710899C0" w14:textId="0628B422" w:rsidR="00AF0EFD" w:rsidRPr="009132A6" w:rsidRDefault="00AF0EFD" w:rsidP="00AE3850">
      <w:pPr>
        <w:spacing w:line="360" w:lineRule="auto"/>
        <w:jc w:val="both"/>
        <w:rPr>
          <w:rFonts w:asciiTheme="majorBidi" w:hAnsiTheme="majorBidi" w:cstheme="majorBidi"/>
        </w:rPr>
      </w:pPr>
    </w:p>
    <w:p w14:paraId="2B88FDA1" w14:textId="77777777" w:rsidR="001A4DD5" w:rsidRPr="009132A6" w:rsidRDefault="001A4DD5" w:rsidP="00AE3850">
      <w:pPr>
        <w:spacing w:line="360" w:lineRule="auto"/>
        <w:jc w:val="both"/>
        <w:rPr>
          <w:rFonts w:asciiTheme="majorBidi" w:hAnsiTheme="majorBidi" w:cstheme="majorBidi"/>
        </w:rPr>
      </w:pPr>
    </w:p>
    <w:p w14:paraId="05D143A9" w14:textId="77777777" w:rsidR="001A4DD5" w:rsidRPr="009132A6" w:rsidRDefault="001A4DD5" w:rsidP="00AE3850">
      <w:pPr>
        <w:spacing w:line="360" w:lineRule="auto"/>
        <w:jc w:val="both"/>
        <w:rPr>
          <w:rFonts w:asciiTheme="majorBidi" w:hAnsiTheme="majorBidi" w:cstheme="majorBidi"/>
        </w:rPr>
      </w:pPr>
    </w:p>
    <w:p w14:paraId="2B44F310" w14:textId="77777777" w:rsidR="001A4DD5" w:rsidRPr="009132A6" w:rsidRDefault="001A4DD5" w:rsidP="00AE3850">
      <w:pPr>
        <w:spacing w:line="360" w:lineRule="auto"/>
        <w:jc w:val="both"/>
        <w:rPr>
          <w:rFonts w:asciiTheme="majorBidi" w:hAnsiTheme="majorBidi" w:cstheme="majorBidi"/>
        </w:rPr>
      </w:pPr>
    </w:p>
    <w:p w14:paraId="5DD06627" w14:textId="77777777" w:rsidR="001A4DD5" w:rsidRPr="009132A6" w:rsidRDefault="001A4DD5" w:rsidP="00AE3850">
      <w:pPr>
        <w:spacing w:line="360" w:lineRule="auto"/>
        <w:jc w:val="both"/>
        <w:rPr>
          <w:rFonts w:asciiTheme="majorBidi" w:hAnsiTheme="majorBidi" w:cstheme="majorBidi"/>
        </w:rPr>
      </w:pPr>
    </w:p>
    <w:p w14:paraId="579342FB" w14:textId="62933C0A" w:rsidR="001A4DD5" w:rsidRPr="009132A6" w:rsidRDefault="00681B00" w:rsidP="00AE3850">
      <w:pPr>
        <w:spacing w:line="360" w:lineRule="auto"/>
        <w:jc w:val="both"/>
        <w:rPr>
          <w:rFonts w:asciiTheme="majorBidi" w:hAnsiTheme="majorBidi" w:cstheme="majorBidi"/>
        </w:rPr>
      </w:pPr>
      <w:r w:rsidRPr="009132A6">
        <w:rPr>
          <w:rFonts w:asciiTheme="majorBidi" w:hAnsiTheme="majorBidi" w:cstheme="majorBidi"/>
          <w:b/>
          <w:bCs/>
          <w:noProof/>
          <w:sz w:val="72"/>
          <w:szCs w:val="72"/>
          <w:lang w:eastAsia="fr-FR"/>
        </w:rPr>
        <mc:AlternateContent>
          <mc:Choice Requires="wps">
            <w:drawing>
              <wp:anchor distT="0" distB="0" distL="114300" distR="114300" simplePos="0" relativeHeight="251671552" behindDoc="0" locked="0" layoutInCell="1" allowOverlap="1" wp14:anchorId="4A67B525" wp14:editId="531D3C2A">
                <wp:simplePos x="0" y="0"/>
                <wp:positionH relativeFrom="margin">
                  <wp:posOffset>361315</wp:posOffset>
                </wp:positionH>
                <wp:positionV relativeFrom="paragraph">
                  <wp:posOffset>90170</wp:posOffset>
                </wp:positionV>
                <wp:extent cx="4699000" cy="2686050"/>
                <wp:effectExtent l="19050" t="19050" r="25400" b="19050"/>
                <wp:wrapNone/>
                <wp:docPr id="45" name="Rectangle : coins arrondis 45"/>
                <wp:cNvGraphicFramePr/>
                <a:graphic xmlns:a="http://schemas.openxmlformats.org/drawingml/2006/main">
                  <a:graphicData uri="http://schemas.microsoft.com/office/word/2010/wordprocessingShape">
                    <wps:wsp>
                      <wps:cNvSpPr/>
                      <wps:spPr>
                        <a:xfrm>
                          <a:off x="0" y="0"/>
                          <a:ext cx="4699000" cy="2686050"/>
                        </a:xfrm>
                        <a:prstGeom prst="roundRect">
                          <a:avLst/>
                        </a:prstGeom>
                        <a:ln w="28575">
                          <a:solidFill>
                            <a:schemeClr val="tx2">
                              <a:lumMod val="25000"/>
                              <a:lumOff val="75000"/>
                            </a:schemeClr>
                          </a:solidFill>
                        </a:ln>
                      </wps:spPr>
                      <wps:style>
                        <a:lnRef idx="2">
                          <a:schemeClr val="dk1"/>
                        </a:lnRef>
                        <a:fillRef idx="1">
                          <a:schemeClr val="lt1"/>
                        </a:fillRef>
                        <a:effectRef idx="0">
                          <a:schemeClr val="dk1"/>
                        </a:effectRef>
                        <a:fontRef idx="minor">
                          <a:schemeClr val="dk1"/>
                        </a:fontRef>
                      </wps:style>
                      <wps:txbx>
                        <w:txbxContent>
                          <w:p w14:paraId="00BC37EF" w14:textId="567E86E3" w:rsidR="00AB34B8" w:rsidRPr="0076772A" w:rsidRDefault="00AB34B8" w:rsidP="0076772A">
                            <w:pPr>
                              <w:pStyle w:val="Titre1"/>
                              <w:jc w:val="center"/>
                              <w:rPr>
                                <w:rFonts w:asciiTheme="majorBidi" w:hAnsiTheme="majorBidi"/>
                                <w:b/>
                                <w:bCs/>
                                <w:color w:val="auto"/>
                                <w:sz w:val="48"/>
                                <w:szCs w:val="48"/>
                              </w:rPr>
                            </w:pPr>
                            <w:bookmarkStart w:id="123" w:name="_Toc199314436"/>
                            <w:bookmarkStart w:id="124" w:name="_Toc199314584"/>
                            <w:r w:rsidRPr="0076772A">
                              <w:rPr>
                                <w:rFonts w:asciiTheme="majorBidi" w:hAnsiTheme="majorBidi"/>
                                <w:b/>
                                <w:bCs/>
                                <w:color w:val="auto"/>
                                <w:sz w:val="48"/>
                                <w:szCs w:val="48"/>
                              </w:rPr>
                              <w:t>CHAPITRE 02 :</w:t>
                            </w:r>
                            <w:r>
                              <w:rPr>
                                <w:rFonts w:asciiTheme="majorBidi" w:hAnsiTheme="majorBidi"/>
                                <w:b/>
                                <w:bCs/>
                                <w:color w:val="auto"/>
                                <w:sz w:val="48"/>
                                <w:szCs w:val="48"/>
                              </w:rPr>
                              <w:t xml:space="preserve"> </w:t>
                            </w:r>
                            <w:bookmarkStart w:id="125" w:name="_Hlk199366386"/>
                            <w:bookmarkEnd w:id="123"/>
                            <w:bookmarkEnd w:id="124"/>
                            <w:r w:rsidRPr="008C0FBF">
                              <w:rPr>
                                <w:rFonts w:asciiTheme="majorBidi" w:hAnsiTheme="majorBidi"/>
                                <w:b/>
                                <w:bCs/>
                                <w:color w:val="auto"/>
                                <w:sz w:val="48"/>
                                <w:szCs w:val="48"/>
                              </w:rPr>
                              <w:t>Le processus budgétaire au sein de l’entreprise Algérie Telecom</w:t>
                            </w:r>
                            <w:bookmarkEnd w:id="125"/>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4A67B525" id="Rectangle : coins arrondis 45" o:spid="_x0000_s1030" style="position:absolute;left:0;text-align:left;margin-left:28.45pt;margin-top:7.1pt;width:370pt;height:211.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" fillcolor="white [3201]" strokecolor="#a7caec [831]" strokeweight="2.25pt">
                <v:stroke joinstyle="miter"/>
                <v:textbox>
                  <w:txbxContent>
                    <w:p w14:paraId="00BC37EF" w14:textId="567E86E3" w:rsidR="00771E97" w:rsidRPr="0076772A" w:rsidRDefault="00771E97" w:rsidP="0076772A">
                      <w:pPr>
                        <w:pStyle w:val="Heading1"/>
                        <w:jc w:val="center"/>
                        <w:rPr>
                          <w:rFonts w:asciiTheme="majorBidi" w:hAnsiTheme="majorBidi"/>
                          <w:b/>
                          <w:bCs/>
                          <w:color w:val="auto"/>
                          <w:sz w:val="48"/>
                          <w:szCs w:val="48"/>
                        </w:rPr>
                      </w:pPr>
                      <w:bookmarkStart w:id="131" w:name="_Toc199314436"/>
                      <w:bookmarkStart w:id="132" w:name="_Toc199314584"/>
                      <w:r w:rsidRPr="0076772A">
                        <w:rPr>
                          <w:rFonts w:asciiTheme="majorBidi" w:hAnsiTheme="majorBidi"/>
                          <w:b/>
                          <w:bCs/>
                          <w:color w:val="auto"/>
                          <w:sz w:val="48"/>
                          <w:szCs w:val="48"/>
                        </w:rPr>
                        <w:t>CHAPITRE 02 :</w:t>
                      </w:r>
                      <w:r>
                        <w:rPr>
                          <w:rFonts w:asciiTheme="majorBidi" w:hAnsiTheme="majorBidi"/>
                          <w:b/>
                          <w:bCs/>
                          <w:color w:val="auto"/>
                          <w:sz w:val="48"/>
                          <w:szCs w:val="48"/>
                        </w:rPr>
                        <w:t xml:space="preserve"> </w:t>
                      </w:r>
                      <w:bookmarkStart w:id="133" w:name="_Hlk199366386"/>
                      <w:bookmarkEnd w:id="131"/>
                      <w:bookmarkEnd w:id="132"/>
                      <w:r w:rsidRPr="008C0FBF">
                        <w:rPr>
                          <w:rFonts w:asciiTheme="majorBidi" w:hAnsiTheme="majorBidi"/>
                          <w:b/>
                          <w:bCs/>
                          <w:color w:val="auto"/>
                          <w:sz w:val="48"/>
                          <w:szCs w:val="48"/>
                        </w:rPr>
                        <w:t>Le processus budgétaire au sein de l’entreprise Algérie Telecom</w:t>
                      </w:r>
                      <w:bookmarkEnd w:id="133"/>
                    </w:p>
                  </w:txbxContent>
                </v:textbox>
                <w10:wrap anchorx="margin"/>
              </v:roundrect>
            </w:pict>
          </mc:Fallback>
        </mc:AlternateContent>
      </w:r>
    </w:p>
    <w:p w14:paraId="33A1F6A0" w14:textId="77777777" w:rsidR="001A4DD5" w:rsidRPr="009132A6" w:rsidRDefault="001A4DD5" w:rsidP="00AE3850">
      <w:pPr>
        <w:spacing w:line="360" w:lineRule="auto"/>
        <w:jc w:val="both"/>
        <w:rPr>
          <w:rFonts w:asciiTheme="majorBidi" w:hAnsiTheme="majorBidi" w:cstheme="majorBidi"/>
        </w:rPr>
      </w:pPr>
    </w:p>
    <w:p w14:paraId="16A99706" w14:textId="77777777" w:rsidR="001A4DD5" w:rsidRPr="009132A6" w:rsidRDefault="001A4DD5" w:rsidP="00AE3850">
      <w:pPr>
        <w:spacing w:line="360" w:lineRule="auto"/>
        <w:jc w:val="both"/>
        <w:rPr>
          <w:rFonts w:asciiTheme="majorBidi" w:hAnsiTheme="majorBidi" w:cstheme="majorBidi"/>
        </w:rPr>
      </w:pPr>
    </w:p>
    <w:p w14:paraId="1F82BF45" w14:textId="77777777" w:rsidR="001A4DD5" w:rsidRPr="009132A6" w:rsidRDefault="001A4DD5" w:rsidP="00AE3850">
      <w:pPr>
        <w:spacing w:line="360" w:lineRule="auto"/>
        <w:jc w:val="both"/>
        <w:rPr>
          <w:rFonts w:asciiTheme="majorBidi" w:hAnsiTheme="majorBidi" w:cstheme="majorBidi"/>
        </w:rPr>
      </w:pPr>
    </w:p>
    <w:p w14:paraId="26D7B172" w14:textId="77777777" w:rsidR="001A4DD5" w:rsidRPr="009132A6" w:rsidRDefault="001A4DD5" w:rsidP="00AE3850">
      <w:pPr>
        <w:spacing w:line="360" w:lineRule="auto"/>
        <w:jc w:val="both"/>
        <w:rPr>
          <w:rFonts w:asciiTheme="majorBidi" w:hAnsiTheme="majorBidi" w:cstheme="majorBidi"/>
        </w:rPr>
      </w:pPr>
    </w:p>
    <w:p w14:paraId="2E21CD35" w14:textId="77777777" w:rsidR="001A4DD5" w:rsidRPr="009132A6" w:rsidRDefault="001A4DD5" w:rsidP="00AE3850">
      <w:pPr>
        <w:spacing w:line="360" w:lineRule="auto"/>
        <w:jc w:val="both"/>
        <w:rPr>
          <w:rFonts w:asciiTheme="majorBidi" w:hAnsiTheme="majorBidi" w:cstheme="majorBidi"/>
        </w:rPr>
      </w:pPr>
    </w:p>
    <w:p w14:paraId="247E429B" w14:textId="77777777" w:rsidR="001A4DD5" w:rsidRPr="009132A6" w:rsidRDefault="001A4DD5" w:rsidP="00AE3850">
      <w:pPr>
        <w:spacing w:line="360" w:lineRule="auto"/>
        <w:jc w:val="both"/>
        <w:rPr>
          <w:rFonts w:asciiTheme="majorBidi" w:hAnsiTheme="majorBidi" w:cstheme="majorBidi"/>
        </w:rPr>
      </w:pPr>
    </w:p>
    <w:p w14:paraId="68A3974B" w14:textId="77777777" w:rsidR="001A4DD5" w:rsidRPr="009132A6" w:rsidRDefault="001A4DD5" w:rsidP="00AE3850">
      <w:pPr>
        <w:spacing w:line="360" w:lineRule="auto"/>
        <w:jc w:val="both"/>
        <w:rPr>
          <w:rFonts w:asciiTheme="majorBidi" w:hAnsiTheme="majorBidi" w:cstheme="majorBidi"/>
        </w:rPr>
      </w:pPr>
    </w:p>
    <w:p w14:paraId="2015716C" w14:textId="77777777" w:rsidR="001A4DD5" w:rsidRPr="009132A6" w:rsidRDefault="001A4DD5" w:rsidP="00AE3850">
      <w:pPr>
        <w:spacing w:line="360" w:lineRule="auto"/>
        <w:jc w:val="both"/>
        <w:rPr>
          <w:rFonts w:asciiTheme="majorBidi" w:hAnsiTheme="majorBidi" w:cstheme="majorBidi"/>
        </w:rPr>
      </w:pPr>
    </w:p>
    <w:p w14:paraId="156608E9" w14:textId="77777777" w:rsidR="001A4DD5" w:rsidRPr="009132A6" w:rsidRDefault="001A4DD5" w:rsidP="00AE3850">
      <w:pPr>
        <w:spacing w:line="360" w:lineRule="auto"/>
        <w:jc w:val="both"/>
        <w:rPr>
          <w:rFonts w:asciiTheme="majorBidi" w:hAnsiTheme="majorBidi" w:cstheme="majorBidi"/>
        </w:rPr>
      </w:pPr>
    </w:p>
    <w:p w14:paraId="24F02F48" w14:textId="77777777" w:rsidR="001A4DD5" w:rsidRPr="009132A6" w:rsidRDefault="001A4DD5" w:rsidP="00AE3850">
      <w:pPr>
        <w:spacing w:line="360" w:lineRule="auto"/>
        <w:jc w:val="both"/>
        <w:rPr>
          <w:rFonts w:asciiTheme="majorBidi" w:hAnsiTheme="majorBidi" w:cstheme="majorBidi"/>
        </w:rPr>
      </w:pPr>
    </w:p>
    <w:p w14:paraId="56DC01FC" w14:textId="77777777" w:rsidR="001A4DD5" w:rsidRPr="009132A6" w:rsidRDefault="001A4DD5" w:rsidP="00AE3850">
      <w:pPr>
        <w:spacing w:line="360" w:lineRule="auto"/>
        <w:jc w:val="both"/>
        <w:rPr>
          <w:rFonts w:asciiTheme="majorBidi" w:hAnsiTheme="majorBidi" w:cstheme="majorBidi"/>
        </w:rPr>
      </w:pPr>
    </w:p>
    <w:p w14:paraId="5E23FB30" w14:textId="77777777" w:rsidR="001A4DD5" w:rsidRPr="009132A6" w:rsidRDefault="001A4DD5" w:rsidP="00AE3850">
      <w:pPr>
        <w:spacing w:line="360" w:lineRule="auto"/>
        <w:jc w:val="both"/>
        <w:rPr>
          <w:rFonts w:asciiTheme="majorBidi" w:hAnsiTheme="majorBidi" w:cstheme="majorBidi"/>
        </w:rPr>
      </w:pPr>
    </w:p>
    <w:p w14:paraId="2C28B51A" w14:textId="30B87618" w:rsidR="001A4DD5" w:rsidRPr="009132A6" w:rsidRDefault="001A4DD5" w:rsidP="00AE3850">
      <w:pPr>
        <w:spacing w:line="360" w:lineRule="auto"/>
        <w:jc w:val="both"/>
        <w:rPr>
          <w:rFonts w:asciiTheme="majorBidi" w:hAnsiTheme="majorBidi" w:cstheme="majorBidi"/>
        </w:rPr>
      </w:pPr>
      <w:r w:rsidRPr="009132A6">
        <w:rPr>
          <w:rFonts w:asciiTheme="majorBidi" w:hAnsiTheme="majorBidi" w:cstheme="majorBidi"/>
        </w:rPr>
        <w:br w:type="page"/>
      </w:r>
    </w:p>
    <w:p w14:paraId="00D66988" w14:textId="77AD7CB8" w:rsidR="00B065F3" w:rsidRPr="007F12D4" w:rsidRDefault="00B065F3" w:rsidP="00AE3850">
      <w:pPr>
        <w:pStyle w:val="Titre1"/>
        <w:spacing w:line="360" w:lineRule="auto"/>
        <w:jc w:val="both"/>
        <w:rPr>
          <w:rFonts w:asciiTheme="majorBidi" w:hAnsiTheme="majorBidi"/>
          <w:b/>
          <w:bCs/>
          <w:color w:val="auto"/>
          <w:sz w:val="18"/>
          <w:szCs w:val="18"/>
          <w:u w:val="single"/>
        </w:rPr>
      </w:pPr>
      <w:bookmarkStart w:id="126" w:name="_Toc199314437"/>
      <w:bookmarkStart w:id="127" w:name="_Toc199314585"/>
      <w:r w:rsidRPr="007F12D4">
        <w:rPr>
          <w:rFonts w:asciiTheme="majorBidi" w:hAnsiTheme="majorBidi"/>
          <w:b/>
          <w:bCs/>
          <w:color w:val="auto"/>
          <w:sz w:val="28"/>
          <w:szCs w:val="28"/>
          <w:u w:val="single"/>
        </w:rPr>
        <w:lastRenderedPageBreak/>
        <w:t>Introduction du chapitre</w:t>
      </w:r>
      <w:r w:rsidR="007F12D4" w:rsidRPr="007F12D4">
        <w:rPr>
          <w:rFonts w:asciiTheme="majorBidi" w:hAnsiTheme="majorBidi"/>
          <w:b/>
          <w:bCs/>
          <w:color w:val="auto"/>
          <w:sz w:val="28"/>
          <w:szCs w:val="28"/>
          <w:u w:val="single"/>
        </w:rPr>
        <w:t xml:space="preserve"> 0</w:t>
      </w:r>
      <w:r w:rsidR="00F37459">
        <w:rPr>
          <w:rFonts w:asciiTheme="majorBidi" w:hAnsiTheme="majorBidi"/>
          <w:b/>
          <w:bCs/>
          <w:color w:val="auto"/>
          <w:sz w:val="28"/>
          <w:szCs w:val="28"/>
          <w:u w:val="single"/>
        </w:rPr>
        <w:t>2</w:t>
      </w:r>
      <w:r w:rsidR="007F12D4" w:rsidRPr="007F12D4">
        <w:rPr>
          <w:rFonts w:asciiTheme="majorBidi" w:hAnsiTheme="majorBidi"/>
          <w:b/>
          <w:bCs/>
          <w:color w:val="auto"/>
          <w:sz w:val="28"/>
          <w:szCs w:val="28"/>
          <w:u w:val="single"/>
        </w:rPr>
        <w:t xml:space="preserve"> :</w:t>
      </w:r>
      <w:bookmarkEnd w:id="126"/>
      <w:bookmarkEnd w:id="127"/>
    </w:p>
    <w:p w14:paraId="3C9B3D1B"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La gestion budgétaire constitue un levier fondamental de la performance économique et de la bonne gouvernance dans les entreprises publiques. Afin d’illustrer de manière concrète les fondements théoriques abordés dans notre étude, nous avons effectué un stage pratique au sein de la Direction Opérationnelle des Télécommunications (DOT) d’Alger, localisée à Beni Messous, relevant de l’entreprise Algérie Télécom. Cette expérience professionnelle a permis d’observer de près les mécanismes de gestion budgétaire mis en œuvre dans un contexte opérationnel réel.</w:t>
      </w:r>
    </w:p>
    <w:p w14:paraId="2A83FF37"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Algérie Télécom, en tant qu’acteur stratégique du secteur des télécommunications en Algérie, se distingue par l’ampleur de ses missions et la complexité de ses opérations techniques et financières. Dans ce cadre, la DOT de Beni Messous joue un rôle essentiel dans la déclinaison locale des orientations budgétaires de la maison mère, en assurant la planification, l’exécution et le contrôle des ressources financières nécessaires à ses activités.</w:t>
      </w:r>
    </w:p>
    <w:p w14:paraId="24E2AE15"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Ce chapitre vise à analyser le processus budgétaire au sein de la DOT de Beni Messous. Il s’articule autour de trois sections complémentaires. Dans un premier temps, nous présenterons l’organisme d’accueil, à savoir Algérie Télécom et plus particulièrement la DOT de Beni Messous, ainsi que le Département Finances et Comptabilité, lieu de notre stage. La deuxième section décrira en détail les différentes phases du processus budgétaire, depuis l’élaboration jusqu’au contrôle, avec un focus particulier sur les outils et les méthodes utilisés, tels que le système Oracle. Enfin, la troisième section sera consacrée à une étude critique de ce processus, mettant en évidence ses points forts, ses limites ainsi que des pistes d’amélioration pour une meilleure efficacité de la gestion budgétaire.</w:t>
      </w:r>
    </w:p>
    <w:p w14:paraId="273D31F3" w14:textId="77777777" w:rsidR="00B065F3" w:rsidRPr="004224FB" w:rsidRDefault="00B065F3" w:rsidP="00AE3850">
      <w:pPr>
        <w:spacing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br w:type="page"/>
      </w:r>
    </w:p>
    <w:p w14:paraId="71B1F457" w14:textId="77777777" w:rsidR="00B065F3" w:rsidRPr="007F12D4" w:rsidRDefault="00B065F3" w:rsidP="00AE3850">
      <w:pPr>
        <w:pStyle w:val="Titre2"/>
        <w:spacing w:line="360" w:lineRule="auto"/>
        <w:jc w:val="both"/>
        <w:rPr>
          <w:rFonts w:asciiTheme="majorBidi" w:hAnsiTheme="majorBidi"/>
          <w:b/>
          <w:bCs/>
          <w:color w:val="auto"/>
          <w:sz w:val="28"/>
          <w:szCs w:val="28"/>
          <w:u w:val="single"/>
        </w:rPr>
      </w:pPr>
      <w:bookmarkStart w:id="128" w:name="_Toc199314438"/>
      <w:bookmarkStart w:id="129" w:name="_Toc199314586"/>
      <w:r w:rsidRPr="007F12D4">
        <w:rPr>
          <w:rFonts w:asciiTheme="majorBidi" w:hAnsiTheme="majorBidi"/>
          <w:b/>
          <w:bCs/>
          <w:color w:val="auto"/>
          <w:sz w:val="28"/>
          <w:szCs w:val="28"/>
          <w:u w:val="single"/>
        </w:rPr>
        <w:lastRenderedPageBreak/>
        <w:t>Section 01 : Présentation de l’organisme d’accueil</w:t>
      </w:r>
      <w:bookmarkEnd w:id="128"/>
      <w:bookmarkEnd w:id="129"/>
    </w:p>
    <w:p w14:paraId="52F7AF3B"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 xml:space="preserve">   Cette section vise à offrir une vue d’ensemble structurée de l’organisme d’accueil dans lequel s’est déroulé notre stage pratique. Afin de mieux appréhender le contexte institutionnel de notre étude, nous présenterons dans un premier temps l’entreprise Algérie Télécom, en mettant en lumière son historique, son domaine d’activité, son implantation géographique ainsi que son organisation interne. Nous détaillerons ensuite ses missions, objectifs stratégiques, valeurs, et les services qu’elle propose. Cette présentation se poursuivra par un focus sur la Direction Opérationnelle des Télécommunications (DOT) de Beni Messous, structure d’accueil de notre stage, dont nous examinerons les spécificités organisationnelles et fonctionnelles. Enfin, une attention particulière sera accordée au Département Finances et Comptabilité, lieu d’affectation de notre stage, afin de comprendre le rôle central qu’il joue dans la gestion budgétaire et financière de la direction.</w:t>
      </w:r>
    </w:p>
    <w:p w14:paraId="030A4D91" w14:textId="763ACC13" w:rsidR="00B065F3" w:rsidRPr="007F12D4" w:rsidRDefault="00B065F3" w:rsidP="00C13671">
      <w:pPr>
        <w:pStyle w:val="Titre3"/>
        <w:numPr>
          <w:ilvl w:val="0"/>
          <w:numId w:val="107"/>
        </w:numPr>
        <w:spacing w:line="360" w:lineRule="auto"/>
        <w:jc w:val="both"/>
        <w:rPr>
          <w:rFonts w:asciiTheme="majorBidi" w:hAnsiTheme="majorBidi"/>
          <w:b/>
          <w:bCs/>
          <w:color w:val="auto"/>
          <w:sz w:val="24"/>
          <w:szCs w:val="24"/>
          <w:u w:val="single"/>
          <w:lang w:eastAsia="fr-FR"/>
        </w:rPr>
      </w:pPr>
      <w:bookmarkStart w:id="130" w:name="_Toc199314439"/>
      <w:r w:rsidRPr="007F12D4">
        <w:rPr>
          <w:rFonts w:asciiTheme="majorBidi" w:hAnsiTheme="majorBidi"/>
          <w:b/>
          <w:bCs/>
          <w:color w:val="auto"/>
          <w:sz w:val="24"/>
          <w:szCs w:val="24"/>
          <w:u w:val="single"/>
          <w:lang w:eastAsia="fr-FR"/>
        </w:rPr>
        <w:t>Présentation de l’entreprise Algérie Télécom</w:t>
      </w:r>
      <w:r w:rsidR="007F12D4">
        <w:rPr>
          <w:rFonts w:asciiTheme="majorBidi" w:hAnsiTheme="majorBidi"/>
          <w:b/>
          <w:bCs/>
          <w:color w:val="auto"/>
          <w:sz w:val="24"/>
          <w:szCs w:val="24"/>
          <w:u w:val="single"/>
          <w:lang w:eastAsia="fr-FR"/>
        </w:rPr>
        <w:t xml:space="preserve"> :</w:t>
      </w:r>
      <w:bookmarkEnd w:id="130"/>
    </w:p>
    <w:p w14:paraId="3D4E7311" w14:textId="33712303" w:rsidR="00B065F3" w:rsidRPr="00E112CE" w:rsidRDefault="00B065F3" w:rsidP="00C13671">
      <w:pPr>
        <w:pStyle w:val="Titre4"/>
        <w:numPr>
          <w:ilvl w:val="0"/>
          <w:numId w:val="108"/>
        </w:numPr>
        <w:spacing w:line="360" w:lineRule="auto"/>
        <w:jc w:val="both"/>
        <w:rPr>
          <w:rFonts w:asciiTheme="majorBidi" w:hAnsiTheme="majorBidi"/>
          <w:b/>
          <w:bCs/>
          <w:i w:val="0"/>
          <w:iCs w:val="0"/>
          <w:color w:val="auto"/>
          <w:u w:val="single"/>
        </w:rPr>
      </w:pPr>
      <w:bookmarkStart w:id="131" w:name="_Toc199314440"/>
      <w:r w:rsidRPr="00E112CE">
        <w:rPr>
          <w:rFonts w:asciiTheme="majorBidi" w:hAnsiTheme="majorBidi"/>
          <w:b/>
          <w:bCs/>
          <w:i w:val="0"/>
          <w:iCs w:val="0"/>
          <w:color w:val="auto"/>
          <w:u w:val="single"/>
        </w:rPr>
        <w:t>Historique de l’entreprise Algérie Télécom</w:t>
      </w:r>
      <w:r w:rsidR="00E112CE">
        <w:rPr>
          <w:rFonts w:asciiTheme="majorBidi" w:hAnsiTheme="majorBidi"/>
          <w:b/>
          <w:bCs/>
          <w:i w:val="0"/>
          <w:iCs w:val="0"/>
          <w:color w:val="auto"/>
          <w:u w:val="single"/>
        </w:rPr>
        <w:t xml:space="preserve"> :</w:t>
      </w:r>
      <w:bookmarkEnd w:id="131"/>
    </w:p>
    <w:p w14:paraId="05A12049"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Algérie Télécom est une société par actions (SPA) à capitaux publics spécialisée dans les réseaux et services de communications électroniques. Elle a été créée en application de la loi n°2000/03 du 5 août 2000, qui a initié la restructuration du secteur des Postes et Télécommunications en distinguant les activités postales de celles des télécommunications.</w:t>
      </w:r>
    </w:p>
    <w:p w14:paraId="1160311E"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Enregistrée au registre du commerce le 11 mai 2002 sous le numéro 02B 0018083, Algérie Télécom a officiellement démarré ses activités le 1er janvier 2003. Dotée d’un capital social de 115 milliards de dinars, l’entreprise s’est engagée dans le secteur des Technologies de l’Information et de la Communication (TIC) en poursuivant trois objectifs fondamentaux :</w:t>
      </w:r>
    </w:p>
    <w:p w14:paraId="3248FFE6" w14:textId="77777777" w:rsidR="00B065F3" w:rsidRPr="000343CB" w:rsidRDefault="00B065F3" w:rsidP="00C13671">
      <w:pPr>
        <w:pStyle w:val="Paragraphedeliste"/>
        <w:numPr>
          <w:ilvl w:val="0"/>
          <w:numId w:val="49"/>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Rentabilité : assurer une gestion économique performante et durable.</w:t>
      </w:r>
    </w:p>
    <w:p w14:paraId="358DF6A4" w14:textId="77777777" w:rsidR="00B065F3" w:rsidRPr="000343CB" w:rsidRDefault="00B065F3" w:rsidP="00C13671">
      <w:pPr>
        <w:pStyle w:val="Paragraphedeliste"/>
        <w:numPr>
          <w:ilvl w:val="0"/>
          <w:numId w:val="49"/>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Efficacité : optimiser ses ressources et ses processus pour une meilleure productivité.</w:t>
      </w:r>
    </w:p>
    <w:p w14:paraId="223BD47C" w14:textId="77777777" w:rsidR="00B065F3" w:rsidRPr="000343CB" w:rsidRDefault="00B065F3" w:rsidP="00C13671">
      <w:pPr>
        <w:pStyle w:val="Paragraphedeliste"/>
        <w:numPr>
          <w:ilvl w:val="0"/>
          <w:numId w:val="49"/>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Qualité de service : garantir des prestations répondant aux attentes des clients et aux normes internationales.</w:t>
      </w:r>
    </w:p>
    <w:p w14:paraId="6C5369E4"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 xml:space="preserve">Aujourd’hui, Algérie Télécom est le principal acteur du marché algérien des télécommunications, un secteur en forte croissance. Elle propose une gamme complète de </w:t>
      </w:r>
      <w:r w:rsidRPr="004224FB">
        <w:rPr>
          <w:rFonts w:asciiTheme="majorBidi" w:eastAsia="Times New Roman" w:hAnsiTheme="majorBidi" w:cstheme="majorBidi"/>
          <w:lang w:eastAsia="fr-FR"/>
        </w:rPr>
        <w:lastRenderedPageBreak/>
        <w:t>services de voix et de données destinés aussi bien aux clients particuliers qu’aux entreprises. Son succès repose sur une politique d’innovation continue, adaptée aux évolutions technologiques et aux besoins des consommateurs.</w:t>
      </w:r>
    </w:p>
    <w:p w14:paraId="57124FA8" w14:textId="77777777" w:rsidR="00B065F3" w:rsidRPr="00E112CE" w:rsidRDefault="00B065F3" w:rsidP="00AE3850">
      <w:pPr>
        <w:spacing w:before="240" w:after="240" w:line="360" w:lineRule="auto"/>
        <w:ind w:firstLine="360"/>
        <w:jc w:val="both"/>
        <w:rPr>
          <w:rFonts w:asciiTheme="majorBidi" w:eastAsia="Times New Roman" w:hAnsiTheme="majorBidi" w:cstheme="majorBidi"/>
          <w:lang w:eastAsia="fr-FR"/>
        </w:rPr>
      </w:pPr>
      <w:r w:rsidRPr="00E112CE">
        <w:rPr>
          <w:rFonts w:asciiTheme="majorBidi" w:eastAsia="Times New Roman" w:hAnsiTheme="majorBidi" w:cstheme="majorBidi"/>
          <w:lang w:eastAsia="fr-FR"/>
        </w:rPr>
        <w:t>AT aspire à maintenir un haut niveau de performance technique, économique et sociale, tout en préservant sa position de leader dans un environnement de plus en plus concurrentiel. Elle œuvre également au renforcement de sa dimension internationale et à la promotion de la société de l’information en Algérie.</w:t>
      </w:r>
    </w:p>
    <w:p w14:paraId="7486B55F" w14:textId="188F9BD1" w:rsidR="00B065F3" w:rsidRPr="007344FF" w:rsidRDefault="00B065F3" w:rsidP="00C13671">
      <w:pPr>
        <w:pStyle w:val="Titre4"/>
        <w:numPr>
          <w:ilvl w:val="0"/>
          <w:numId w:val="108"/>
        </w:numPr>
        <w:spacing w:line="360" w:lineRule="auto"/>
        <w:jc w:val="both"/>
        <w:rPr>
          <w:rFonts w:asciiTheme="majorBidi" w:hAnsiTheme="majorBidi"/>
          <w:b/>
          <w:bCs/>
          <w:i w:val="0"/>
          <w:iCs w:val="0"/>
          <w:color w:val="auto"/>
          <w:u w:val="single"/>
        </w:rPr>
      </w:pPr>
      <w:bookmarkStart w:id="132" w:name="_Toc199314441"/>
      <w:r w:rsidRPr="007344FF">
        <w:rPr>
          <w:rFonts w:asciiTheme="majorBidi" w:hAnsiTheme="majorBidi"/>
          <w:b/>
          <w:bCs/>
          <w:i w:val="0"/>
          <w:iCs w:val="0"/>
          <w:color w:val="auto"/>
          <w:u w:val="single"/>
        </w:rPr>
        <w:t>Objectifs d’Algérie Télécom</w:t>
      </w:r>
      <w:r w:rsidR="007344FF" w:rsidRPr="007344FF">
        <w:rPr>
          <w:rFonts w:asciiTheme="majorBidi" w:hAnsiTheme="majorBidi"/>
          <w:b/>
          <w:bCs/>
          <w:i w:val="0"/>
          <w:iCs w:val="0"/>
          <w:color w:val="auto"/>
          <w:u w:val="single"/>
        </w:rPr>
        <w:t xml:space="preserve"> :</w:t>
      </w:r>
      <w:bookmarkEnd w:id="132"/>
    </w:p>
    <w:p w14:paraId="6EE8F971"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Algérie Télécom évolue dans un secteur stratégique et vise à moderniser le paysage des télécommunications en Algérie à travers plusieurs objectifs prioritaires :</w:t>
      </w:r>
    </w:p>
    <w:p w14:paraId="7AB64EAC" w14:textId="77777777" w:rsidR="00B065F3" w:rsidRPr="000343CB" w:rsidRDefault="00B065F3" w:rsidP="00C13671">
      <w:pPr>
        <w:pStyle w:val="Paragraphedeliste"/>
        <w:numPr>
          <w:ilvl w:val="0"/>
          <w:numId w:val="50"/>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Élargir l’accès aux services de télécommunications en rendant ces derniers accessibles au plus grand nombre, y compris dans les zones rurales et enclavées.</w:t>
      </w:r>
    </w:p>
    <w:p w14:paraId="3EF5089B" w14:textId="77777777" w:rsidR="00B065F3" w:rsidRPr="000343CB" w:rsidRDefault="00B065F3" w:rsidP="00C13671">
      <w:pPr>
        <w:pStyle w:val="Paragraphedeliste"/>
        <w:numPr>
          <w:ilvl w:val="0"/>
          <w:numId w:val="50"/>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Améliorer la qualité et la diversité des services afin de proposer des prestations compétitives et conformes aux standards internationaux.</w:t>
      </w:r>
    </w:p>
    <w:p w14:paraId="59580058" w14:textId="3CFE06AA" w:rsidR="00B065F3" w:rsidRPr="000343CB" w:rsidRDefault="00B065F3" w:rsidP="00C13671">
      <w:pPr>
        <w:pStyle w:val="Paragraphedeliste"/>
        <w:numPr>
          <w:ilvl w:val="0"/>
          <w:numId w:val="50"/>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Développer un réseau national performant et sécurisé,</w:t>
      </w:r>
      <w:r w:rsidR="00FA51B9">
        <w:rPr>
          <w:rFonts w:asciiTheme="majorBidi" w:eastAsia="Times New Roman" w:hAnsiTheme="majorBidi" w:cstheme="majorBidi"/>
          <w:lang w:eastAsia="fr-FR"/>
        </w:rPr>
        <w:t xml:space="preserve"> </w:t>
      </w:r>
      <w:r w:rsidRPr="000343CB">
        <w:rPr>
          <w:rFonts w:asciiTheme="majorBidi" w:eastAsia="Times New Roman" w:hAnsiTheme="majorBidi" w:cstheme="majorBidi"/>
          <w:lang w:eastAsia="fr-FR"/>
        </w:rPr>
        <w:t>connecté aux autoroutes de l’information, garantissant une connectivité fiable à l’échelle nationale et internationale.</w:t>
      </w:r>
    </w:p>
    <w:p w14:paraId="2012083D" w14:textId="492F4DB2" w:rsidR="00B065F3" w:rsidRPr="00487A31" w:rsidRDefault="00B065F3" w:rsidP="00C13671">
      <w:pPr>
        <w:pStyle w:val="Titre4"/>
        <w:numPr>
          <w:ilvl w:val="0"/>
          <w:numId w:val="108"/>
        </w:numPr>
        <w:spacing w:line="360" w:lineRule="auto"/>
        <w:jc w:val="both"/>
        <w:rPr>
          <w:rFonts w:asciiTheme="majorBidi" w:hAnsiTheme="majorBidi"/>
          <w:b/>
          <w:bCs/>
          <w:i w:val="0"/>
          <w:iCs w:val="0"/>
          <w:color w:val="auto"/>
          <w:u w:val="single"/>
        </w:rPr>
      </w:pPr>
      <w:bookmarkStart w:id="133" w:name="_Toc199314442"/>
      <w:r w:rsidRPr="00487A31">
        <w:rPr>
          <w:rFonts w:asciiTheme="majorBidi" w:hAnsiTheme="majorBidi"/>
          <w:b/>
          <w:bCs/>
          <w:i w:val="0"/>
          <w:iCs w:val="0"/>
          <w:color w:val="auto"/>
          <w:u w:val="single"/>
        </w:rPr>
        <w:t>Missions d’Algérie Télécom</w:t>
      </w:r>
      <w:r w:rsidR="00487A31" w:rsidRPr="00487A31">
        <w:rPr>
          <w:rFonts w:asciiTheme="majorBidi" w:hAnsiTheme="majorBidi"/>
          <w:b/>
          <w:bCs/>
          <w:i w:val="0"/>
          <w:iCs w:val="0"/>
          <w:color w:val="auto"/>
          <w:u w:val="single"/>
        </w:rPr>
        <w:t xml:space="preserve"> :</w:t>
      </w:r>
      <w:bookmarkEnd w:id="133"/>
    </w:p>
    <w:p w14:paraId="6ED2BE96"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En tant qu’acteur clé du secteur des télécommunications, Algérie Télécom a pour mission principale de fournir des services diversifiés et performants, répondant aux besoins des particuliers, des entreprises et des institutions publiques. Parmi ses principales missions, on retrouve :</w:t>
      </w:r>
    </w:p>
    <w:p w14:paraId="25E663B3" w14:textId="77777777" w:rsidR="00B065F3" w:rsidRPr="000343CB" w:rsidRDefault="00B065F3" w:rsidP="00C13671">
      <w:pPr>
        <w:pStyle w:val="Paragraphedeliste"/>
        <w:numPr>
          <w:ilvl w:val="0"/>
          <w:numId w:val="51"/>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La fourniture de services de télécommunication pour le transport et l’échange de voix, de messages écrits, de données numériques et d’informations audiovisuelles.</w:t>
      </w:r>
    </w:p>
    <w:p w14:paraId="128B9063" w14:textId="77777777" w:rsidR="00B065F3" w:rsidRPr="000343CB" w:rsidRDefault="00B065F3" w:rsidP="00C13671">
      <w:pPr>
        <w:pStyle w:val="Paragraphedeliste"/>
        <w:numPr>
          <w:ilvl w:val="0"/>
          <w:numId w:val="51"/>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Le développement, l’exploitation et la gestion des réseaux publics et privés de télécommunications.</w:t>
      </w:r>
    </w:p>
    <w:p w14:paraId="0F2EEEF3" w14:textId="77777777" w:rsidR="00B065F3" w:rsidRPr="000343CB" w:rsidRDefault="00B065F3" w:rsidP="00C13671">
      <w:pPr>
        <w:pStyle w:val="Paragraphedeliste"/>
        <w:numPr>
          <w:ilvl w:val="0"/>
          <w:numId w:val="51"/>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L’établissement et la gestion des interconnexions avec les différents opérateurs du secteur.</w:t>
      </w:r>
    </w:p>
    <w:p w14:paraId="1691909C"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p>
    <w:p w14:paraId="69656A37" w14:textId="0B7B9524" w:rsidR="00B065F3" w:rsidRPr="00487A31" w:rsidRDefault="00B065F3" w:rsidP="00C13671">
      <w:pPr>
        <w:pStyle w:val="Titre4"/>
        <w:numPr>
          <w:ilvl w:val="0"/>
          <w:numId w:val="108"/>
        </w:numPr>
        <w:spacing w:line="360" w:lineRule="auto"/>
        <w:jc w:val="both"/>
        <w:rPr>
          <w:rFonts w:asciiTheme="majorBidi" w:hAnsiTheme="majorBidi"/>
          <w:b/>
          <w:bCs/>
          <w:i w:val="0"/>
          <w:iCs w:val="0"/>
          <w:color w:val="auto"/>
          <w:u w:val="single"/>
        </w:rPr>
      </w:pPr>
      <w:bookmarkStart w:id="134" w:name="_Toc199314443"/>
      <w:r w:rsidRPr="00487A31">
        <w:rPr>
          <w:rFonts w:asciiTheme="majorBidi" w:hAnsiTheme="majorBidi"/>
          <w:b/>
          <w:bCs/>
          <w:i w:val="0"/>
          <w:iCs w:val="0"/>
          <w:color w:val="auto"/>
          <w:u w:val="single"/>
        </w:rPr>
        <w:t>Organisation d’Algérie Télécom</w:t>
      </w:r>
      <w:r w:rsidR="00487A31" w:rsidRPr="00487A31">
        <w:rPr>
          <w:rFonts w:asciiTheme="majorBidi" w:hAnsiTheme="majorBidi"/>
          <w:b/>
          <w:bCs/>
          <w:i w:val="0"/>
          <w:iCs w:val="0"/>
          <w:color w:val="auto"/>
          <w:u w:val="single"/>
        </w:rPr>
        <w:t xml:space="preserve"> :</w:t>
      </w:r>
      <w:bookmarkEnd w:id="134"/>
    </w:p>
    <w:p w14:paraId="72A8AD00"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Algérie Télécom est structurée de manière hiérarchisée et fonctionnelle afin d’assurer une gestion optimale de ses activités à l’échelle nationale. Elle est organisée autour de divisions, de directions centrales et régionales, ainsi que de directions opérationnelles au niveau des wilayas. Cette structure permet à l’entreprise de couvrir l’ensemble du territoire national et de répondre efficacement aux besoins en matière de télécommunications.</w:t>
      </w:r>
    </w:p>
    <w:p w14:paraId="4C01BDDA"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L’entreprise dispose également de trois filiales spécialisées, chacune opérant dans un domaine stratégique :</w:t>
      </w:r>
    </w:p>
    <w:p w14:paraId="79DD40EA" w14:textId="77777777" w:rsidR="00B065F3" w:rsidRPr="000343CB" w:rsidRDefault="00B065F3" w:rsidP="00C13671">
      <w:pPr>
        <w:pStyle w:val="Paragraphedeliste"/>
        <w:numPr>
          <w:ilvl w:val="0"/>
          <w:numId w:val="52"/>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Mobilis : dédiée aux services de téléphonie mobile ;</w:t>
      </w:r>
    </w:p>
    <w:p w14:paraId="3810405A" w14:textId="77777777" w:rsidR="00B065F3" w:rsidRPr="000343CB" w:rsidRDefault="00B065F3" w:rsidP="00C13671">
      <w:pPr>
        <w:pStyle w:val="Paragraphedeliste"/>
        <w:numPr>
          <w:ilvl w:val="0"/>
          <w:numId w:val="52"/>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Djaweb : spécialisée dans les services Internet ;</w:t>
      </w:r>
    </w:p>
    <w:p w14:paraId="62819389" w14:textId="77777777" w:rsidR="00B065F3" w:rsidRPr="000343CB" w:rsidRDefault="00B065F3" w:rsidP="00C13671">
      <w:pPr>
        <w:pStyle w:val="Paragraphedeliste"/>
        <w:numPr>
          <w:ilvl w:val="0"/>
          <w:numId w:val="52"/>
        </w:numPr>
        <w:spacing w:before="240" w:after="240" w:line="360" w:lineRule="auto"/>
        <w:jc w:val="both"/>
        <w:rPr>
          <w:rFonts w:asciiTheme="majorBidi" w:eastAsia="Times New Roman" w:hAnsiTheme="majorBidi" w:cstheme="majorBidi"/>
          <w:lang w:eastAsia="fr-FR"/>
        </w:rPr>
      </w:pPr>
      <w:r w:rsidRPr="000343CB">
        <w:rPr>
          <w:rFonts w:asciiTheme="majorBidi" w:eastAsia="Times New Roman" w:hAnsiTheme="majorBidi" w:cstheme="majorBidi"/>
          <w:lang w:eastAsia="fr-FR"/>
        </w:rPr>
        <w:t>RevSat : axée sur les télécommunications par satellite.</w:t>
      </w:r>
    </w:p>
    <w:p w14:paraId="2005DC9E"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p>
    <w:p w14:paraId="1BED57D1" w14:textId="77777777" w:rsidR="00B065F3"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Dans le cadre de sa mission de service public et de son engagement pour le développement socio-économique, Algérie Télécom œuvre à la réduction de la fracture numérique, notamment par le raccordement des zones enclavées et l’équipement des établissements scolaires en solutions numériques. Elle investit également dans la formation continue et le renforcement des compétences de ses collaborateurs, afin d’assurer une qualité de service conforme aux standards du secteur.</w:t>
      </w:r>
    </w:p>
    <w:p w14:paraId="7B4EAC29" w14:textId="092F8BC0" w:rsidR="00B065F3" w:rsidRPr="005210D8"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35" w:name="_Toc199314767"/>
      <w:r w:rsidRPr="005210D8">
        <w:rPr>
          <w:rFonts w:asciiTheme="majorBidi" w:hAnsiTheme="majorBidi" w:cstheme="majorBidi"/>
          <w:b/>
          <w:bCs/>
          <w:i w:val="0"/>
          <w:iCs w:val="0"/>
          <w:color w:val="auto"/>
          <w:sz w:val="24"/>
          <w:szCs w:val="24"/>
        </w:rPr>
        <w:lastRenderedPageBreak/>
        <w:t xml:space="preserve">Figure N°2- </w:t>
      </w:r>
      <w:r w:rsidRPr="005210D8">
        <w:rPr>
          <w:rFonts w:asciiTheme="majorBidi" w:hAnsiTheme="majorBidi" w:cstheme="majorBidi"/>
          <w:b/>
          <w:bCs/>
          <w:i w:val="0"/>
          <w:iCs w:val="0"/>
          <w:color w:val="auto"/>
          <w:sz w:val="24"/>
          <w:szCs w:val="24"/>
        </w:rPr>
        <w:fldChar w:fldCharType="begin"/>
      </w:r>
      <w:r w:rsidRPr="005210D8">
        <w:rPr>
          <w:rFonts w:asciiTheme="majorBidi" w:hAnsiTheme="majorBidi" w:cstheme="majorBidi"/>
          <w:b/>
          <w:bCs/>
          <w:i w:val="0"/>
          <w:iCs w:val="0"/>
          <w:color w:val="auto"/>
          <w:sz w:val="24"/>
          <w:szCs w:val="24"/>
        </w:rPr>
        <w:instrText xml:space="preserve"> SEQ Figure_N°2- \* ARABIC </w:instrText>
      </w:r>
      <w:r w:rsidRPr="005210D8">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1</w:t>
      </w:r>
      <w:r w:rsidRPr="005210D8">
        <w:rPr>
          <w:rFonts w:asciiTheme="majorBidi" w:hAnsiTheme="majorBidi" w:cstheme="majorBidi"/>
          <w:b/>
          <w:bCs/>
          <w:i w:val="0"/>
          <w:iCs w:val="0"/>
          <w:color w:val="auto"/>
          <w:sz w:val="24"/>
          <w:szCs w:val="24"/>
        </w:rPr>
        <w:fldChar w:fldCharType="end"/>
      </w:r>
      <w:r w:rsidRPr="005210D8">
        <w:rPr>
          <w:rFonts w:asciiTheme="majorBidi" w:hAnsiTheme="majorBidi" w:cstheme="majorBidi"/>
          <w:b/>
          <w:bCs/>
          <w:i w:val="0"/>
          <w:iCs w:val="0"/>
          <w:color w:val="auto"/>
          <w:sz w:val="24"/>
          <w:szCs w:val="24"/>
        </w:rPr>
        <w:t>: Organigramme d’Algérie Télécom</w:t>
      </w:r>
      <w:bookmarkEnd w:id="135"/>
    </w:p>
    <w:p w14:paraId="142FACCA" w14:textId="5B5070CF" w:rsidR="00B065F3" w:rsidRDefault="009B1E4C" w:rsidP="00AE3850">
      <w:pPr>
        <w:spacing w:before="240" w:after="240" w:line="360" w:lineRule="auto"/>
        <w:jc w:val="both"/>
        <w:rPr>
          <w:rFonts w:asciiTheme="majorBidi" w:eastAsia="Times New Roman" w:hAnsiTheme="majorBidi" w:cstheme="majorBidi"/>
          <w:lang w:eastAsia="fr-FR"/>
        </w:rPr>
      </w:pPr>
      <w:r>
        <w:rPr>
          <w:rFonts w:asciiTheme="majorBidi" w:eastAsia="Times New Roman" w:hAnsiTheme="majorBidi" w:cstheme="majorBidi"/>
          <w:noProof/>
          <w:lang w:eastAsia="fr-FR"/>
        </w:rPr>
        <mc:AlternateContent>
          <mc:Choice Requires="wps">
            <w:drawing>
              <wp:anchor distT="0" distB="0" distL="114300" distR="114300" simplePos="0" relativeHeight="251719680" behindDoc="0" locked="0" layoutInCell="1" allowOverlap="1" wp14:anchorId="36B8BCB5" wp14:editId="299A1A02">
                <wp:simplePos x="0" y="0"/>
                <wp:positionH relativeFrom="column">
                  <wp:posOffset>2977515</wp:posOffset>
                </wp:positionH>
                <wp:positionV relativeFrom="paragraph">
                  <wp:posOffset>4002405</wp:posOffset>
                </wp:positionV>
                <wp:extent cx="2203450" cy="1898650"/>
                <wp:effectExtent l="0" t="0" r="6350" b="6350"/>
                <wp:wrapNone/>
                <wp:docPr id="39" name="Rectangle : coins arrondis 39"/>
                <wp:cNvGraphicFramePr/>
                <a:graphic xmlns:a="http://schemas.openxmlformats.org/drawingml/2006/main">
                  <a:graphicData uri="http://schemas.microsoft.com/office/word/2010/wordprocessingShape">
                    <wps:wsp>
                      <wps:cNvSpPr/>
                      <wps:spPr>
                        <a:xfrm>
                          <a:off x="0" y="0"/>
                          <a:ext cx="2203450" cy="1898650"/>
                        </a:xfrm>
                        <a:prstGeom prst="roundRect">
                          <a:avLst/>
                        </a:prstGeom>
                        <a:ln>
                          <a:noFill/>
                        </a:ln>
                      </wps:spPr>
                      <wps:style>
                        <a:lnRef idx="2">
                          <a:schemeClr val="accent1"/>
                        </a:lnRef>
                        <a:fillRef idx="1">
                          <a:schemeClr val="lt1"/>
                        </a:fillRef>
                        <a:effectRef idx="0">
                          <a:schemeClr val="accent1"/>
                        </a:effectRef>
                        <a:fontRef idx="minor">
                          <a:schemeClr val="dk1"/>
                        </a:fontRef>
                      </wps:style>
                      <wps:txbx>
                        <w:txbxContent>
                          <w:p w14:paraId="57716CE0" w14:textId="1847E051"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RH</w:t>
                            </w:r>
                          </w:p>
                          <w:p w14:paraId="356AA3FE" w14:textId="6292CBD0"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finances et comptabilite</w:t>
                            </w:r>
                          </w:p>
                          <w:p w14:paraId="57222036" w14:textId="396304D7"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Syst.Info</w:t>
                            </w:r>
                          </w:p>
                          <w:p w14:paraId="533AA8C2" w14:textId="5F4FEE81"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w:t>
                            </w:r>
                            <w:r>
                              <w:rPr>
                                <w:rFonts w:asciiTheme="majorBidi" w:hAnsiTheme="majorBidi" w:cstheme="majorBidi"/>
                                <w:sz w:val="22"/>
                                <w:szCs w:val="22"/>
                              </w:rPr>
                              <w:t>r.achat et de la logistique</w:t>
                            </w:r>
                          </w:p>
                          <w:p w14:paraId="0C68FEF5" w14:textId="088EC59A"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w:t>
                            </w:r>
                            <w:r>
                              <w:rPr>
                                <w:rFonts w:asciiTheme="majorBidi" w:hAnsiTheme="majorBidi" w:cstheme="majorBidi"/>
                                <w:sz w:val="22"/>
                                <w:szCs w:val="22"/>
                              </w:rPr>
                              <w:t>r</w:t>
                            </w:r>
                            <w:r w:rsidRPr="009B1E4C">
                              <w:rPr>
                                <w:rFonts w:asciiTheme="majorBidi" w:hAnsiTheme="majorBidi" w:cstheme="majorBidi"/>
                                <w:sz w:val="22"/>
                                <w:szCs w:val="22"/>
                              </w:rPr>
                              <w:t>.</w:t>
                            </w:r>
                            <w:r>
                              <w:rPr>
                                <w:rFonts w:asciiTheme="majorBidi" w:hAnsiTheme="majorBidi" w:cstheme="majorBidi"/>
                                <w:sz w:val="22"/>
                                <w:szCs w:val="22"/>
                              </w:rPr>
                              <w:t>moyens et patrimoine</w:t>
                            </w:r>
                          </w:p>
                          <w:p w14:paraId="3309C6BC" w14:textId="0360917A" w:rsidR="00AB34B8" w:rsidRDefault="00AB34B8" w:rsidP="00C13671">
                            <w:pPr>
                              <w:pStyle w:val="Paragraphedeliste"/>
                              <w:numPr>
                                <w:ilvl w:val="0"/>
                                <w:numId w:val="90"/>
                              </w:numPr>
                              <w:rPr>
                                <w:rFonts w:asciiTheme="majorBidi" w:hAnsiTheme="majorBidi" w:cstheme="majorBidi"/>
                                <w:sz w:val="22"/>
                                <w:szCs w:val="22"/>
                              </w:rPr>
                            </w:pPr>
                            <w:r>
                              <w:rPr>
                                <w:rFonts w:asciiTheme="majorBidi" w:hAnsiTheme="majorBidi" w:cstheme="majorBidi"/>
                                <w:sz w:val="22"/>
                                <w:szCs w:val="22"/>
                              </w:rPr>
                              <w:t>Dir.affaires juridiques</w:t>
                            </w:r>
                          </w:p>
                          <w:p w14:paraId="513A2FE3" w14:textId="4BD40A42" w:rsidR="00AB34B8" w:rsidRDefault="00AB34B8" w:rsidP="00C13671">
                            <w:pPr>
                              <w:pStyle w:val="Paragraphedeliste"/>
                              <w:numPr>
                                <w:ilvl w:val="0"/>
                                <w:numId w:val="90"/>
                              </w:numPr>
                              <w:rPr>
                                <w:rFonts w:asciiTheme="majorBidi" w:hAnsiTheme="majorBidi" w:cstheme="majorBidi"/>
                                <w:sz w:val="22"/>
                                <w:szCs w:val="22"/>
                              </w:rPr>
                            </w:pPr>
                            <w:r>
                              <w:rPr>
                                <w:rFonts w:asciiTheme="majorBidi" w:hAnsiTheme="majorBidi" w:cstheme="majorBidi"/>
                                <w:sz w:val="22"/>
                                <w:szCs w:val="22"/>
                              </w:rPr>
                              <w:t>Dir revenue assurances</w:t>
                            </w:r>
                          </w:p>
                          <w:p w14:paraId="1919E9F3" w14:textId="14021973" w:rsidR="00AB34B8" w:rsidRPr="009B1E4C" w:rsidRDefault="00AB34B8" w:rsidP="00C13671">
                            <w:pPr>
                              <w:pStyle w:val="Paragraphedeliste"/>
                              <w:numPr>
                                <w:ilvl w:val="0"/>
                                <w:numId w:val="90"/>
                              </w:numPr>
                              <w:rPr>
                                <w:rFonts w:asciiTheme="majorBidi" w:hAnsiTheme="majorBidi" w:cstheme="majorBidi"/>
                                <w:sz w:val="22"/>
                                <w:szCs w:val="22"/>
                              </w:rPr>
                            </w:pPr>
                            <w:r>
                              <w:rPr>
                                <w:rFonts w:asciiTheme="majorBidi" w:hAnsiTheme="majorBidi" w:cstheme="majorBidi"/>
                                <w:sz w:val="22"/>
                                <w:szCs w:val="22"/>
                              </w:rPr>
                              <w:t>Dir recouvrement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36B8BCB5" id="Rectangle : coins arrondis 39" o:spid="_x0000_s1031" style="position:absolute;left:0;text-align:left;margin-left:234.45pt;margin-top:315.15pt;width:173.5pt;height:149.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" fillcolor="white [3201]" stroked="f" strokeweight="1pt">
                <v:stroke joinstyle="miter"/>
                <v:textbox>
                  <w:txbxContent>
                    <w:p w14:paraId="57716CE0" w14:textId="1847E051"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RH</w:t>
                      </w:r>
                    </w:p>
                    <w:p w14:paraId="356AA3FE" w14:textId="6292CBD0"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finances et comptabilite</w:t>
                      </w:r>
                    </w:p>
                    <w:p w14:paraId="57222036" w14:textId="396304D7"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Syst.Info</w:t>
                      </w:r>
                    </w:p>
                    <w:p w14:paraId="533AA8C2" w14:textId="5F4FEE81"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w:t>
                      </w:r>
                      <w:r>
                        <w:rPr>
                          <w:rFonts w:asciiTheme="majorBidi" w:hAnsiTheme="majorBidi" w:cstheme="majorBidi"/>
                          <w:sz w:val="22"/>
                          <w:szCs w:val="22"/>
                        </w:rPr>
                        <w:t>r.achat et de la logistique</w:t>
                      </w:r>
                    </w:p>
                    <w:p w14:paraId="0C68FEF5" w14:textId="088EC59A"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w:t>
                      </w:r>
                      <w:r>
                        <w:rPr>
                          <w:rFonts w:asciiTheme="majorBidi" w:hAnsiTheme="majorBidi" w:cstheme="majorBidi"/>
                          <w:sz w:val="22"/>
                          <w:szCs w:val="22"/>
                        </w:rPr>
                        <w:t>r</w:t>
                      </w:r>
                      <w:r w:rsidRPr="009B1E4C">
                        <w:rPr>
                          <w:rFonts w:asciiTheme="majorBidi" w:hAnsiTheme="majorBidi" w:cstheme="majorBidi"/>
                          <w:sz w:val="22"/>
                          <w:szCs w:val="22"/>
                        </w:rPr>
                        <w:t>.</w:t>
                      </w:r>
                      <w:r>
                        <w:rPr>
                          <w:rFonts w:asciiTheme="majorBidi" w:hAnsiTheme="majorBidi" w:cstheme="majorBidi"/>
                          <w:sz w:val="22"/>
                          <w:szCs w:val="22"/>
                        </w:rPr>
                        <w:t>moyens et patrimoine</w:t>
                      </w:r>
                    </w:p>
                    <w:p w14:paraId="3309C6BC" w14:textId="0360917A" w:rsidR="00771E97" w:rsidRDefault="00771E97" w:rsidP="00C13671">
                      <w:pPr>
                        <w:pStyle w:val="ListParagraph"/>
                        <w:numPr>
                          <w:ilvl w:val="0"/>
                          <w:numId w:val="90"/>
                        </w:numPr>
                        <w:rPr>
                          <w:rFonts w:asciiTheme="majorBidi" w:hAnsiTheme="majorBidi" w:cstheme="majorBidi"/>
                          <w:sz w:val="22"/>
                          <w:szCs w:val="22"/>
                        </w:rPr>
                      </w:pPr>
                      <w:r>
                        <w:rPr>
                          <w:rFonts w:asciiTheme="majorBidi" w:hAnsiTheme="majorBidi" w:cstheme="majorBidi"/>
                          <w:sz w:val="22"/>
                          <w:szCs w:val="22"/>
                        </w:rPr>
                        <w:t>Dir.affaires juridiques</w:t>
                      </w:r>
                    </w:p>
                    <w:p w14:paraId="513A2FE3" w14:textId="4BD40A42" w:rsidR="00771E97" w:rsidRDefault="00771E97" w:rsidP="00C13671">
                      <w:pPr>
                        <w:pStyle w:val="ListParagraph"/>
                        <w:numPr>
                          <w:ilvl w:val="0"/>
                          <w:numId w:val="90"/>
                        </w:numPr>
                        <w:rPr>
                          <w:rFonts w:asciiTheme="majorBidi" w:hAnsiTheme="majorBidi" w:cstheme="majorBidi"/>
                          <w:sz w:val="22"/>
                          <w:szCs w:val="22"/>
                        </w:rPr>
                      </w:pPr>
                      <w:r>
                        <w:rPr>
                          <w:rFonts w:asciiTheme="majorBidi" w:hAnsiTheme="majorBidi" w:cstheme="majorBidi"/>
                          <w:sz w:val="22"/>
                          <w:szCs w:val="22"/>
                        </w:rPr>
                        <w:t>Dir revenue assurances</w:t>
                      </w:r>
                    </w:p>
                    <w:p w14:paraId="1919E9F3" w14:textId="14021973" w:rsidR="00771E97" w:rsidRPr="009B1E4C" w:rsidRDefault="00771E97" w:rsidP="00C13671">
                      <w:pPr>
                        <w:pStyle w:val="ListParagraph"/>
                        <w:numPr>
                          <w:ilvl w:val="0"/>
                          <w:numId w:val="90"/>
                        </w:numPr>
                        <w:rPr>
                          <w:rFonts w:asciiTheme="majorBidi" w:hAnsiTheme="majorBidi" w:cstheme="majorBidi"/>
                          <w:sz w:val="22"/>
                          <w:szCs w:val="22"/>
                        </w:rPr>
                      </w:pPr>
                      <w:r>
                        <w:rPr>
                          <w:rFonts w:asciiTheme="majorBidi" w:hAnsiTheme="majorBidi" w:cstheme="majorBidi"/>
                          <w:sz w:val="22"/>
                          <w:szCs w:val="22"/>
                        </w:rPr>
                        <w:t>Dir recouvrement</w:t>
                      </w:r>
                    </w:p>
                  </w:txbxContent>
                </v:textbox>
              </v:roundrect>
            </w:pict>
          </mc:Fallback>
        </mc:AlternateContent>
      </w:r>
      <w:r>
        <w:rPr>
          <w:rFonts w:asciiTheme="majorBidi" w:eastAsia="Times New Roman" w:hAnsiTheme="majorBidi" w:cstheme="majorBidi"/>
          <w:noProof/>
          <w:lang w:eastAsia="fr-FR"/>
        </w:rPr>
        <mc:AlternateContent>
          <mc:Choice Requires="wps">
            <w:drawing>
              <wp:anchor distT="0" distB="0" distL="114300" distR="114300" simplePos="0" relativeHeight="251717632" behindDoc="0" locked="0" layoutInCell="1" allowOverlap="1" wp14:anchorId="3CD7D619" wp14:editId="11EC164C">
                <wp:simplePos x="0" y="0"/>
                <wp:positionH relativeFrom="column">
                  <wp:posOffset>1447165</wp:posOffset>
                </wp:positionH>
                <wp:positionV relativeFrom="paragraph">
                  <wp:posOffset>3989705</wp:posOffset>
                </wp:positionV>
                <wp:extent cx="1701800" cy="2095500"/>
                <wp:effectExtent l="0" t="0" r="0" b="0"/>
                <wp:wrapNone/>
                <wp:docPr id="38" name="Rectangle : coins arrondis 38"/>
                <wp:cNvGraphicFramePr/>
                <a:graphic xmlns:a="http://schemas.openxmlformats.org/drawingml/2006/main">
                  <a:graphicData uri="http://schemas.microsoft.com/office/word/2010/wordprocessingShape">
                    <wps:wsp>
                      <wps:cNvSpPr/>
                      <wps:spPr>
                        <a:xfrm>
                          <a:off x="0" y="0"/>
                          <a:ext cx="1701800" cy="2095500"/>
                        </a:xfrm>
                        <a:prstGeom prst="roundRect">
                          <a:avLst/>
                        </a:prstGeom>
                        <a:ln>
                          <a:noFill/>
                        </a:ln>
                      </wps:spPr>
                      <wps:style>
                        <a:lnRef idx="2">
                          <a:schemeClr val="accent1"/>
                        </a:lnRef>
                        <a:fillRef idx="1">
                          <a:schemeClr val="lt1"/>
                        </a:fillRef>
                        <a:effectRef idx="0">
                          <a:schemeClr val="accent1"/>
                        </a:effectRef>
                        <a:fontRef idx="minor">
                          <a:schemeClr val="dk1"/>
                        </a:fontRef>
                      </wps:style>
                      <wps:txbx>
                        <w:txbxContent>
                          <w:p w14:paraId="0F809B36" w14:textId="08EED4B1"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mark&amp;com</w:t>
                            </w:r>
                          </w:p>
                          <w:p w14:paraId="53CF2F39" w14:textId="4601350C"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commerc.GP</w:t>
                            </w:r>
                          </w:p>
                          <w:p w14:paraId="4E5377EC" w14:textId="2CB4057E"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commerc.Corp</w:t>
                            </w:r>
                          </w:p>
                          <w:p w14:paraId="732C66E2" w14:textId="214CC9C7"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.support commercial</w:t>
                            </w:r>
                          </w:p>
                          <w:p w14:paraId="0973D741" w14:textId="0A952A23"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Interco&amp; regulation</w:t>
                            </w:r>
                          </w:p>
                          <w:p w14:paraId="3C158280" w14:textId="73CCE090" w:rsidR="00AB34B8" w:rsidRDefault="00AB34B8" w:rsidP="00C13671">
                            <w:pPr>
                              <w:pStyle w:val="Paragraphedeliste"/>
                              <w:numPr>
                                <w:ilvl w:val="0"/>
                                <w:numId w:val="90"/>
                              </w:numPr>
                              <w:rPr>
                                <w:rFonts w:asciiTheme="majorBidi" w:hAnsiTheme="majorBidi" w:cstheme="majorBidi"/>
                                <w:sz w:val="22"/>
                                <w:szCs w:val="22"/>
                              </w:rPr>
                            </w:pPr>
                            <w:r>
                              <w:rPr>
                                <w:rFonts w:asciiTheme="majorBidi" w:hAnsiTheme="majorBidi" w:cstheme="majorBidi"/>
                                <w:sz w:val="22"/>
                                <w:szCs w:val="22"/>
                              </w:rPr>
                              <w:t>Dir. Services</w:t>
                            </w:r>
                          </w:p>
                          <w:p w14:paraId="64ABA77A" w14:textId="05B9A953" w:rsidR="00AB34B8" w:rsidRPr="009B1E4C" w:rsidRDefault="00AB34B8" w:rsidP="00C13671">
                            <w:pPr>
                              <w:pStyle w:val="Paragraphedeliste"/>
                              <w:numPr>
                                <w:ilvl w:val="0"/>
                                <w:numId w:val="90"/>
                              </w:numPr>
                              <w:rPr>
                                <w:rFonts w:asciiTheme="majorBidi" w:hAnsiTheme="majorBidi" w:cstheme="majorBidi"/>
                                <w:sz w:val="22"/>
                                <w:szCs w:val="22"/>
                              </w:rPr>
                            </w:pPr>
                            <w:r>
                              <w:rPr>
                                <w:rFonts w:asciiTheme="majorBidi" w:hAnsiTheme="majorBidi" w:cstheme="majorBidi"/>
                                <w:sz w:val="22"/>
                                <w:szCs w:val="22"/>
                              </w:rPr>
                              <w:t>Unite R&amp;D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3CD7D619" id="Rectangle : coins arrondis 38" o:spid="_x0000_s1032" style="position:absolute;left:0;text-align:left;margin-left:113.95pt;margin-top:314.15pt;width:134pt;height:16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" fillcolor="white [3201]" stroked="f" strokeweight="1pt">
                <v:stroke joinstyle="miter"/>
                <v:textbox>
                  <w:txbxContent>
                    <w:p w14:paraId="0F809B36" w14:textId="08EED4B1"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mark&amp;com</w:t>
                      </w:r>
                    </w:p>
                    <w:p w14:paraId="53CF2F39" w14:textId="4601350C"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commerc.GP</w:t>
                      </w:r>
                    </w:p>
                    <w:p w14:paraId="4E5377EC" w14:textId="2CB4057E"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commerc.Corp</w:t>
                      </w:r>
                    </w:p>
                    <w:p w14:paraId="732C66E2" w14:textId="214CC9C7"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.support commercial</w:t>
                      </w:r>
                    </w:p>
                    <w:p w14:paraId="0973D741" w14:textId="0A952A23"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w:t>
                      </w:r>
                      <w:r>
                        <w:rPr>
                          <w:rFonts w:asciiTheme="majorBidi" w:hAnsiTheme="majorBidi" w:cstheme="majorBidi"/>
                          <w:sz w:val="22"/>
                          <w:szCs w:val="22"/>
                        </w:rPr>
                        <w:t>Interco&amp; regulation</w:t>
                      </w:r>
                    </w:p>
                    <w:p w14:paraId="3C158280" w14:textId="73CCE090" w:rsidR="00771E97" w:rsidRDefault="00771E97" w:rsidP="00C13671">
                      <w:pPr>
                        <w:pStyle w:val="ListParagraph"/>
                        <w:numPr>
                          <w:ilvl w:val="0"/>
                          <w:numId w:val="90"/>
                        </w:numPr>
                        <w:rPr>
                          <w:rFonts w:asciiTheme="majorBidi" w:hAnsiTheme="majorBidi" w:cstheme="majorBidi"/>
                          <w:sz w:val="22"/>
                          <w:szCs w:val="22"/>
                        </w:rPr>
                      </w:pPr>
                      <w:r>
                        <w:rPr>
                          <w:rFonts w:asciiTheme="majorBidi" w:hAnsiTheme="majorBidi" w:cstheme="majorBidi"/>
                          <w:sz w:val="22"/>
                          <w:szCs w:val="22"/>
                        </w:rPr>
                        <w:t>Dir. Services</w:t>
                      </w:r>
                    </w:p>
                    <w:p w14:paraId="64ABA77A" w14:textId="05B9A953" w:rsidR="00771E97" w:rsidRPr="009B1E4C" w:rsidRDefault="00771E97" w:rsidP="00C13671">
                      <w:pPr>
                        <w:pStyle w:val="ListParagraph"/>
                        <w:numPr>
                          <w:ilvl w:val="0"/>
                          <w:numId w:val="90"/>
                        </w:numPr>
                        <w:rPr>
                          <w:rFonts w:asciiTheme="majorBidi" w:hAnsiTheme="majorBidi" w:cstheme="majorBidi"/>
                          <w:sz w:val="22"/>
                          <w:szCs w:val="22"/>
                        </w:rPr>
                      </w:pPr>
                      <w:r>
                        <w:rPr>
                          <w:rFonts w:asciiTheme="majorBidi" w:hAnsiTheme="majorBidi" w:cstheme="majorBidi"/>
                          <w:sz w:val="22"/>
                          <w:szCs w:val="22"/>
                        </w:rPr>
                        <w:t>Unite R&amp;D</w:t>
                      </w:r>
                    </w:p>
                  </w:txbxContent>
                </v:textbox>
              </v:roundrect>
            </w:pict>
          </mc:Fallback>
        </mc:AlternateContent>
      </w:r>
      <w:r w:rsidR="006A4D97">
        <w:rPr>
          <w:rFonts w:asciiTheme="majorBidi" w:eastAsia="Times New Roman" w:hAnsiTheme="majorBidi" w:cstheme="majorBidi"/>
          <w:noProof/>
          <w:lang w:eastAsia="fr-FR"/>
        </w:rPr>
        <mc:AlternateContent>
          <mc:Choice Requires="wps">
            <w:drawing>
              <wp:anchor distT="0" distB="0" distL="114300" distR="114300" simplePos="0" relativeHeight="251715584" behindDoc="0" locked="0" layoutInCell="1" allowOverlap="1" wp14:anchorId="262F8F03" wp14:editId="1800C5E1">
                <wp:simplePos x="0" y="0"/>
                <wp:positionH relativeFrom="column">
                  <wp:posOffset>-108585</wp:posOffset>
                </wp:positionH>
                <wp:positionV relativeFrom="paragraph">
                  <wp:posOffset>3932555</wp:posOffset>
                </wp:positionV>
                <wp:extent cx="1701800" cy="1701800"/>
                <wp:effectExtent l="0" t="0" r="0" b="0"/>
                <wp:wrapNone/>
                <wp:docPr id="37" name="Rectangle : coins arrondis 37"/>
                <wp:cNvGraphicFramePr/>
                <a:graphic xmlns:a="http://schemas.openxmlformats.org/drawingml/2006/main">
                  <a:graphicData uri="http://schemas.microsoft.com/office/word/2010/wordprocessingShape">
                    <wps:wsp>
                      <wps:cNvSpPr/>
                      <wps:spPr>
                        <a:xfrm>
                          <a:off x="0" y="0"/>
                          <a:ext cx="1701800" cy="1701800"/>
                        </a:xfrm>
                        <a:prstGeom prst="roundRect">
                          <a:avLst/>
                        </a:prstGeom>
                        <a:ln>
                          <a:noFill/>
                        </a:ln>
                      </wps:spPr>
                      <wps:style>
                        <a:lnRef idx="2">
                          <a:schemeClr val="accent1"/>
                        </a:lnRef>
                        <a:fillRef idx="1">
                          <a:schemeClr val="lt1"/>
                        </a:fillRef>
                        <a:effectRef idx="0">
                          <a:schemeClr val="accent1"/>
                        </a:effectRef>
                        <a:fontRef idx="minor">
                          <a:schemeClr val="dk1"/>
                        </a:fontRef>
                      </wps:style>
                      <wps:txbx>
                        <w:txbxContent>
                          <w:p w14:paraId="2CB5F5B4" w14:textId="50BC9685"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Div.R.transport</w:t>
                            </w:r>
                          </w:p>
                          <w:p w14:paraId="5BFFA3C3" w14:textId="58171DD9"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Div.R. d’accès</w:t>
                            </w:r>
                          </w:p>
                          <w:p w14:paraId="156674AD" w14:textId="21EDDB3B"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Div.R.core</w:t>
                            </w:r>
                          </w:p>
                          <w:p w14:paraId="4C30404D" w14:textId="2CF7ACF2"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 exploit.PF</w:t>
                            </w:r>
                          </w:p>
                          <w:p w14:paraId="433A0D5B" w14:textId="75ABBFBC"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Div. De l’énergie</w:t>
                            </w:r>
                          </w:p>
                          <w:p w14:paraId="46EECDDF" w14:textId="08A1F966" w:rsidR="00AB34B8" w:rsidRPr="009B1E4C" w:rsidRDefault="00AB34B8" w:rsidP="00C13671">
                            <w:pPr>
                              <w:pStyle w:val="Paragraphedeliste"/>
                              <w:numPr>
                                <w:ilvl w:val="0"/>
                                <w:numId w:val="90"/>
                              </w:numPr>
                              <w:rPr>
                                <w:rFonts w:asciiTheme="majorBidi" w:hAnsiTheme="majorBidi" w:cstheme="majorBidi"/>
                                <w:sz w:val="22"/>
                                <w:szCs w:val="22"/>
                              </w:rPr>
                            </w:pPr>
                            <w:r w:rsidRPr="009B1E4C">
                              <w:rPr>
                                <w:rFonts w:asciiTheme="majorBidi" w:hAnsiTheme="majorBidi" w:cstheme="majorBidi"/>
                                <w:sz w:val="22"/>
                                <w:szCs w:val="22"/>
                              </w:rPr>
                              <w:t>Etab. NMSR(NOC)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262F8F03" id="Rectangle : coins arrondis 37" o:spid="_x0000_s1033" style="position:absolute;left:0;text-align:left;margin-left:-8.55pt;margin-top:309.65pt;width:134pt;height:134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" fillcolor="white [3201]" stroked="f" strokeweight="1pt">
                <v:stroke joinstyle="miter"/>
                <v:textbox>
                  <w:txbxContent>
                    <w:p w14:paraId="2CB5F5B4" w14:textId="50BC9685"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Div.R.transport</w:t>
                      </w:r>
                    </w:p>
                    <w:p w14:paraId="5BFFA3C3" w14:textId="58171DD9"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Div.R. d’accès</w:t>
                      </w:r>
                    </w:p>
                    <w:p w14:paraId="156674AD" w14:textId="21EDDB3B"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Div.R.core</w:t>
                      </w:r>
                    </w:p>
                    <w:p w14:paraId="4C30404D" w14:textId="2CF7ACF2"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 exploit.PF</w:t>
                      </w:r>
                    </w:p>
                    <w:p w14:paraId="433A0D5B" w14:textId="75ABBFBC"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Div. De l’énergie</w:t>
                      </w:r>
                    </w:p>
                    <w:p w14:paraId="46EECDDF" w14:textId="08A1F966" w:rsidR="00771E97" w:rsidRPr="009B1E4C" w:rsidRDefault="00771E97" w:rsidP="00C13671">
                      <w:pPr>
                        <w:pStyle w:val="ListParagraph"/>
                        <w:numPr>
                          <w:ilvl w:val="0"/>
                          <w:numId w:val="90"/>
                        </w:numPr>
                        <w:rPr>
                          <w:rFonts w:asciiTheme="majorBidi" w:hAnsiTheme="majorBidi" w:cstheme="majorBidi"/>
                          <w:sz w:val="22"/>
                          <w:szCs w:val="22"/>
                        </w:rPr>
                      </w:pPr>
                      <w:r w:rsidRPr="009B1E4C">
                        <w:rPr>
                          <w:rFonts w:asciiTheme="majorBidi" w:hAnsiTheme="majorBidi" w:cstheme="majorBidi"/>
                          <w:sz w:val="22"/>
                          <w:szCs w:val="22"/>
                        </w:rPr>
                        <w:t>Etab. NMSR(NOC)</w:t>
                      </w:r>
                    </w:p>
                  </w:txbxContent>
                </v:textbox>
              </v:roundrect>
            </w:pict>
          </mc:Fallback>
        </mc:AlternateContent>
      </w:r>
      <w:r w:rsidR="00AC13BD">
        <w:rPr>
          <w:rFonts w:asciiTheme="majorBidi" w:eastAsia="Times New Roman" w:hAnsiTheme="majorBidi" w:cstheme="majorBidi"/>
          <w:noProof/>
          <w:lang w:eastAsia="fr-FR"/>
        </w:rPr>
        <w:drawing>
          <wp:inline distT="0" distB="0" distL="0" distR="0" wp14:anchorId="2555C0DF" wp14:editId="7A9878FC">
            <wp:extent cx="5670550" cy="3778250"/>
            <wp:effectExtent l="0" t="0" r="0" b="31750"/>
            <wp:docPr id="36" name="Diagramme 3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253064AC" w14:textId="11FABDCF" w:rsidR="006A4D97" w:rsidRDefault="006A4D97" w:rsidP="00AE3850">
      <w:pPr>
        <w:spacing w:before="240" w:after="240" w:line="360" w:lineRule="auto"/>
        <w:jc w:val="both"/>
        <w:rPr>
          <w:rFonts w:asciiTheme="majorBidi" w:eastAsia="Times New Roman" w:hAnsiTheme="majorBidi" w:cstheme="majorBidi"/>
          <w:b/>
          <w:bCs/>
          <w:lang w:eastAsia="fr-FR"/>
        </w:rPr>
      </w:pPr>
    </w:p>
    <w:p w14:paraId="395B57DE" w14:textId="77777777" w:rsidR="006A4D97" w:rsidRDefault="006A4D97" w:rsidP="00AE3850">
      <w:pPr>
        <w:spacing w:before="240" w:after="240" w:line="360" w:lineRule="auto"/>
        <w:jc w:val="both"/>
        <w:rPr>
          <w:rFonts w:asciiTheme="majorBidi" w:eastAsia="Times New Roman" w:hAnsiTheme="majorBidi" w:cstheme="majorBidi"/>
          <w:b/>
          <w:bCs/>
          <w:lang w:eastAsia="fr-FR"/>
        </w:rPr>
      </w:pPr>
    </w:p>
    <w:p w14:paraId="30C05BF5" w14:textId="77777777" w:rsidR="006A4D97" w:rsidRDefault="006A4D97" w:rsidP="00AE3850">
      <w:pPr>
        <w:spacing w:before="240" w:after="240" w:line="360" w:lineRule="auto"/>
        <w:jc w:val="both"/>
        <w:rPr>
          <w:rFonts w:asciiTheme="majorBidi" w:eastAsia="Times New Roman" w:hAnsiTheme="majorBidi" w:cstheme="majorBidi"/>
          <w:b/>
          <w:bCs/>
          <w:lang w:eastAsia="fr-FR"/>
        </w:rPr>
      </w:pPr>
    </w:p>
    <w:p w14:paraId="056642EC" w14:textId="77777777" w:rsidR="006A4D97" w:rsidRDefault="006A4D97" w:rsidP="00AE3850">
      <w:pPr>
        <w:spacing w:before="240" w:after="240" w:line="360" w:lineRule="auto"/>
        <w:jc w:val="both"/>
        <w:rPr>
          <w:rFonts w:asciiTheme="majorBidi" w:eastAsia="Times New Roman" w:hAnsiTheme="majorBidi" w:cstheme="majorBidi"/>
          <w:b/>
          <w:bCs/>
          <w:lang w:eastAsia="fr-FR"/>
        </w:rPr>
      </w:pPr>
    </w:p>
    <w:p w14:paraId="189EE216" w14:textId="77777777" w:rsidR="006A4D97" w:rsidRDefault="006A4D97" w:rsidP="00AE3850">
      <w:pPr>
        <w:spacing w:before="240" w:after="240" w:line="360" w:lineRule="auto"/>
        <w:jc w:val="both"/>
        <w:rPr>
          <w:rFonts w:asciiTheme="majorBidi" w:eastAsia="Times New Roman" w:hAnsiTheme="majorBidi" w:cstheme="majorBidi"/>
          <w:b/>
          <w:bCs/>
          <w:lang w:eastAsia="fr-FR"/>
        </w:rPr>
      </w:pPr>
    </w:p>
    <w:p w14:paraId="040479A8" w14:textId="3F220ECF" w:rsidR="00B065F3" w:rsidRPr="00487A31" w:rsidRDefault="00B065F3" w:rsidP="00AE3850">
      <w:pPr>
        <w:spacing w:before="240" w:after="240" w:line="360" w:lineRule="auto"/>
        <w:jc w:val="both"/>
        <w:rPr>
          <w:rFonts w:asciiTheme="majorBidi" w:eastAsia="Times New Roman" w:hAnsiTheme="majorBidi" w:cstheme="majorBidi"/>
          <w:b/>
          <w:bCs/>
          <w:lang w:eastAsia="fr-FR"/>
        </w:rPr>
      </w:pPr>
      <w:r w:rsidRPr="00487A31">
        <w:rPr>
          <w:rFonts w:asciiTheme="majorBidi" w:eastAsia="Times New Roman" w:hAnsiTheme="majorBidi" w:cstheme="majorBidi"/>
          <w:b/>
          <w:bCs/>
          <w:lang w:eastAsia="fr-FR"/>
        </w:rPr>
        <w:t xml:space="preserve">La source : document interne de l’entreprise </w:t>
      </w:r>
    </w:p>
    <w:p w14:paraId="3ABBE551"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 xml:space="preserve">PDG : Président Directeur Général. </w:t>
      </w:r>
      <w:r>
        <w:rPr>
          <w:rFonts w:asciiTheme="majorBidi" w:eastAsia="Times New Roman" w:hAnsiTheme="majorBidi" w:cstheme="majorBidi"/>
          <w:lang w:eastAsia="fr-FR"/>
        </w:rPr>
        <w:t xml:space="preserve">                     </w:t>
      </w:r>
      <w:r w:rsidRPr="004224FB">
        <w:rPr>
          <w:rFonts w:asciiTheme="majorBidi" w:eastAsia="Times New Roman" w:hAnsiTheme="majorBidi" w:cstheme="majorBidi"/>
          <w:lang w:eastAsia="fr-FR"/>
        </w:rPr>
        <w:t xml:space="preserve">DGA : Directeur Général Adjoint. </w:t>
      </w:r>
    </w:p>
    <w:p w14:paraId="5559329C"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 xml:space="preserve">Div : Division. </w:t>
      </w:r>
      <w:r>
        <w:rPr>
          <w:rFonts w:asciiTheme="majorBidi" w:eastAsia="Times New Roman" w:hAnsiTheme="majorBidi" w:cstheme="majorBidi"/>
          <w:lang w:eastAsia="fr-FR"/>
        </w:rPr>
        <w:t xml:space="preserve">                                                      </w:t>
      </w:r>
      <w:r w:rsidRPr="004224FB">
        <w:rPr>
          <w:rFonts w:asciiTheme="majorBidi" w:eastAsia="Times New Roman" w:hAnsiTheme="majorBidi" w:cstheme="majorBidi"/>
          <w:lang w:eastAsia="fr-FR"/>
        </w:rPr>
        <w:t xml:space="preserve">Dir : Direction. </w:t>
      </w:r>
    </w:p>
    <w:p w14:paraId="59F770DF"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DO : Direction Opérationnelle</w:t>
      </w:r>
    </w:p>
    <w:p w14:paraId="04B211ED" w14:textId="77777777" w:rsidR="00B065F3" w:rsidRDefault="00B065F3" w:rsidP="00AE3850">
      <w:pPr>
        <w:spacing w:line="360" w:lineRule="auto"/>
        <w:jc w:val="both"/>
        <w:rPr>
          <w:rFonts w:ascii="Times New Roman" w:eastAsia="Times New Roman" w:hAnsi="Times New Roman" w:cs="Times New Roman"/>
          <w:b/>
          <w:bCs/>
          <w:lang w:eastAsia="fr-FR"/>
        </w:rPr>
      </w:pPr>
      <w:r>
        <w:br w:type="page"/>
      </w:r>
    </w:p>
    <w:p w14:paraId="3E666EB0" w14:textId="1FDDFCAF" w:rsidR="00B065F3" w:rsidRPr="00487A31" w:rsidRDefault="00B065F3" w:rsidP="00C13671">
      <w:pPr>
        <w:pStyle w:val="Titre4"/>
        <w:numPr>
          <w:ilvl w:val="0"/>
          <w:numId w:val="108"/>
        </w:numPr>
        <w:spacing w:line="360" w:lineRule="auto"/>
        <w:jc w:val="both"/>
        <w:rPr>
          <w:rFonts w:asciiTheme="majorBidi" w:hAnsiTheme="majorBidi"/>
          <w:b/>
          <w:bCs/>
          <w:i w:val="0"/>
          <w:iCs w:val="0"/>
          <w:color w:val="auto"/>
          <w:u w:val="single"/>
        </w:rPr>
      </w:pPr>
      <w:bookmarkStart w:id="136" w:name="_Toc199314444"/>
      <w:r w:rsidRPr="00487A31">
        <w:rPr>
          <w:rFonts w:asciiTheme="majorBidi" w:hAnsiTheme="majorBidi"/>
          <w:b/>
          <w:bCs/>
          <w:i w:val="0"/>
          <w:iCs w:val="0"/>
          <w:color w:val="auto"/>
          <w:u w:val="single"/>
        </w:rPr>
        <w:lastRenderedPageBreak/>
        <w:t>Fiche technique d’Algérie Télécom</w:t>
      </w:r>
      <w:r w:rsidR="00487A31">
        <w:rPr>
          <w:rFonts w:asciiTheme="majorBidi" w:hAnsiTheme="majorBidi"/>
          <w:b/>
          <w:bCs/>
          <w:i w:val="0"/>
          <w:iCs w:val="0"/>
          <w:color w:val="auto"/>
          <w:u w:val="single"/>
        </w:rPr>
        <w:t xml:space="preserve"> :</w:t>
      </w:r>
      <w:bookmarkEnd w:id="136"/>
    </w:p>
    <w:p w14:paraId="7AB13B9D" w14:textId="33C6DB72" w:rsidR="00B065F3" w:rsidRPr="00AE7E17"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37" w:name="_Toc199314989"/>
      <w:r w:rsidRPr="00AE7E17">
        <w:rPr>
          <w:rFonts w:asciiTheme="majorBidi" w:hAnsiTheme="majorBidi" w:cstheme="majorBidi"/>
          <w:b/>
          <w:bCs/>
          <w:i w:val="0"/>
          <w:iCs w:val="0"/>
          <w:color w:val="auto"/>
          <w:sz w:val="24"/>
          <w:szCs w:val="24"/>
        </w:rPr>
        <w:t xml:space="preserve">Tableau N°2- </w:t>
      </w:r>
      <w:r w:rsidRPr="00AE7E17">
        <w:rPr>
          <w:rFonts w:asciiTheme="majorBidi" w:hAnsiTheme="majorBidi" w:cstheme="majorBidi"/>
          <w:b/>
          <w:bCs/>
          <w:i w:val="0"/>
          <w:iCs w:val="0"/>
          <w:color w:val="auto"/>
          <w:sz w:val="24"/>
          <w:szCs w:val="24"/>
        </w:rPr>
        <w:fldChar w:fldCharType="begin"/>
      </w:r>
      <w:r w:rsidRPr="00AE7E17">
        <w:rPr>
          <w:rFonts w:asciiTheme="majorBidi" w:hAnsiTheme="majorBidi" w:cstheme="majorBidi"/>
          <w:b/>
          <w:bCs/>
          <w:i w:val="0"/>
          <w:iCs w:val="0"/>
          <w:color w:val="auto"/>
          <w:sz w:val="24"/>
          <w:szCs w:val="24"/>
        </w:rPr>
        <w:instrText xml:space="preserve"> SEQ Tableau_N°2- \* ARABIC </w:instrText>
      </w:r>
      <w:r w:rsidRPr="00AE7E17">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1</w:t>
      </w:r>
      <w:r w:rsidRPr="00AE7E17">
        <w:rPr>
          <w:rFonts w:asciiTheme="majorBidi" w:hAnsiTheme="majorBidi" w:cstheme="majorBidi"/>
          <w:b/>
          <w:bCs/>
          <w:i w:val="0"/>
          <w:iCs w:val="0"/>
          <w:color w:val="auto"/>
          <w:sz w:val="24"/>
          <w:szCs w:val="24"/>
        </w:rPr>
        <w:fldChar w:fldCharType="end"/>
      </w:r>
      <w:r w:rsidRPr="00AE7E17">
        <w:rPr>
          <w:rFonts w:asciiTheme="majorBidi" w:hAnsiTheme="majorBidi" w:cstheme="majorBidi"/>
          <w:b/>
          <w:bCs/>
          <w:i w:val="0"/>
          <w:iCs w:val="0"/>
          <w:color w:val="auto"/>
          <w:sz w:val="24"/>
          <w:szCs w:val="24"/>
        </w:rPr>
        <w:t>: Fiche technique d’Algérie Télécom</w:t>
      </w:r>
      <w:bookmarkEnd w:id="137"/>
    </w:p>
    <w:tbl>
      <w:tblPr>
        <w:tblW w:w="8670" w:type="dxa"/>
        <w:tblCellMar>
          <w:top w:w="15" w:type="dxa"/>
          <w:left w:w="15" w:type="dxa"/>
          <w:bottom w:w="15" w:type="dxa"/>
          <w:right w:w="15" w:type="dxa"/>
        </w:tblCellMar>
        <w:tblLook w:val="04A0" w:firstRow="1" w:lastRow="0" w:firstColumn="1" w:lastColumn="0" w:noHBand="0" w:noVBand="1"/>
      </w:tblPr>
      <w:tblGrid>
        <w:gridCol w:w="2589"/>
        <w:gridCol w:w="6081"/>
      </w:tblGrid>
      <w:tr w:rsidR="00B065F3" w:rsidRPr="00CE04ED" w14:paraId="30DD2D56" w14:textId="77777777" w:rsidTr="005C262F">
        <w:trPr>
          <w:trHeight w:val="61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48E287"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Date de création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2755D9"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10 avril 2003</w:t>
            </w:r>
          </w:p>
          <w:p w14:paraId="67152299" w14:textId="77777777" w:rsidR="00B065F3" w:rsidRPr="00CE04ED" w:rsidRDefault="00B065F3" w:rsidP="00AE3850">
            <w:pPr>
              <w:spacing w:after="0" w:line="360" w:lineRule="auto"/>
              <w:jc w:val="both"/>
              <w:rPr>
                <w:rFonts w:asciiTheme="majorBidi" w:eastAsia="Times New Roman" w:hAnsiTheme="majorBidi" w:cstheme="majorBidi"/>
                <w:lang w:eastAsia="fr-FR"/>
              </w:rPr>
            </w:pPr>
          </w:p>
        </w:tc>
      </w:tr>
      <w:tr w:rsidR="00B065F3" w:rsidRPr="00CE04ED" w14:paraId="350512F3" w14:textId="77777777" w:rsidTr="005C262F">
        <w:trPr>
          <w:trHeight w:val="30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210958"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Forme juridique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704B48"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 xml:space="preserve"> SPA</w:t>
            </w:r>
          </w:p>
        </w:tc>
      </w:tr>
      <w:tr w:rsidR="00B065F3" w:rsidRPr="00CE04ED" w14:paraId="69D8CE3D" w14:textId="77777777" w:rsidTr="005C262F">
        <w:trPr>
          <w:trHeight w:val="3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B4CF9E"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Au capital de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8DA3FD"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61 275 180 000, 00 DZD</w:t>
            </w:r>
          </w:p>
        </w:tc>
      </w:tr>
      <w:tr w:rsidR="00B065F3" w:rsidRPr="00CE04ED" w14:paraId="707E08E7" w14:textId="77777777" w:rsidTr="005C262F">
        <w:trPr>
          <w:trHeight w:val="3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6CF63E"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Activité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2F7A93"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Opérateur de télécommunication</w:t>
            </w:r>
          </w:p>
        </w:tc>
      </w:tr>
      <w:tr w:rsidR="00B065F3" w:rsidRPr="00CE04ED" w14:paraId="7D5C891E" w14:textId="77777777" w:rsidTr="005C262F">
        <w:trPr>
          <w:trHeight w:val="30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288C44"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Actionnaire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99DA67"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Etat algérienne à 100%</w:t>
            </w:r>
          </w:p>
        </w:tc>
      </w:tr>
      <w:tr w:rsidR="00B065F3" w:rsidRPr="00CE04ED" w14:paraId="3492F2BE" w14:textId="77777777" w:rsidTr="005C262F">
        <w:trPr>
          <w:trHeight w:val="9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052CB9"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Produit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91938A"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Commercialisation d’équipements et des services de</w:t>
            </w:r>
          </w:p>
          <w:p w14:paraId="1AD60946"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télécommunication pour les particuliers et professionnels.</w:t>
            </w:r>
          </w:p>
          <w:p w14:paraId="202E8AE3" w14:textId="77777777" w:rsidR="00B065F3" w:rsidRPr="00CE04ED" w:rsidRDefault="00B065F3" w:rsidP="00AE3850">
            <w:pPr>
              <w:spacing w:after="0" w:line="360" w:lineRule="auto"/>
              <w:jc w:val="both"/>
              <w:rPr>
                <w:rFonts w:asciiTheme="majorBidi" w:eastAsia="Times New Roman" w:hAnsiTheme="majorBidi" w:cstheme="majorBidi"/>
                <w:lang w:eastAsia="fr-FR"/>
              </w:rPr>
            </w:pPr>
          </w:p>
        </w:tc>
      </w:tr>
      <w:tr w:rsidR="00B065F3" w:rsidRPr="00CE04ED" w14:paraId="489E786C" w14:textId="77777777" w:rsidTr="005C262F">
        <w:trPr>
          <w:trHeight w:val="30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77396B"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Actionnaire majoritaire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E281E7"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COMINTAL SATICOM</w:t>
            </w:r>
          </w:p>
        </w:tc>
      </w:tr>
      <w:tr w:rsidR="00B065F3" w:rsidRPr="00CE04ED" w14:paraId="1D4E69EE" w14:textId="77777777" w:rsidTr="005C262F">
        <w:trPr>
          <w:trHeight w:val="61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7EAAAB"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Le slogan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661705" w14:textId="77777777" w:rsidR="00B065F3" w:rsidRPr="00CE04ED" w:rsidRDefault="00B065F3" w:rsidP="00AE3850">
            <w:pPr>
              <w:spacing w:after="0" w:line="360" w:lineRule="auto"/>
              <w:jc w:val="both"/>
              <w:rPr>
                <w:rFonts w:asciiTheme="majorBidi" w:eastAsia="Times New Roman" w:hAnsiTheme="majorBidi" w:cstheme="majorBidi"/>
                <w:lang w:eastAsia="fr-FR"/>
              </w:rPr>
            </w:pPr>
            <w:r w:rsidRPr="00CE04ED">
              <w:rPr>
                <w:rFonts w:asciiTheme="majorBidi" w:eastAsia="Times New Roman" w:hAnsiTheme="majorBidi" w:cstheme="majorBidi"/>
                <w:color w:val="000000"/>
                <w:lang w:eastAsia="fr-FR"/>
              </w:rPr>
              <w:t>« Toujours plus proche » (depuis 2014)</w:t>
            </w:r>
          </w:p>
          <w:p w14:paraId="778DFDCC" w14:textId="77777777" w:rsidR="00B065F3" w:rsidRPr="00CE04ED" w:rsidRDefault="00B065F3" w:rsidP="00AE3850">
            <w:pPr>
              <w:spacing w:after="0" w:line="360" w:lineRule="auto"/>
              <w:jc w:val="both"/>
              <w:rPr>
                <w:rFonts w:asciiTheme="majorBidi" w:eastAsia="Times New Roman" w:hAnsiTheme="majorBidi" w:cstheme="majorBidi"/>
                <w:lang w:eastAsia="fr-FR"/>
              </w:rPr>
            </w:pPr>
          </w:p>
        </w:tc>
      </w:tr>
    </w:tbl>
    <w:p w14:paraId="64429BD0" w14:textId="77777777" w:rsidR="00B065F3" w:rsidRPr="00487A31" w:rsidRDefault="00B065F3" w:rsidP="00AE3850">
      <w:pPr>
        <w:spacing w:before="240" w:after="240" w:line="360" w:lineRule="auto"/>
        <w:jc w:val="both"/>
        <w:rPr>
          <w:rFonts w:asciiTheme="majorBidi" w:eastAsia="Times New Roman" w:hAnsiTheme="majorBidi" w:cstheme="majorBidi"/>
          <w:b/>
          <w:bCs/>
          <w:lang w:eastAsia="fr-FR"/>
        </w:rPr>
      </w:pPr>
      <w:r w:rsidRPr="00487A31">
        <w:rPr>
          <w:rFonts w:asciiTheme="majorBidi" w:eastAsia="Times New Roman" w:hAnsiTheme="majorBidi" w:cstheme="majorBidi"/>
          <w:b/>
          <w:bCs/>
          <w:lang w:eastAsia="fr-FR"/>
        </w:rPr>
        <w:t>Source : réalisé par nos soins sur la base du document interne de l’entreprise</w:t>
      </w:r>
    </w:p>
    <w:p w14:paraId="6A6057EC" w14:textId="4512EB86" w:rsidR="00B065F3" w:rsidRPr="00487A31" w:rsidRDefault="00B065F3" w:rsidP="00C13671">
      <w:pPr>
        <w:pStyle w:val="Titre4"/>
        <w:numPr>
          <w:ilvl w:val="0"/>
          <w:numId w:val="108"/>
        </w:numPr>
        <w:spacing w:line="360" w:lineRule="auto"/>
        <w:jc w:val="both"/>
        <w:rPr>
          <w:rFonts w:asciiTheme="majorBidi" w:hAnsiTheme="majorBidi"/>
          <w:b/>
          <w:bCs/>
          <w:i w:val="0"/>
          <w:iCs w:val="0"/>
          <w:color w:val="auto"/>
          <w:u w:val="single"/>
        </w:rPr>
      </w:pPr>
      <w:bookmarkStart w:id="138" w:name="_Toc199314445"/>
      <w:r w:rsidRPr="00487A31">
        <w:rPr>
          <w:rFonts w:asciiTheme="majorBidi" w:hAnsiTheme="majorBidi"/>
          <w:b/>
          <w:bCs/>
          <w:i w:val="0"/>
          <w:iCs w:val="0"/>
          <w:color w:val="auto"/>
          <w:u w:val="single"/>
        </w:rPr>
        <w:t>Stratégie d’Algérie Télécom</w:t>
      </w:r>
      <w:r w:rsidR="00487A31" w:rsidRPr="00487A31">
        <w:rPr>
          <w:rFonts w:asciiTheme="majorBidi" w:hAnsiTheme="majorBidi"/>
          <w:b/>
          <w:bCs/>
          <w:i w:val="0"/>
          <w:iCs w:val="0"/>
          <w:color w:val="auto"/>
          <w:u w:val="single"/>
        </w:rPr>
        <w:t xml:space="preserve"> :</w:t>
      </w:r>
      <w:bookmarkEnd w:id="138"/>
    </w:p>
    <w:p w14:paraId="0D19DF04"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La stratégie d’Algérie Télécom repose sur plusieurs axes fondamentaux, orientés vers l’innovation technologique, la performance des services et l’engagement sociétal. Elle se décline comme suit :</w:t>
      </w:r>
    </w:p>
    <w:p w14:paraId="348D4D9B" w14:textId="77777777" w:rsidR="00B065F3" w:rsidRPr="00F2016F" w:rsidRDefault="00B065F3" w:rsidP="00C13671">
      <w:pPr>
        <w:pStyle w:val="Paragraphedeliste"/>
        <w:numPr>
          <w:ilvl w:val="0"/>
          <w:numId w:val="53"/>
        </w:numPr>
        <w:spacing w:before="240" w:after="240" w:line="360" w:lineRule="auto"/>
        <w:jc w:val="both"/>
        <w:rPr>
          <w:rFonts w:asciiTheme="majorBidi" w:eastAsia="Times New Roman" w:hAnsiTheme="majorBidi" w:cstheme="majorBidi"/>
          <w:lang w:eastAsia="fr-FR"/>
        </w:rPr>
      </w:pPr>
      <w:r w:rsidRPr="00F2016F">
        <w:rPr>
          <w:rFonts w:asciiTheme="majorBidi" w:eastAsia="Times New Roman" w:hAnsiTheme="majorBidi" w:cstheme="majorBidi"/>
          <w:lang w:eastAsia="fr-FR"/>
        </w:rPr>
        <w:t>Proposer des services innovants intégrant les dernières avancées technologiques ;</w:t>
      </w:r>
    </w:p>
    <w:p w14:paraId="2BE71325" w14:textId="77777777" w:rsidR="00B065F3" w:rsidRPr="00F2016F" w:rsidRDefault="00B065F3" w:rsidP="00C13671">
      <w:pPr>
        <w:pStyle w:val="Paragraphedeliste"/>
        <w:numPr>
          <w:ilvl w:val="0"/>
          <w:numId w:val="53"/>
        </w:numPr>
        <w:spacing w:before="240" w:after="240" w:line="360" w:lineRule="auto"/>
        <w:jc w:val="both"/>
        <w:rPr>
          <w:rFonts w:asciiTheme="majorBidi" w:eastAsia="Times New Roman" w:hAnsiTheme="majorBidi" w:cstheme="majorBidi"/>
          <w:lang w:eastAsia="fr-FR"/>
        </w:rPr>
      </w:pPr>
      <w:r w:rsidRPr="00F2016F">
        <w:rPr>
          <w:rFonts w:asciiTheme="majorBidi" w:eastAsia="Times New Roman" w:hAnsiTheme="majorBidi" w:cstheme="majorBidi"/>
          <w:lang w:eastAsia="fr-FR"/>
        </w:rPr>
        <w:t>Répondre efficacement aux besoins des clients à travers des solutions globales, performantes et personnalisées ;</w:t>
      </w:r>
    </w:p>
    <w:p w14:paraId="5AD63221" w14:textId="77777777" w:rsidR="00B065F3" w:rsidRPr="00F2016F" w:rsidRDefault="00B065F3" w:rsidP="00C13671">
      <w:pPr>
        <w:pStyle w:val="Paragraphedeliste"/>
        <w:numPr>
          <w:ilvl w:val="0"/>
          <w:numId w:val="53"/>
        </w:numPr>
        <w:spacing w:before="240" w:after="240" w:line="360" w:lineRule="auto"/>
        <w:jc w:val="both"/>
        <w:rPr>
          <w:rFonts w:asciiTheme="majorBidi" w:eastAsia="Times New Roman" w:hAnsiTheme="majorBidi" w:cstheme="majorBidi"/>
          <w:lang w:eastAsia="fr-FR"/>
        </w:rPr>
      </w:pPr>
      <w:r w:rsidRPr="00F2016F">
        <w:rPr>
          <w:rFonts w:asciiTheme="majorBidi" w:eastAsia="Times New Roman" w:hAnsiTheme="majorBidi" w:cstheme="majorBidi"/>
          <w:lang w:eastAsia="fr-FR"/>
        </w:rPr>
        <w:t>S’engager activement en faveur du développement économique national et du bien-être social ;</w:t>
      </w:r>
    </w:p>
    <w:p w14:paraId="664E04F6" w14:textId="77777777" w:rsidR="00B065F3" w:rsidRPr="00F2016F" w:rsidRDefault="00B065F3" w:rsidP="00C13671">
      <w:pPr>
        <w:pStyle w:val="Paragraphedeliste"/>
        <w:numPr>
          <w:ilvl w:val="0"/>
          <w:numId w:val="53"/>
        </w:numPr>
        <w:spacing w:before="240" w:after="240" w:line="360" w:lineRule="auto"/>
        <w:jc w:val="both"/>
        <w:rPr>
          <w:rFonts w:asciiTheme="majorBidi" w:eastAsia="Times New Roman" w:hAnsiTheme="majorBidi" w:cstheme="majorBidi"/>
          <w:lang w:eastAsia="fr-FR"/>
        </w:rPr>
      </w:pPr>
      <w:r w:rsidRPr="00F2016F">
        <w:rPr>
          <w:rFonts w:asciiTheme="majorBidi" w:eastAsia="Times New Roman" w:hAnsiTheme="majorBidi" w:cstheme="majorBidi"/>
          <w:lang w:eastAsia="fr-FR"/>
        </w:rPr>
        <w:lastRenderedPageBreak/>
        <w:t>Développer et exploiter des réseaux de télécommunications, notamment par satellite, tout en respectant les normes internationales en vigueur ;</w:t>
      </w:r>
    </w:p>
    <w:p w14:paraId="5A213D90" w14:textId="77777777" w:rsidR="00B065F3" w:rsidRPr="00E67FC3" w:rsidRDefault="00B065F3" w:rsidP="00C13671">
      <w:pPr>
        <w:pStyle w:val="Paragraphedeliste"/>
        <w:numPr>
          <w:ilvl w:val="0"/>
          <w:numId w:val="53"/>
        </w:numPr>
        <w:spacing w:before="240" w:after="240" w:line="360" w:lineRule="auto"/>
        <w:jc w:val="both"/>
        <w:rPr>
          <w:rFonts w:asciiTheme="majorBidi" w:eastAsia="Times New Roman" w:hAnsiTheme="majorBidi" w:cstheme="majorBidi"/>
          <w:lang w:eastAsia="fr-FR"/>
        </w:rPr>
      </w:pPr>
      <w:r w:rsidRPr="00E67FC3">
        <w:rPr>
          <w:rFonts w:asciiTheme="majorBidi" w:eastAsia="Times New Roman" w:hAnsiTheme="majorBidi" w:cstheme="majorBidi"/>
          <w:lang w:eastAsia="fr-FR"/>
        </w:rPr>
        <w:t>Consolider ses bases de développement par la mobilisation continue de moyens humains et matériels, en vue de réaliser des progrès significatifs sur les plans technique et commercial.</w:t>
      </w:r>
    </w:p>
    <w:p w14:paraId="4843A23E" w14:textId="56A34066" w:rsidR="00B065F3" w:rsidRPr="00C545CC" w:rsidRDefault="00B065F3" w:rsidP="00C13671">
      <w:pPr>
        <w:pStyle w:val="Titre4"/>
        <w:numPr>
          <w:ilvl w:val="0"/>
          <w:numId w:val="108"/>
        </w:numPr>
        <w:spacing w:line="360" w:lineRule="auto"/>
        <w:jc w:val="both"/>
        <w:rPr>
          <w:rFonts w:asciiTheme="majorBidi" w:hAnsiTheme="majorBidi"/>
          <w:b/>
          <w:bCs/>
          <w:i w:val="0"/>
          <w:iCs w:val="0"/>
          <w:color w:val="auto"/>
          <w:u w:val="single"/>
        </w:rPr>
      </w:pPr>
      <w:bookmarkStart w:id="139" w:name="_Toc199314446"/>
      <w:r w:rsidRPr="00C545CC">
        <w:rPr>
          <w:rFonts w:asciiTheme="majorBidi" w:hAnsiTheme="majorBidi"/>
          <w:b/>
          <w:bCs/>
          <w:i w:val="0"/>
          <w:iCs w:val="0"/>
          <w:color w:val="auto"/>
          <w:u w:val="single"/>
        </w:rPr>
        <w:t>Les valeurs d’Algérie Télécom</w:t>
      </w:r>
      <w:r w:rsidR="00C545CC" w:rsidRPr="00C545CC">
        <w:rPr>
          <w:rFonts w:asciiTheme="majorBidi" w:hAnsiTheme="majorBidi"/>
          <w:b/>
          <w:bCs/>
          <w:i w:val="0"/>
          <w:iCs w:val="0"/>
          <w:color w:val="auto"/>
          <w:u w:val="single"/>
        </w:rPr>
        <w:t xml:space="preserve"> :</w:t>
      </w:r>
      <w:bookmarkEnd w:id="139"/>
    </w:p>
    <w:p w14:paraId="65B3F1B3"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Algérie Télécom s’appuie sur un socle de valeurs fortes qui guident ses actions et renforcent son positionnement stratégique :</w:t>
      </w:r>
    </w:p>
    <w:p w14:paraId="434C3D50" w14:textId="77777777" w:rsidR="00B065F3" w:rsidRPr="00F2016F" w:rsidRDefault="00B065F3" w:rsidP="00C13671">
      <w:pPr>
        <w:pStyle w:val="Paragraphedeliste"/>
        <w:numPr>
          <w:ilvl w:val="0"/>
          <w:numId w:val="54"/>
        </w:numPr>
        <w:spacing w:before="240" w:after="240" w:line="360" w:lineRule="auto"/>
        <w:jc w:val="both"/>
        <w:rPr>
          <w:rFonts w:asciiTheme="majorBidi" w:eastAsia="Times New Roman" w:hAnsiTheme="majorBidi" w:cstheme="majorBidi"/>
          <w:lang w:eastAsia="fr-FR"/>
        </w:rPr>
      </w:pPr>
      <w:r w:rsidRPr="00F2016F">
        <w:rPr>
          <w:rFonts w:asciiTheme="majorBidi" w:eastAsia="Times New Roman" w:hAnsiTheme="majorBidi" w:cstheme="majorBidi"/>
          <w:b/>
          <w:bCs/>
          <w:lang w:eastAsia="fr-FR"/>
        </w:rPr>
        <w:t xml:space="preserve">Proximité </w:t>
      </w:r>
      <w:r w:rsidRPr="00F2016F">
        <w:rPr>
          <w:rFonts w:asciiTheme="majorBidi" w:eastAsia="Times New Roman" w:hAnsiTheme="majorBidi" w:cstheme="majorBidi"/>
          <w:lang w:eastAsia="fr-FR"/>
        </w:rPr>
        <w:t>: Contrairement à la tendance de centralisation observée dans le secteur, l’entreprise a choisi d’implanter des centres régionaux au plus près des usagers, favorisant ainsi l’accessibilité et l’efficacité du service.</w:t>
      </w:r>
    </w:p>
    <w:p w14:paraId="5ED9055F" w14:textId="77777777" w:rsidR="00B065F3" w:rsidRPr="00F2016F" w:rsidRDefault="00B065F3" w:rsidP="00C13671">
      <w:pPr>
        <w:pStyle w:val="Paragraphedeliste"/>
        <w:numPr>
          <w:ilvl w:val="0"/>
          <w:numId w:val="54"/>
        </w:numPr>
        <w:spacing w:before="240" w:after="240" w:line="360" w:lineRule="auto"/>
        <w:jc w:val="both"/>
        <w:rPr>
          <w:rFonts w:asciiTheme="majorBidi" w:eastAsia="Times New Roman" w:hAnsiTheme="majorBidi" w:cstheme="majorBidi"/>
          <w:lang w:eastAsia="fr-FR"/>
        </w:rPr>
      </w:pPr>
      <w:r w:rsidRPr="00F2016F">
        <w:rPr>
          <w:rFonts w:asciiTheme="majorBidi" w:eastAsia="Times New Roman" w:hAnsiTheme="majorBidi" w:cstheme="majorBidi"/>
          <w:b/>
          <w:bCs/>
          <w:lang w:eastAsia="fr-FR"/>
        </w:rPr>
        <w:t>Flexibilité</w:t>
      </w:r>
      <w:r w:rsidRPr="00F2016F">
        <w:rPr>
          <w:rFonts w:asciiTheme="majorBidi" w:eastAsia="Times New Roman" w:hAnsiTheme="majorBidi" w:cstheme="majorBidi"/>
          <w:lang w:eastAsia="fr-FR"/>
        </w:rPr>
        <w:t xml:space="preserve"> : Cette valeur constitue un pilier de la culture d’entreprise. Elle permet à Algérie Télécom Satellite d’évoluer avec agilité dans un secteur en mutation rapide, tout en maintenant un développement cohérent avec les objectifs socioéconomiques du pays.</w:t>
      </w:r>
    </w:p>
    <w:p w14:paraId="46AFE926" w14:textId="77777777" w:rsidR="00B065F3" w:rsidRPr="00F2016F" w:rsidRDefault="00B065F3" w:rsidP="00C13671">
      <w:pPr>
        <w:pStyle w:val="Paragraphedeliste"/>
        <w:numPr>
          <w:ilvl w:val="0"/>
          <w:numId w:val="54"/>
        </w:numPr>
        <w:spacing w:before="240" w:after="240" w:line="360" w:lineRule="auto"/>
        <w:jc w:val="both"/>
        <w:rPr>
          <w:rFonts w:asciiTheme="majorBidi" w:eastAsia="Times New Roman" w:hAnsiTheme="majorBidi" w:cstheme="majorBidi"/>
          <w:lang w:eastAsia="fr-FR"/>
        </w:rPr>
      </w:pPr>
      <w:r w:rsidRPr="00F2016F">
        <w:rPr>
          <w:rFonts w:asciiTheme="majorBidi" w:eastAsia="Times New Roman" w:hAnsiTheme="majorBidi" w:cstheme="majorBidi"/>
          <w:b/>
          <w:bCs/>
          <w:lang w:eastAsia="fr-FR"/>
        </w:rPr>
        <w:t>Qualité :</w:t>
      </w:r>
      <w:r w:rsidRPr="00F2016F">
        <w:rPr>
          <w:rFonts w:asciiTheme="majorBidi" w:eastAsia="Times New Roman" w:hAnsiTheme="majorBidi" w:cstheme="majorBidi"/>
          <w:lang w:eastAsia="fr-FR"/>
        </w:rPr>
        <w:t xml:space="preserve"> L’entreprise accorde une importance primordiale à la satisfaction de ses clients et partenaires, gage de sa notoriété et de sa reconnaissance sur le marché des télécommunications par satellite.</w:t>
      </w:r>
    </w:p>
    <w:p w14:paraId="65903643" w14:textId="77777777" w:rsidR="00B065F3" w:rsidRPr="00F2016F" w:rsidRDefault="00B065F3" w:rsidP="00C13671">
      <w:pPr>
        <w:pStyle w:val="Paragraphedeliste"/>
        <w:numPr>
          <w:ilvl w:val="0"/>
          <w:numId w:val="54"/>
        </w:numPr>
        <w:spacing w:before="240" w:after="240" w:line="360" w:lineRule="auto"/>
        <w:jc w:val="both"/>
        <w:rPr>
          <w:rFonts w:asciiTheme="majorBidi" w:eastAsia="Times New Roman" w:hAnsiTheme="majorBidi" w:cstheme="majorBidi"/>
          <w:lang w:eastAsia="fr-FR"/>
        </w:rPr>
      </w:pPr>
      <w:r w:rsidRPr="00F2016F">
        <w:rPr>
          <w:rFonts w:asciiTheme="majorBidi" w:eastAsia="Times New Roman" w:hAnsiTheme="majorBidi" w:cstheme="majorBidi"/>
          <w:b/>
          <w:bCs/>
          <w:lang w:eastAsia="fr-FR"/>
        </w:rPr>
        <w:t>Authenticité :</w:t>
      </w:r>
      <w:r w:rsidRPr="00F2016F">
        <w:rPr>
          <w:rFonts w:asciiTheme="majorBidi" w:eastAsia="Times New Roman" w:hAnsiTheme="majorBidi" w:cstheme="majorBidi"/>
          <w:lang w:eastAsia="fr-FR"/>
        </w:rPr>
        <w:t xml:space="preserve"> Le respect, la transparence et la concrétisation des engagements constituent un véritable moteur pour les équipes, qui œuvrent quotidiennement à incarner ces valeurs auprès de l’ensemble des parties prenantes.</w:t>
      </w:r>
    </w:p>
    <w:p w14:paraId="687E91E9"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p>
    <w:p w14:paraId="5AB09539" w14:textId="676BC425" w:rsidR="00B065F3" w:rsidRPr="00C545CC" w:rsidRDefault="00B065F3" w:rsidP="00C13671">
      <w:pPr>
        <w:pStyle w:val="Titre4"/>
        <w:numPr>
          <w:ilvl w:val="0"/>
          <w:numId w:val="108"/>
        </w:numPr>
        <w:spacing w:line="360" w:lineRule="auto"/>
        <w:jc w:val="both"/>
        <w:rPr>
          <w:rFonts w:asciiTheme="majorBidi" w:hAnsiTheme="majorBidi"/>
          <w:b/>
          <w:bCs/>
          <w:i w:val="0"/>
          <w:iCs w:val="0"/>
          <w:color w:val="auto"/>
          <w:u w:val="single"/>
        </w:rPr>
      </w:pPr>
      <w:bookmarkStart w:id="140" w:name="_Toc199314447"/>
      <w:r w:rsidRPr="00C545CC">
        <w:rPr>
          <w:rFonts w:asciiTheme="majorBidi" w:hAnsiTheme="majorBidi"/>
          <w:b/>
          <w:bCs/>
          <w:i w:val="0"/>
          <w:iCs w:val="0"/>
          <w:color w:val="auto"/>
          <w:u w:val="single"/>
        </w:rPr>
        <w:t>Les services et produits d’Algérie Télécom</w:t>
      </w:r>
      <w:r w:rsidR="00C545CC" w:rsidRPr="00C545CC">
        <w:rPr>
          <w:rFonts w:asciiTheme="majorBidi" w:hAnsiTheme="majorBidi"/>
          <w:b/>
          <w:bCs/>
          <w:i w:val="0"/>
          <w:iCs w:val="0"/>
          <w:color w:val="auto"/>
          <w:u w:val="single"/>
        </w:rPr>
        <w:t xml:space="preserve"> :</w:t>
      </w:r>
      <w:bookmarkEnd w:id="140"/>
    </w:p>
    <w:p w14:paraId="43599608"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Les principaux services et produits proposés par Algérie Télécom sont :</w:t>
      </w:r>
    </w:p>
    <w:p w14:paraId="5EDD8114" w14:textId="77777777" w:rsidR="00B065F3" w:rsidRPr="002D0659" w:rsidRDefault="00B065F3" w:rsidP="00C13671">
      <w:pPr>
        <w:pStyle w:val="Paragraphedeliste"/>
        <w:numPr>
          <w:ilvl w:val="0"/>
          <w:numId w:val="55"/>
        </w:numPr>
        <w:spacing w:before="240" w:after="240" w:line="360" w:lineRule="auto"/>
        <w:jc w:val="both"/>
        <w:rPr>
          <w:rFonts w:asciiTheme="majorBidi" w:eastAsia="Times New Roman" w:hAnsiTheme="majorBidi" w:cstheme="majorBidi"/>
          <w:lang w:eastAsia="fr-FR"/>
        </w:rPr>
      </w:pPr>
      <w:r w:rsidRPr="002D0659">
        <w:rPr>
          <w:rFonts w:asciiTheme="majorBidi" w:eastAsia="Times New Roman" w:hAnsiTheme="majorBidi" w:cstheme="majorBidi"/>
          <w:lang w:eastAsia="fr-FR"/>
        </w:rPr>
        <w:t>L’installation, l’exploitation et la maintenance du réseau de communication, assurant la fourniture de la téléphonie fixe.</w:t>
      </w:r>
    </w:p>
    <w:p w14:paraId="72ADC3BD" w14:textId="77777777" w:rsidR="00B065F3" w:rsidRPr="002D0659" w:rsidRDefault="00B065F3" w:rsidP="00C13671">
      <w:pPr>
        <w:pStyle w:val="Paragraphedeliste"/>
        <w:numPr>
          <w:ilvl w:val="0"/>
          <w:numId w:val="55"/>
        </w:numPr>
        <w:spacing w:before="240" w:after="240" w:line="360" w:lineRule="auto"/>
        <w:jc w:val="both"/>
        <w:rPr>
          <w:rFonts w:asciiTheme="majorBidi" w:eastAsia="Times New Roman" w:hAnsiTheme="majorBidi" w:cstheme="majorBidi"/>
          <w:lang w:eastAsia="fr-FR"/>
        </w:rPr>
      </w:pPr>
      <w:r w:rsidRPr="002D0659">
        <w:rPr>
          <w:rFonts w:asciiTheme="majorBidi" w:eastAsia="Times New Roman" w:hAnsiTheme="majorBidi" w:cstheme="majorBidi"/>
          <w:lang w:eastAsia="fr-FR"/>
        </w:rPr>
        <w:t>Le déploiement et l’exploitation des réseaux Internet, permettant un accès à très haut débit.</w:t>
      </w:r>
    </w:p>
    <w:p w14:paraId="0F3B23F2" w14:textId="77777777" w:rsidR="00B065F3" w:rsidRPr="002D0659" w:rsidRDefault="00B065F3" w:rsidP="00C13671">
      <w:pPr>
        <w:pStyle w:val="Paragraphedeliste"/>
        <w:numPr>
          <w:ilvl w:val="0"/>
          <w:numId w:val="55"/>
        </w:numPr>
        <w:spacing w:before="240" w:after="240" w:line="360" w:lineRule="auto"/>
        <w:jc w:val="both"/>
        <w:rPr>
          <w:rFonts w:asciiTheme="majorBidi" w:eastAsia="Times New Roman" w:hAnsiTheme="majorBidi" w:cstheme="majorBidi"/>
          <w:lang w:eastAsia="fr-FR"/>
        </w:rPr>
      </w:pPr>
      <w:r w:rsidRPr="002D0659">
        <w:rPr>
          <w:rFonts w:asciiTheme="majorBidi" w:eastAsia="Times New Roman" w:hAnsiTheme="majorBidi" w:cstheme="majorBidi"/>
          <w:lang w:eastAsia="fr-FR"/>
        </w:rPr>
        <w:lastRenderedPageBreak/>
        <w:t>Le développement de services à valeur ajoutée, incluant l’accès à des contenus éducatifs et de divertissement.</w:t>
      </w:r>
    </w:p>
    <w:p w14:paraId="6ADEBF2C"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À ce jour, l’entreprise compte environ 3,2 millions d’abonnés à la téléphonie fixe et à l’Internet haut débit (filaire et sans fil). Elle dessert plus de 20 000 sites administratifs (ministères, universités, établissements publics), plus de 6 000 institutions financières et d’assurance, ainsi que plus de 3 000 grandes entreprises.</w:t>
      </w:r>
    </w:p>
    <w:p w14:paraId="7E58E707" w14:textId="77777777" w:rsidR="00B065F3"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Son réseau de distribution est structuré à l’échelle nationale avec 465 agences commerciales réparties sur les 48 wilayas. Par ailleurs, Algérie Télécom soutient activement l’entrepreneuriat, avec plus de 4 000 projets réalisés, la création de 600 PME, et la formation de plus de 2 500 agents.</w:t>
      </w:r>
    </w:p>
    <w:p w14:paraId="33A3F50D" w14:textId="77777777" w:rsidR="00B065F3" w:rsidRDefault="00B065F3" w:rsidP="00AE3850">
      <w:pPr>
        <w:spacing w:before="240" w:after="240" w:line="360" w:lineRule="auto"/>
        <w:ind w:firstLine="360"/>
        <w:jc w:val="both"/>
        <w:rPr>
          <w:rFonts w:asciiTheme="majorBidi" w:eastAsia="Times New Roman" w:hAnsiTheme="majorBidi" w:cstheme="majorBidi"/>
          <w:lang w:eastAsia="fr-FR"/>
        </w:rPr>
      </w:pPr>
    </w:p>
    <w:p w14:paraId="33FCB0CA" w14:textId="7E7079E2" w:rsidR="00B065F3" w:rsidRPr="00C545CC" w:rsidRDefault="00B065F3" w:rsidP="00C13671">
      <w:pPr>
        <w:pStyle w:val="Titre4"/>
        <w:numPr>
          <w:ilvl w:val="0"/>
          <w:numId w:val="108"/>
        </w:numPr>
        <w:spacing w:line="360" w:lineRule="auto"/>
        <w:jc w:val="both"/>
        <w:rPr>
          <w:rFonts w:asciiTheme="majorBidi" w:hAnsiTheme="majorBidi"/>
          <w:b/>
          <w:bCs/>
          <w:i w:val="0"/>
          <w:iCs w:val="0"/>
          <w:color w:val="auto"/>
          <w:u w:val="single"/>
        </w:rPr>
      </w:pPr>
      <w:bookmarkStart w:id="141" w:name="_Toc199314448"/>
      <w:r w:rsidRPr="00C545CC">
        <w:rPr>
          <w:rFonts w:asciiTheme="majorBidi" w:hAnsiTheme="majorBidi"/>
          <w:b/>
          <w:bCs/>
          <w:i w:val="0"/>
          <w:iCs w:val="0"/>
          <w:color w:val="auto"/>
          <w:u w:val="single"/>
        </w:rPr>
        <w:t>Les systèmes d’information d’Algérie Télécom</w:t>
      </w:r>
      <w:r w:rsidR="00C545CC" w:rsidRPr="00C545CC">
        <w:rPr>
          <w:rFonts w:asciiTheme="majorBidi" w:hAnsiTheme="majorBidi"/>
          <w:b/>
          <w:bCs/>
          <w:i w:val="0"/>
          <w:iCs w:val="0"/>
          <w:color w:val="auto"/>
          <w:u w:val="single"/>
        </w:rPr>
        <w:t xml:space="preserve"> :</w:t>
      </w:r>
      <w:bookmarkEnd w:id="141"/>
    </w:p>
    <w:p w14:paraId="001710A6" w14:textId="77777777" w:rsidR="00B065F3"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 xml:space="preserve">Algérie Télécom s’appuie sur un </w:t>
      </w:r>
      <w:r w:rsidRPr="006A5480">
        <w:rPr>
          <w:rFonts w:asciiTheme="majorBidi" w:eastAsia="Times New Roman" w:hAnsiTheme="majorBidi" w:cstheme="majorBidi"/>
          <w:lang w:eastAsia="fr-FR"/>
        </w:rPr>
        <w:t xml:space="preserve">ensemble de SI </w:t>
      </w:r>
      <w:r w:rsidRPr="004224FB">
        <w:rPr>
          <w:rFonts w:asciiTheme="majorBidi" w:eastAsia="Times New Roman" w:hAnsiTheme="majorBidi" w:cstheme="majorBidi"/>
          <w:lang w:eastAsia="fr-FR"/>
        </w:rPr>
        <w:t>performants, intégrés à ses processus de gestion :</w:t>
      </w:r>
    </w:p>
    <w:p w14:paraId="0FE66CED" w14:textId="77777777" w:rsidR="00B065F3" w:rsidRPr="007F2DE6" w:rsidRDefault="00B065F3" w:rsidP="00C13671">
      <w:pPr>
        <w:pStyle w:val="Paragraphedeliste"/>
        <w:numPr>
          <w:ilvl w:val="0"/>
          <w:numId w:val="56"/>
        </w:numPr>
        <w:spacing w:before="240" w:after="240" w:line="360" w:lineRule="auto"/>
        <w:jc w:val="both"/>
        <w:rPr>
          <w:rFonts w:asciiTheme="majorBidi" w:eastAsia="Times New Roman" w:hAnsiTheme="majorBidi" w:cstheme="majorBidi"/>
          <w:lang w:eastAsia="fr-FR"/>
        </w:rPr>
      </w:pPr>
      <w:r w:rsidRPr="007F2DE6">
        <w:rPr>
          <w:rFonts w:asciiTheme="majorBidi" w:eastAsia="Times New Roman" w:hAnsiTheme="majorBidi" w:cstheme="majorBidi"/>
          <w:lang w:eastAsia="fr-FR"/>
        </w:rPr>
        <w:t>GAIA : système de facturation assurant la gestion commerciale, financière et technique du réseau fixe.</w:t>
      </w:r>
    </w:p>
    <w:p w14:paraId="15ED718E" w14:textId="77777777" w:rsidR="00B065F3" w:rsidRPr="007F2DE6" w:rsidRDefault="00B065F3" w:rsidP="00C13671">
      <w:pPr>
        <w:pStyle w:val="Paragraphedeliste"/>
        <w:numPr>
          <w:ilvl w:val="0"/>
          <w:numId w:val="56"/>
        </w:numPr>
        <w:spacing w:before="240" w:after="240" w:line="360" w:lineRule="auto"/>
        <w:jc w:val="both"/>
        <w:rPr>
          <w:rFonts w:asciiTheme="majorBidi" w:eastAsia="Times New Roman" w:hAnsiTheme="majorBidi" w:cstheme="majorBidi"/>
          <w:lang w:eastAsia="fr-FR"/>
        </w:rPr>
      </w:pPr>
      <w:r w:rsidRPr="007F2DE6">
        <w:rPr>
          <w:rFonts w:asciiTheme="majorBidi" w:eastAsia="Times New Roman" w:hAnsiTheme="majorBidi" w:cstheme="majorBidi"/>
          <w:lang w:eastAsia="fr-FR"/>
        </w:rPr>
        <w:t>ORACLE FINANCE : système de gestion financière et comptable.</w:t>
      </w:r>
    </w:p>
    <w:p w14:paraId="512A1139" w14:textId="77777777" w:rsidR="00B065F3" w:rsidRPr="007F2DE6" w:rsidRDefault="00B065F3" w:rsidP="00C13671">
      <w:pPr>
        <w:pStyle w:val="Paragraphedeliste"/>
        <w:numPr>
          <w:ilvl w:val="0"/>
          <w:numId w:val="56"/>
        </w:numPr>
        <w:spacing w:before="240" w:after="240" w:line="360" w:lineRule="auto"/>
        <w:jc w:val="both"/>
        <w:rPr>
          <w:rFonts w:asciiTheme="majorBidi" w:eastAsia="Times New Roman" w:hAnsiTheme="majorBidi" w:cstheme="majorBidi"/>
          <w:lang w:eastAsia="fr-FR"/>
        </w:rPr>
      </w:pPr>
      <w:r w:rsidRPr="007F2DE6">
        <w:rPr>
          <w:rFonts w:asciiTheme="majorBidi" w:eastAsia="Times New Roman" w:hAnsiTheme="majorBidi" w:cstheme="majorBidi"/>
          <w:lang w:eastAsia="fr-FR"/>
        </w:rPr>
        <w:t xml:space="preserve">HR ACCESS : système de gestion des ressources humaines, de la paie et de la formation </w:t>
      </w:r>
    </w:p>
    <w:p w14:paraId="55E387AC" w14:textId="77777777" w:rsidR="00B065F3" w:rsidRPr="007F2DE6" w:rsidRDefault="00B065F3" w:rsidP="00C13671">
      <w:pPr>
        <w:pStyle w:val="Paragraphedeliste"/>
        <w:numPr>
          <w:ilvl w:val="0"/>
          <w:numId w:val="56"/>
        </w:numPr>
        <w:spacing w:before="240" w:after="240" w:line="360" w:lineRule="auto"/>
        <w:jc w:val="both"/>
        <w:rPr>
          <w:rFonts w:asciiTheme="majorBidi" w:eastAsia="Times New Roman" w:hAnsiTheme="majorBidi" w:cstheme="majorBidi"/>
          <w:lang w:eastAsia="fr-FR"/>
        </w:rPr>
      </w:pPr>
      <w:r w:rsidRPr="007F2DE6">
        <w:rPr>
          <w:rFonts w:asciiTheme="majorBidi" w:eastAsia="Times New Roman" w:hAnsiTheme="majorBidi" w:cstheme="majorBidi"/>
          <w:lang w:eastAsia="fr-FR"/>
        </w:rPr>
        <w:t>G-COLLECT : système de gestion du trafic téléphonique entrant et sortant (fixe et mobile).</w:t>
      </w:r>
    </w:p>
    <w:p w14:paraId="14D8C28E" w14:textId="77777777" w:rsidR="00B065F3" w:rsidRPr="007F2DE6" w:rsidRDefault="00B065F3" w:rsidP="00C13671">
      <w:pPr>
        <w:pStyle w:val="Paragraphedeliste"/>
        <w:numPr>
          <w:ilvl w:val="0"/>
          <w:numId w:val="56"/>
        </w:numPr>
        <w:spacing w:before="240" w:after="240" w:line="360" w:lineRule="auto"/>
        <w:jc w:val="both"/>
        <w:rPr>
          <w:rFonts w:asciiTheme="majorBidi" w:eastAsia="Times New Roman" w:hAnsiTheme="majorBidi" w:cstheme="majorBidi"/>
          <w:lang w:eastAsia="fr-FR"/>
        </w:rPr>
      </w:pPr>
      <w:r w:rsidRPr="007F2DE6">
        <w:rPr>
          <w:rFonts w:asciiTheme="majorBidi" w:eastAsia="Times New Roman" w:hAnsiTheme="majorBidi" w:cstheme="majorBidi"/>
          <w:lang w:eastAsia="fr-FR"/>
        </w:rPr>
        <w:t>ICT / ITU : système de gestion des décomptes d’interconnexion nationale et internationale avec les opérateurs mobiles (Mobilis, Djezzy, Watania).</w:t>
      </w:r>
    </w:p>
    <w:p w14:paraId="5AAC78BB" w14:textId="77777777" w:rsidR="00B065F3" w:rsidRPr="007F2DE6" w:rsidRDefault="00B065F3" w:rsidP="00C13671">
      <w:pPr>
        <w:pStyle w:val="Paragraphedeliste"/>
        <w:numPr>
          <w:ilvl w:val="0"/>
          <w:numId w:val="56"/>
        </w:numPr>
        <w:spacing w:before="240" w:after="240" w:line="360" w:lineRule="auto"/>
        <w:jc w:val="both"/>
        <w:rPr>
          <w:rFonts w:asciiTheme="majorBidi" w:eastAsia="Times New Roman" w:hAnsiTheme="majorBidi" w:cstheme="majorBidi"/>
          <w:lang w:eastAsia="fr-FR"/>
        </w:rPr>
      </w:pPr>
      <w:r w:rsidRPr="007F2DE6">
        <w:rPr>
          <w:rFonts w:asciiTheme="majorBidi" w:eastAsia="Times New Roman" w:hAnsiTheme="majorBidi" w:cstheme="majorBidi"/>
          <w:lang w:eastAsia="fr-FR"/>
        </w:rPr>
        <w:t>OCS, CCBS et CVBS : systèmes de facturation ADSL pour les plateformes Easy, Anis+, Anis et Fawri.</w:t>
      </w:r>
    </w:p>
    <w:p w14:paraId="25A09226" w14:textId="77777777" w:rsidR="00B065F3" w:rsidRPr="007F2DE6" w:rsidRDefault="00B065F3" w:rsidP="00C13671">
      <w:pPr>
        <w:pStyle w:val="Paragraphedeliste"/>
        <w:numPr>
          <w:ilvl w:val="0"/>
          <w:numId w:val="56"/>
        </w:numPr>
        <w:spacing w:before="240" w:after="240" w:line="360" w:lineRule="auto"/>
        <w:jc w:val="both"/>
        <w:rPr>
          <w:rFonts w:asciiTheme="majorBidi" w:eastAsia="Times New Roman" w:hAnsiTheme="majorBidi" w:cstheme="majorBidi"/>
          <w:lang w:eastAsia="fr-FR"/>
        </w:rPr>
      </w:pPr>
      <w:r w:rsidRPr="007F2DE6">
        <w:rPr>
          <w:rFonts w:asciiTheme="majorBidi" w:eastAsia="Times New Roman" w:hAnsiTheme="majorBidi" w:cstheme="majorBidi"/>
          <w:lang w:eastAsia="fr-FR"/>
        </w:rPr>
        <w:t>MOACHIR : système décisionnel interne utiliser comme tableau de bord de suivi des indicateurs de performance.</w:t>
      </w:r>
    </w:p>
    <w:p w14:paraId="34CB5ED9" w14:textId="4CCDAE29" w:rsidR="00B065F3" w:rsidRPr="00444D8E" w:rsidRDefault="00B065F3" w:rsidP="00444D8E">
      <w:pPr>
        <w:pStyle w:val="Paragraphedeliste"/>
        <w:numPr>
          <w:ilvl w:val="0"/>
          <w:numId w:val="56"/>
        </w:numPr>
        <w:spacing w:before="240" w:after="240" w:line="360" w:lineRule="auto"/>
        <w:jc w:val="both"/>
        <w:rPr>
          <w:rFonts w:asciiTheme="majorBidi" w:eastAsia="Times New Roman" w:hAnsiTheme="majorBidi" w:cstheme="majorBidi"/>
          <w:lang w:eastAsia="fr-FR"/>
        </w:rPr>
      </w:pPr>
      <w:r w:rsidRPr="007F2DE6">
        <w:rPr>
          <w:rFonts w:asciiTheme="majorBidi" w:eastAsia="Times New Roman" w:hAnsiTheme="majorBidi" w:cstheme="majorBidi"/>
          <w:lang w:eastAsia="fr-FR"/>
        </w:rPr>
        <w:t>GDOC-AT : portail documentaire interne assurant la gestion centralisée des documents.</w:t>
      </w:r>
    </w:p>
    <w:p w14:paraId="790289D7" w14:textId="4CC677AD" w:rsidR="00B065F3" w:rsidRPr="006A5480" w:rsidRDefault="00B065F3" w:rsidP="00C13671">
      <w:pPr>
        <w:pStyle w:val="Titre3"/>
        <w:numPr>
          <w:ilvl w:val="0"/>
          <w:numId w:val="107"/>
        </w:numPr>
        <w:spacing w:line="360" w:lineRule="auto"/>
        <w:jc w:val="both"/>
        <w:rPr>
          <w:rFonts w:asciiTheme="majorBidi" w:hAnsiTheme="majorBidi"/>
          <w:b/>
          <w:bCs/>
          <w:color w:val="auto"/>
          <w:sz w:val="24"/>
          <w:szCs w:val="24"/>
          <w:u w:val="single"/>
          <w:lang w:eastAsia="fr-FR"/>
        </w:rPr>
      </w:pPr>
      <w:bookmarkStart w:id="142" w:name="_Toc199314449"/>
      <w:r w:rsidRPr="006A5480">
        <w:rPr>
          <w:rFonts w:asciiTheme="majorBidi" w:hAnsiTheme="majorBidi"/>
          <w:b/>
          <w:bCs/>
          <w:color w:val="auto"/>
          <w:sz w:val="24"/>
          <w:szCs w:val="24"/>
          <w:u w:val="single"/>
          <w:lang w:eastAsia="fr-FR"/>
        </w:rPr>
        <w:lastRenderedPageBreak/>
        <w:t>Présentation de la Direction Opérationnelle des Télécommunications (DOT) d'Alger – Beni Messous</w:t>
      </w:r>
      <w:r w:rsidR="006A5480" w:rsidRPr="006A5480">
        <w:rPr>
          <w:rFonts w:asciiTheme="majorBidi" w:hAnsiTheme="majorBidi"/>
          <w:b/>
          <w:bCs/>
          <w:color w:val="auto"/>
          <w:sz w:val="24"/>
          <w:szCs w:val="24"/>
          <w:u w:val="single"/>
          <w:lang w:eastAsia="fr-FR"/>
        </w:rPr>
        <w:t xml:space="preserve"> :</w:t>
      </w:r>
      <w:bookmarkEnd w:id="142"/>
    </w:p>
    <w:p w14:paraId="716EE33B"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La Direction Opérationnelle des Télécommunications (DOT) d’Alger, implantée à Beni Messous, représente une entité stratégique au sein du groupe Algérie Télécom. Dotée d’une autonomie budgétaire et financière, elle est chargée de la gestion, du pilotage et du développement des activités techniques et commerciales sur le territoire de la wilaya d’Alger. Elle joue un rôle central dans la déclinaison locale des orientations stratégiques du groupe, en veillant à assurer la continuité, la qualité et la performance des services de télécommunications offerts aux particuliers, entreprises et institutions publiques.</w:t>
      </w:r>
    </w:p>
    <w:p w14:paraId="46103E74" w14:textId="1EF9E766" w:rsidR="00B065F3"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 xml:space="preserve">La DOT de Beni Messous est structurée de manière à garantir une coordination efficace et une réactivité opérationnelle optimale. Elle comprend six départements fonctionnels et quatre cellules spécialisées, directement rattachées au directeur opérationnel, lequel est assisté par les responsables des ACTEL (Agences Commerciales de Télécommunications). La commune de Beni Messous abrite le siège de cette direction, qui supervise un réseau de </w:t>
      </w:r>
      <w:r w:rsidR="00FA51B9">
        <w:rPr>
          <w:rFonts w:asciiTheme="majorBidi" w:eastAsia="Times New Roman" w:hAnsiTheme="majorBidi" w:cstheme="majorBidi"/>
          <w:lang w:eastAsia="fr-FR"/>
        </w:rPr>
        <w:t>onze</w:t>
      </w:r>
      <w:r w:rsidRPr="004224FB">
        <w:rPr>
          <w:rFonts w:asciiTheme="majorBidi" w:eastAsia="Times New Roman" w:hAnsiTheme="majorBidi" w:cstheme="majorBidi"/>
          <w:lang w:eastAsia="fr-FR"/>
        </w:rPr>
        <w:t xml:space="preserve"> agences commerciales réparties dans la wilaya. Le chargé de communication de la DOT travaille en étroite collaboration avec les directeurs des ACTEL afin de diffuser les informations stratégiques et opérationnelles, garantissant ainsi une circulation fluide de l'information à tous les niveaux.</w:t>
      </w:r>
    </w:p>
    <w:p w14:paraId="7838B0E5"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Les missions principales de la DOT s’articulent autour de la gestion des services téléphoniques et Internet, la maintenance et l’optimisation des infrastructures réseau, ainsi que l’amélioration continue de la qualité de service. Elle veille notamment à la sécurité des installations, à la connectivité des clients, et à la satisfaction des usagers, qui constituent des priorités majeures dans sa démarche de performance et d’innovation.</w:t>
      </w:r>
    </w:p>
    <w:p w14:paraId="31E72958" w14:textId="0EA2A5EF" w:rsidR="00B065F3" w:rsidRPr="006A5480" w:rsidRDefault="00B065F3" w:rsidP="00C13671">
      <w:pPr>
        <w:pStyle w:val="Titre4"/>
        <w:numPr>
          <w:ilvl w:val="0"/>
          <w:numId w:val="109"/>
        </w:numPr>
        <w:spacing w:line="360" w:lineRule="auto"/>
        <w:jc w:val="both"/>
        <w:rPr>
          <w:rFonts w:asciiTheme="majorBidi" w:hAnsiTheme="majorBidi"/>
          <w:b/>
          <w:bCs/>
          <w:i w:val="0"/>
          <w:iCs w:val="0"/>
          <w:color w:val="auto"/>
          <w:u w:val="single"/>
        </w:rPr>
      </w:pPr>
      <w:bookmarkStart w:id="143" w:name="_Toc199314450"/>
      <w:r w:rsidRPr="006A5480">
        <w:rPr>
          <w:rFonts w:asciiTheme="majorBidi" w:hAnsiTheme="majorBidi"/>
          <w:b/>
          <w:bCs/>
          <w:i w:val="0"/>
          <w:iCs w:val="0"/>
          <w:color w:val="auto"/>
          <w:u w:val="single"/>
        </w:rPr>
        <w:t>Missions et Objectifs de la DOT</w:t>
      </w:r>
      <w:r w:rsidR="006A5480" w:rsidRPr="006A5480">
        <w:rPr>
          <w:rFonts w:asciiTheme="majorBidi" w:hAnsiTheme="majorBidi"/>
          <w:b/>
          <w:bCs/>
          <w:i w:val="0"/>
          <w:iCs w:val="0"/>
          <w:color w:val="auto"/>
          <w:u w:val="single"/>
        </w:rPr>
        <w:t xml:space="preserve"> :</w:t>
      </w:r>
      <w:bookmarkEnd w:id="143"/>
    </w:p>
    <w:p w14:paraId="0C29DB08"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En tant qu’acteur opérationnel sur le terrain, la DOT d’Alger à Béni Messous se voit confier plusieurs missions essentielles pour garantir le bon déploiement des services de télécommunications et répondre aux exigences croissantes du marché.</w:t>
      </w:r>
    </w:p>
    <w:p w14:paraId="56E3AD44" w14:textId="77777777" w:rsidR="00B065F3" w:rsidRPr="00CF08F4" w:rsidRDefault="00B065F3" w:rsidP="00C13671">
      <w:pPr>
        <w:pStyle w:val="Paragraphedeliste"/>
        <w:numPr>
          <w:ilvl w:val="0"/>
          <w:numId w:val="57"/>
        </w:numPr>
        <w:spacing w:before="240" w:after="240" w:line="360" w:lineRule="auto"/>
        <w:jc w:val="both"/>
        <w:rPr>
          <w:rFonts w:asciiTheme="majorBidi" w:eastAsia="Times New Roman" w:hAnsiTheme="majorBidi" w:cstheme="majorBidi"/>
          <w:b/>
          <w:bCs/>
          <w:lang w:eastAsia="fr-FR"/>
        </w:rPr>
      </w:pPr>
      <w:r w:rsidRPr="00CF08F4">
        <w:rPr>
          <w:rFonts w:asciiTheme="majorBidi" w:eastAsia="Times New Roman" w:hAnsiTheme="majorBidi" w:cstheme="majorBidi"/>
          <w:b/>
          <w:bCs/>
          <w:lang w:eastAsia="fr-FR"/>
        </w:rPr>
        <w:t>Assurer la fourniture de services de télécommunications performants</w:t>
      </w:r>
    </w:p>
    <w:p w14:paraId="777AE81C"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lastRenderedPageBreak/>
        <w:t>La DOT a pour mission principale de garantir la mise à disposition de services de télécommunication fiables et de haute qualité. Elle veille au bon acheminement des communications vocales, à la transmission des messages écrits, au partage des données numériques ainsi qu’à la diffusion des contenus audiovisuels. Cette diversité de services permet aux particuliers et aux entreprises de bénéficier d’une connectivité optimale et adaptée à leurs besoins.</w:t>
      </w:r>
    </w:p>
    <w:p w14:paraId="41277548" w14:textId="77777777" w:rsidR="00B065F3" w:rsidRPr="00CF08F4" w:rsidRDefault="00B065F3" w:rsidP="00C13671">
      <w:pPr>
        <w:pStyle w:val="Paragraphedeliste"/>
        <w:numPr>
          <w:ilvl w:val="0"/>
          <w:numId w:val="57"/>
        </w:numPr>
        <w:spacing w:before="240" w:after="240" w:line="360" w:lineRule="auto"/>
        <w:jc w:val="both"/>
        <w:rPr>
          <w:rFonts w:asciiTheme="majorBidi" w:eastAsia="Times New Roman" w:hAnsiTheme="majorBidi" w:cstheme="majorBidi"/>
          <w:b/>
          <w:bCs/>
          <w:lang w:eastAsia="fr-FR"/>
        </w:rPr>
      </w:pPr>
      <w:r w:rsidRPr="00CF08F4">
        <w:rPr>
          <w:rFonts w:asciiTheme="majorBidi" w:eastAsia="Times New Roman" w:hAnsiTheme="majorBidi" w:cstheme="majorBidi"/>
          <w:b/>
          <w:bCs/>
          <w:lang w:eastAsia="fr-FR"/>
        </w:rPr>
        <w:t>Développer, exploiter et gérer les réseaux de télécommunications</w:t>
      </w:r>
    </w:p>
    <w:p w14:paraId="21CB0F6B"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Dans un environnement technologique en perpétuelle évolution, la DOT est chargée du développement et de la modernisation des infrastructures de télécommunications, aussi bien publiques que privées. Elle met en place les équipements nécessaires pour assurer une couverture réseau étendue et une connectivité optimale, tout en garantissant la maintenance et la surveillance des installations existantes.</w:t>
      </w:r>
    </w:p>
    <w:p w14:paraId="061B418F" w14:textId="77777777" w:rsidR="00B065F3" w:rsidRPr="008765FF" w:rsidRDefault="00B065F3" w:rsidP="00C13671">
      <w:pPr>
        <w:pStyle w:val="Paragraphedeliste"/>
        <w:numPr>
          <w:ilvl w:val="0"/>
          <w:numId w:val="57"/>
        </w:numPr>
        <w:spacing w:before="240" w:after="240" w:line="360" w:lineRule="auto"/>
        <w:jc w:val="both"/>
        <w:rPr>
          <w:rFonts w:asciiTheme="majorBidi" w:eastAsia="Times New Roman" w:hAnsiTheme="majorBidi" w:cstheme="majorBidi"/>
          <w:b/>
          <w:bCs/>
          <w:lang w:eastAsia="fr-FR"/>
        </w:rPr>
      </w:pPr>
      <w:r w:rsidRPr="008765FF">
        <w:rPr>
          <w:rFonts w:asciiTheme="majorBidi" w:eastAsia="Times New Roman" w:hAnsiTheme="majorBidi" w:cstheme="majorBidi"/>
          <w:b/>
          <w:bCs/>
          <w:lang w:eastAsia="fr-FR"/>
        </w:rPr>
        <w:t>Établir et gérer les interconnexions avec les opérateurs nationaux et internationaux</w:t>
      </w:r>
    </w:p>
    <w:p w14:paraId="5EAEBB93"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Afin d’assurer une couverture et une interopérabilité efficaces, la DOT est responsable de la mise en place et de la gestion des interconnexions entre Algérie Télécom et les autres opérateurs de télécommunications. Cette mission est essentielle pour garantir l’accessibilité aux réseaux nationaux et internationaux, renforcer la fluidité des communications et favoriser l’intégration d’Algérie Télécom dans l’écosystème global des télécommunications.</w:t>
      </w:r>
    </w:p>
    <w:p w14:paraId="705EF22E" w14:textId="77777777" w:rsidR="00B065F3" w:rsidRPr="008765FF" w:rsidRDefault="00B065F3" w:rsidP="00C13671">
      <w:pPr>
        <w:pStyle w:val="Paragraphedeliste"/>
        <w:numPr>
          <w:ilvl w:val="0"/>
          <w:numId w:val="57"/>
        </w:numPr>
        <w:spacing w:before="240" w:after="240" w:line="360" w:lineRule="auto"/>
        <w:jc w:val="both"/>
        <w:rPr>
          <w:rFonts w:asciiTheme="majorBidi" w:eastAsia="Times New Roman" w:hAnsiTheme="majorBidi" w:cstheme="majorBidi"/>
          <w:b/>
          <w:bCs/>
          <w:lang w:eastAsia="fr-FR"/>
        </w:rPr>
      </w:pPr>
      <w:r w:rsidRPr="008765FF">
        <w:rPr>
          <w:rFonts w:asciiTheme="majorBidi" w:eastAsia="Times New Roman" w:hAnsiTheme="majorBidi" w:cstheme="majorBidi"/>
          <w:b/>
          <w:bCs/>
          <w:lang w:eastAsia="fr-FR"/>
        </w:rPr>
        <w:t>Accroître l’accessibilité aux services téléphoniques et Internet</w:t>
      </w:r>
    </w:p>
    <w:p w14:paraId="057DD19D"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L’un des objectifs majeurs de la DOT est de faciliter l’accès aux services de télécommunications pour l’ensemble des usagers, y compris ceux situés dans les zones rurales et enclavées. Pour cela, elle met en œuvre des programmes d’extension du réseau, visant à réduire la fracture numérique et à offrir des solutions de connectivité adaptées aux besoins des citoyens et des entreprises.</w:t>
      </w:r>
    </w:p>
    <w:p w14:paraId="46DF3419" w14:textId="77777777" w:rsidR="00B065F3" w:rsidRDefault="00B065F3"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br w:type="page"/>
      </w:r>
    </w:p>
    <w:p w14:paraId="7BDE8888" w14:textId="77777777" w:rsidR="00B065F3" w:rsidRPr="008765FF" w:rsidRDefault="00B065F3" w:rsidP="00C13671">
      <w:pPr>
        <w:pStyle w:val="Paragraphedeliste"/>
        <w:numPr>
          <w:ilvl w:val="0"/>
          <w:numId w:val="57"/>
        </w:numPr>
        <w:spacing w:before="240" w:after="240" w:line="360" w:lineRule="auto"/>
        <w:jc w:val="both"/>
        <w:rPr>
          <w:rFonts w:asciiTheme="majorBidi" w:eastAsia="Times New Roman" w:hAnsiTheme="majorBidi" w:cstheme="majorBidi"/>
          <w:b/>
          <w:bCs/>
          <w:lang w:eastAsia="fr-FR"/>
        </w:rPr>
      </w:pPr>
      <w:r w:rsidRPr="008765FF">
        <w:rPr>
          <w:rFonts w:asciiTheme="majorBidi" w:eastAsia="Times New Roman" w:hAnsiTheme="majorBidi" w:cstheme="majorBidi"/>
          <w:b/>
          <w:bCs/>
          <w:lang w:eastAsia="fr-FR"/>
        </w:rPr>
        <w:lastRenderedPageBreak/>
        <w:t>Améliorer la qualité et la compétitivité des services</w:t>
      </w:r>
    </w:p>
    <w:p w14:paraId="2328C75D"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La satisfaction des clients étant une priorité stratégique, la DOT s’attache à améliorer continuellement la qualité des services offerts. Cela passe par le renforcement des infrastructures, l’optimisation des performances réseau et l’innovation dans les offres proposées. L’objectif est de fournir des services toujours plus performants, sécurisés et compétitifs face aux exigences du marché et à l’évolution des technologies</w:t>
      </w:r>
    </w:p>
    <w:p w14:paraId="6E74FB4C" w14:textId="77777777" w:rsidR="00B065F3" w:rsidRPr="004224FB" w:rsidRDefault="00B065F3" w:rsidP="00AE3850">
      <w:pPr>
        <w:spacing w:before="240" w:after="240" w:line="360" w:lineRule="auto"/>
        <w:ind w:firstLine="360"/>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Nous avons retenu la Direction Opérationnelle des Télécommunications (DOT) de Beni Messous comme terrain d’étude pour notre recherche, et plus précisément son service des finances, dans le but d’apporter des éléments de réponse à notre problématique. Cette direction relève directement de la société mère Algérie Télécom, entreprise spécialisée dans le secteur des télécommunications, notamment à travers la réalisation et la maintenance des réseaux de communication, ainsi que l’exploitation des réseaux Internet.</w:t>
      </w:r>
    </w:p>
    <w:p w14:paraId="18D97B83"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p>
    <w:p w14:paraId="6A640F74" w14:textId="6810C4E9" w:rsidR="00B065F3" w:rsidRPr="006A5480" w:rsidRDefault="00B065F3" w:rsidP="00C13671">
      <w:pPr>
        <w:pStyle w:val="Titre4"/>
        <w:numPr>
          <w:ilvl w:val="0"/>
          <w:numId w:val="109"/>
        </w:numPr>
        <w:spacing w:line="360" w:lineRule="auto"/>
        <w:jc w:val="both"/>
        <w:rPr>
          <w:rFonts w:asciiTheme="majorBidi" w:hAnsiTheme="majorBidi"/>
          <w:b/>
          <w:bCs/>
          <w:i w:val="0"/>
          <w:iCs w:val="0"/>
          <w:color w:val="auto"/>
          <w:u w:val="single"/>
        </w:rPr>
      </w:pPr>
      <w:bookmarkStart w:id="144" w:name="_Toc199314451"/>
      <w:r w:rsidRPr="006A5480">
        <w:rPr>
          <w:rFonts w:asciiTheme="majorBidi" w:hAnsiTheme="majorBidi"/>
          <w:b/>
          <w:bCs/>
          <w:i w:val="0"/>
          <w:iCs w:val="0"/>
          <w:color w:val="auto"/>
          <w:u w:val="single"/>
        </w:rPr>
        <w:t>Organisation de la Direction Opérationnelle des Télécommunications</w:t>
      </w:r>
      <w:r w:rsidR="006A5480" w:rsidRPr="006A5480">
        <w:rPr>
          <w:rFonts w:asciiTheme="majorBidi" w:hAnsiTheme="majorBidi"/>
          <w:b/>
          <w:bCs/>
          <w:i w:val="0"/>
          <w:iCs w:val="0"/>
          <w:color w:val="auto"/>
          <w:u w:val="single"/>
        </w:rPr>
        <w:t xml:space="preserve"> :</w:t>
      </w:r>
      <w:bookmarkEnd w:id="144"/>
    </w:p>
    <w:p w14:paraId="1BB1BE31"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 xml:space="preserve">    La DOT est dirigée par un Directeur Opérationnel, sous l’autorité duquel plusieurs entités sont placées. La DOT est composée de plusieurs sous-directions (S/D) et services :</w:t>
      </w:r>
    </w:p>
    <w:p w14:paraId="0CDA2A9B" w14:textId="77777777" w:rsidR="00B065F3" w:rsidRPr="006A7BA3" w:rsidRDefault="00B065F3" w:rsidP="00C13671">
      <w:pPr>
        <w:pStyle w:val="Paragraphedeliste"/>
        <w:numPr>
          <w:ilvl w:val="0"/>
          <w:numId w:val="57"/>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b/>
          <w:bCs/>
          <w:lang w:eastAsia="fr-FR"/>
        </w:rPr>
        <w:t>S/D Technique</w:t>
      </w:r>
      <w:r w:rsidRPr="006A7BA3">
        <w:rPr>
          <w:rFonts w:asciiTheme="majorBidi" w:eastAsia="Times New Roman" w:hAnsiTheme="majorBidi" w:cstheme="majorBidi"/>
          <w:lang w:eastAsia="fr-FR"/>
        </w:rPr>
        <w:t xml:space="preserve"> : Elle comprend :</w:t>
      </w:r>
    </w:p>
    <w:p w14:paraId="28A136C1" w14:textId="77777777" w:rsidR="00B065F3" w:rsidRPr="006A7BA3" w:rsidRDefault="00B065F3" w:rsidP="00C13671">
      <w:pPr>
        <w:pStyle w:val="Paragraphedeliste"/>
        <w:numPr>
          <w:ilvl w:val="0"/>
          <w:numId w:val="40"/>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Réseau de transport</w:t>
      </w:r>
    </w:p>
    <w:p w14:paraId="4BBE57AA" w14:textId="77777777" w:rsidR="00B065F3" w:rsidRPr="006A7BA3" w:rsidRDefault="00B065F3" w:rsidP="00C13671">
      <w:pPr>
        <w:pStyle w:val="Paragraphedeliste"/>
        <w:numPr>
          <w:ilvl w:val="0"/>
          <w:numId w:val="40"/>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Réseau d’accès</w:t>
      </w:r>
    </w:p>
    <w:p w14:paraId="6035EE85" w14:textId="77777777" w:rsidR="00B065F3" w:rsidRDefault="00B065F3" w:rsidP="00C13671">
      <w:pPr>
        <w:pStyle w:val="Paragraphedeliste"/>
        <w:numPr>
          <w:ilvl w:val="0"/>
          <w:numId w:val="40"/>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Planification et suivi</w:t>
      </w:r>
    </w:p>
    <w:p w14:paraId="100C5563" w14:textId="77777777" w:rsidR="00B065F3" w:rsidRPr="006A7BA3" w:rsidRDefault="00B065F3" w:rsidP="00C13671">
      <w:pPr>
        <w:pStyle w:val="Paragraphedeliste"/>
        <w:numPr>
          <w:ilvl w:val="0"/>
          <w:numId w:val="58"/>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b/>
          <w:bCs/>
          <w:lang w:eastAsia="fr-FR"/>
        </w:rPr>
        <w:t>S/D Commerciale</w:t>
      </w:r>
      <w:r w:rsidRPr="006A7BA3">
        <w:rPr>
          <w:rFonts w:asciiTheme="majorBidi" w:eastAsia="Times New Roman" w:hAnsiTheme="majorBidi" w:cstheme="majorBidi"/>
          <w:lang w:eastAsia="fr-FR"/>
        </w:rPr>
        <w:t xml:space="preserve"> : Elle inclut :</w:t>
      </w:r>
    </w:p>
    <w:p w14:paraId="44346E1D" w14:textId="77777777" w:rsidR="00B065F3" w:rsidRPr="006A7BA3" w:rsidRDefault="00B065F3" w:rsidP="00C13671">
      <w:pPr>
        <w:pStyle w:val="Paragraphedeliste"/>
        <w:numPr>
          <w:ilvl w:val="0"/>
          <w:numId w:val="59"/>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Planification et suivi</w:t>
      </w:r>
    </w:p>
    <w:p w14:paraId="2A711C63" w14:textId="77777777" w:rsidR="00B065F3" w:rsidRPr="006A7BA3" w:rsidRDefault="00B065F3" w:rsidP="00C13671">
      <w:pPr>
        <w:pStyle w:val="Paragraphedeliste"/>
        <w:numPr>
          <w:ilvl w:val="0"/>
          <w:numId w:val="59"/>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Vente</w:t>
      </w:r>
    </w:p>
    <w:p w14:paraId="505AD13D" w14:textId="77777777" w:rsidR="00B065F3" w:rsidRPr="006A7BA3" w:rsidRDefault="00B065F3" w:rsidP="00C13671">
      <w:pPr>
        <w:pStyle w:val="Paragraphedeliste"/>
        <w:numPr>
          <w:ilvl w:val="0"/>
          <w:numId w:val="59"/>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Support commercial</w:t>
      </w:r>
    </w:p>
    <w:p w14:paraId="4719F1BE" w14:textId="77777777" w:rsidR="00B065F3" w:rsidRPr="006A7BA3" w:rsidRDefault="00B065F3" w:rsidP="00C13671">
      <w:pPr>
        <w:pStyle w:val="Paragraphedeliste"/>
        <w:numPr>
          <w:ilvl w:val="0"/>
          <w:numId w:val="60"/>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b/>
          <w:bCs/>
          <w:lang w:eastAsia="fr-FR"/>
        </w:rPr>
        <w:t>S/D Fonctions</w:t>
      </w:r>
      <w:r w:rsidRPr="006A7BA3">
        <w:rPr>
          <w:rFonts w:asciiTheme="majorBidi" w:eastAsia="Times New Roman" w:hAnsiTheme="majorBidi" w:cstheme="majorBidi"/>
          <w:lang w:eastAsia="fr-FR"/>
        </w:rPr>
        <w:t xml:space="preserve"> : Elle regroupe :</w:t>
      </w:r>
    </w:p>
    <w:p w14:paraId="495BE508" w14:textId="77777777" w:rsidR="00B065F3" w:rsidRPr="006A7BA3" w:rsidRDefault="00B065F3" w:rsidP="00C13671">
      <w:pPr>
        <w:pStyle w:val="Paragraphedeliste"/>
        <w:numPr>
          <w:ilvl w:val="0"/>
          <w:numId w:val="61"/>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Achats et logistique</w:t>
      </w:r>
    </w:p>
    <w:p w14:paraId="656E4A08" w14:textId="77777777" w:rsidR="00B065F3" w:rsidRPr="006A7BA3" w:rsidRDefault="00B065F3" w:rsidP="00C13671">
      <w:pPr>
        <w:pStyle w:val="Paragraphedeliste"/>
        <w:numPr>
          <w:ilvl w:val="0"/>
          <w:numId w:val="61"/>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Finance et comptabilité</w:t>
      </w:r>
    </w:p>
    <w:p w14:paraId="531B04D9" w14:textId="77777777" w:rsidR="00B065F3" w:rsidRPr="006A7BA3" w:rsidRDefault="00B065F3" w:rsidP="00C13671">
      <w:pPr>
        <w:pStyle w:val="Paragraphedeliste"/>
        <w:numPr>
          <w:ilvl w:val="0"/>
          <w:numId w:val="61"/>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RH</w:t>
      </w:r>
    </w:p>
    <w:p w14:paraId="4E95E0E8" w14:textId="77777777" w:rsidR="00B065F3" w:rsidRDefault="00B065F3" w:rsidP="00C13671">
      <w:pPr>
        <w:pStyle w:val="Paragraphedeliste"/>
        <w:numPr>
          <w:ilvl w:val="0"/>
          <w:numId w:val="61"/>
        </w:numPr>
        <w:spacing w:before="240" w:after="240" w:line="360" w:lineRule="auto"/>
        <w:jc w:val="both"/>
        <w:rPr>
          <w:rFonts w:asciiTheme="majorBidi" w:eastAsia="Times New Roman" w:hAnsiTheme="majorBidi" w:cstheme="majorBidi"/>
          <w:lang w:eastAsia="fr-FR"/>
        </w:rPr>
      </w:pPr>
      <w:r w:rsidRPr="006A7BA3">
        <w:rPr>
          <w:rFonts w:asciiTheme="majorBidi" w:eastAsia="Times New Roman" w:hAnsiTheme="majorBidi" w:cstheme="majorBidi"/>
          <w:lang w:eastAsia="fr-FR"/>
        </w:rPr>
        <w:t>Département Patrimoine et moyen</w:t>
      </w:r>
    </w:p>
    <w:p w14:paraId="66E20995" w14:textId="290628F2" w:rsidR="00B065F3" w:rsidRPr="003E2904"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45" w:name="_Toc199314768"/>
      <w:r w:rsidRPr="003E2904">
        <w:rPr>
          <w:rFonts w:asciiTheme="majorBidi" w:hAnsiTheme="majorBidi" w:cstheme="majorBidi"/>
          <w:b/>
          <w:bCs/>
          <w:i w:val="0"/>
          <w:iCs w:val="0"/>
          <w:color w:val="auto"/>
          <w:sz w:val="24"/>
          <w:szCs w:val="24"/>
        </w:rPr>
        <w:lastRenderedPageBreak/>
        <w:t xml:space="preserve">Figure N°2- </w:t>
      </w:r>
      <w:r w:rsidRPr="003E2904">
        <w:rPr>
          <w:rFonts w:asciiTheme="majorBidi" w:hAnsiTheme="majorBidi" w:cstheme="majorBidi"/>
          <w:b/>
          <w:bCs/>
          <w:i w:val="0"/>
          <w:iCs w:val="0"/>
          <w:color w:val="auto"/>
          <w:sz w:val="24"/>
          <w:szCs w:val="24"/>
        </w:rPr>
        <w:fldChar w:fldCharType="begin"/>
      </w:r>
      <w:r w:rsidRPr="003E2904">
        <w:rPr>
          <w:rFonts w:asciiTheme="majorBidi" w:hAnsiTheme="majorBidi" w:cstheme="majorBidi"/>
          <w:b/>
          <w:bCs/>
          <w:i w:val="0"/>
          <w:iCs w:val="0"/>
          <w:color w:val="auto"/>
          <w:sz w:val="24"/>
          <w:szCs w:val="24"/>
        </w:rPr>
        <w:instrText xml:space="preserve"> SEQ Figure_N°2- \* ARABIC </w:instrText>
      </w:r>
      <w:r w:rsidRPr="003E2904">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2</w:t>
      </w:r>
      <w:r w:rsidRPr="003E2904">
        <w:rPr>
          <w:rFonts w:asciiTheme="majorBidi" w:hAnsiTheme="majorBidi" w:cstheme="majorBidi"/>
          <w:b/>
          <w:bCs/>
          <w:i w:val="0"/>
          <w:iCs w:val="0"/>
          <w:color w:val="auto"/>
          <w:sz w:val="24"/>
          <w:szCs w:val="24"/>
        </w:rPr>
        <w:fldChar w:fldCharType="end"/>
      </w:r>
      <w:r w:rsidRPr="003E2904">
        <w:rPr>
          <w:rFonts w:asciiTheme="majorBidi" w:hAnsiTheme="majorBidi" w:cstheme="majorBidi"/>
          <w:b/>
          <w:bCs/>
          <w:i w:val="0"/>
          <w:iCs w:val="0"/>
          <w:color w:val="auto"/>
          <w:sz w:val="24"/>
          <w:szCs w:val="24"/>
        </w:rPr>
        <w:t>: L’Organigramme de la direction opérationnel des télécommunications</w:t>
      </w:r>
      <w:bookmarkEnd w:id="145"/>
    </w:p>
    <w:p w14:paraId="08968927"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r w:rsidRPr="00CE04ED">
        <w:rPr>
          <w:rFonts w:asciiTheme="majorBidi" w:hAnsiTheme="majorBidi" w:cstheme="majorBidi"/>
          <w:noProof/>
          <w:lang w:eastAsia="fr-FR"/>
        </w:rPr>
        <w:drawing>
          <wp:inline distT="0" distB="0" distL="0" distR="0" wp14:anchorId="0CF2C503" wp14:editId="587CBD1C">
            <wp:extent cx="5760085" cy="4857750"/>
            <wp:effectExtent l="0" t="19050" r="0" b="19050"/>
            <wp:docPr id="32" name="Diagramme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12183F7D" w14:textId="77777777" w:rsidR="00B065F3" w:rsidRPr="00EF7821" w:rsidRDefault="00B065F3" w:rsidP="00AE3850">
      <w:pPr>
        <w:spacing w:before="240" w:after="240" w:line="360" w:lineRule="auto"/>
        <w:jc w:val="both"/>
        <w:rPr>
          <w:rFonts w:asciiTheme="majorBidi" w:eastAsia="Times New Roman" w:hAnsiTheme="majorBidi" w:cstheme="majorBidi"/>
          <w:b/>
          <w:bCs/>
          <w:lang w:eastAsia="fr-FR"/>
        </w:rPr>
      </w:pPr>
      <w:r w:rsidRPr="00EF7821">
        <w:rPr>
          <w:rFonts w:asciiTheme="majorBidi" w:eastAsia="Times New Roman" w:hAnsiTheme="majorBidi" w:cstheme="majorBidi"/>
          <w:b/>
          <w:bCs/>
          <w:lang w:eastAsia="fr-FR"/>
        </w:rPr>
        <w:t>Source : document interne de l’entreprise Algérie Télécom.</w:t>
      </w:r>
    </w:p>
    <w:p w14:paraId="4748593B" w14:textId="259959F9"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Avant de présenter en détail le processus budgétaire au sein de la DOT d’Algérie Télécom à Beni Messous, il est important de s’attarder sur la Division des Finances et de la Comptabilité (DFC), au sein de laquelle j’ai effectué mon stage. Cette division constitue le cœur des opérations budgétaires et comptables de la direction, notamment à travers le service du budget et du contrôle de gestion qui y est directement rattaché. La présentation de cette structure est essentielle pour comprendre le contexte dans lequel s’inscrit le traitement budgétaire au sein de la DOT</w:t>
      </w:r>
      <w:r w:rsidR="00EF7821">
        <w:rPr>
          <w:rFonts w:asciiTheme="majorBidi" w:eastAsia="Times New Roman" w:hAnsiTheme="majorBidi" w:cstheme="majorBidi"/>
          <w:lang w:eastAsia="fr-FR"/>
        </w:rPr>
        <w:t>.</w:t>
      </w:r>
    </w:p>
    <w:p w14:paraId="7062F863" w14:textId="77777777" w:rsidR="00B065F3" w:rsidRDefault="00B065F3" w:rsidP="00AE3850">
      <w:pPr>
        <w:spacing w:line="360" w:lineRule="auto"/>
        <w:jc w:val="both"/>
        <w:rPr>
          <w:rFonts w:asciiTheme="majorBidi" w:eastAsia="Times New Roman" w:hAnsiTheme="majorBidi" w:cstheme="majorBidi"/>
          <w:lang w:eastAsia="fr-FR"/>
        </w:rPr>
      </w:pPr>
      <w:r>
        <w:rPr>
          <w:rFonts w:asciiTheme="majorBidi" w:eastAsia="Times New Roman" w:hAnsiTheme="majorBidi" w:cstheme="majorBidi"/>
          <w:lang w:eastAsia="fr-FR"/>
        </w:rPr>
        <w:br w:type="page"/>
      </w:r>
    </w:p>
    <w:p w14:paraId="1FDFE0E8" w14:textId="6FC54E90" w:rsidR="00B065F3" w:rsidRPr="006501F2" w:rsidRDefault="00B065F3" w:rsidP="00C13671">
      <w:pPr>
        <w:pStyle w:val="Titre3"/>
        <w:numPr>
          <w:ilvl w:val="0"/>
          <w:numId w:val="107"/>
        </w:numPr>
        <w:spacing w:line="360" w:lineRule="auto"/>
        <w:jc w:val="both"/>
        <w:rPr>
          <w:rFonts w:asciiTheme="majorBidi" w:hAnsiTheme="majorBidi"/>
          <w:b/>
          <w:bCs/>
          <w:color w:val="auto"/>
          <w:sz w:val="24"/>
          <w:szCs w:val="24"/>
          <w:u w:val="single"/>
          <w:lang w:eastAsia="fr-FR"/>
        </w:rPr>
      </w:pPr>
      <w:bookmarkStart w:id="146" w:name="_Toc199314452"/>
      <w:r w:rsidRPr="006501F2">
        <w:rPr>
          <w:rFonts w:asciiTheme="majorBidi" w:hAnsiTheme="majorBidi"/>
          <w:b/>
          <w:bCs/>
          <w:color w:val="auto"/>
          <w:sz w:val="24"/>
          <w:szCs w:val="24"/>
          <w:u w:val="single"/>
          <w:lang w:eastAsia="fr-FR"/>
        </w:rPr>
        <w:lastRenderedPageBreak/>
        <w:t>Présentation du Département Finances et Comptabilité</w:t>
      </w:r>
      <w:r w:rsidR="006501F2" w:rsidRPr="006501F2">
        <w:rPr>
          <w:rFonts w:asciiTheme="majorBidi" w:hAnsiTheme="majorBidi"/>
          <w:b/>
          <w:bCs/>
          <w:color w:val="auto"/>
          <w:sz w:val="24"/>
          <w:szCs w:val="24"/>
          <w:u w:val="single"/>
          <w:lang w:eastAsia="fr-FR"/>
        </w:rPr>
        <w:t xml:space="preserve"> :</w:t>
      </w:r>
      <w:bookmarkEnd w:id="146"/>
    </w:p>
    <w:p w14:paraId="6AC3F055"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 Département Finances et Comptabilité d’Algérie Télécom constitue une entité stratégique essentielle pour la stabilité financière et la pérennité économique de l’entreprise. Il joue un rôle déterminant dans la gestion des ressources financières, la tenue de la comptabilité et l’élaboration des états financiers, tout en veillant à la conformité aux réglementations en vigueur et aux normes comptables nationales et internationales</w:t>
      </w:r>
    </w:p>
    <w:p w14:paraId="79E7D4BA" w14:textId="02FA849D" w:rsidR="00B065F3" w:rsidRPr="006501F2" w:rsidRDefault="00B065F3" w:rsidP="00C13671">
      <w:pPr>
        <w:pStyle w:val="Titre4"/>
        <w:numPr>
          <w:ilvl w:val="0"/>
          <w:numId w:val="110"/>
        </w:numPr>
        <w:spacing w:line="360" w:lineRule="auto"/>
        <w:jc w:val="both"/>
        <w:rPr>
          <w:rFonts w:asciiTheme="majorBidi" w:hAnsiTheme="majorBidi"/>
          <w:b/>
          <w:bCs/>
          <w:i w:val="0"/>
          <w:iCs w:val="0"/>
          <w:color w:val="auto"/>
          <w:u w:val="single"/>
        </w:rPr>
      </w:pPr>
      <w:bookmarkStart w:id="147" w:name="_Toc199314453"/>
      <w:r w:rsidRPr="006501F2">
        <w:rPr>
          <w:rFonts w:asciiTheme="majorBidi" w:hAnsiTheme="majorBidi"/>
          <w:b/>
          <w:bCs/>
          <w:i w:val="0"/>
          <w:iCs w:val="0"/>
          <w:color w:val="auto"/>
          <w:u w:val="single"/>
        </w:rPr>
        <w:t>Missions et Responsabilités</w:t>
      </w:r>
      <w:r w:rsidR="006501F2" w:rsidRPr="006501F2">
        <w:rPr>
          <w:rFonts w:asciiTheme="majorBidi" w:hAnsiTheme="majorBidi"/>
          <w:b/>
          <w:bCs/>
          <w:i w:val="0"/>
          <w:iCs w:val="0"/>
          <w:color w:val="auto"/>
          <w:u w:val="single"/>
        </w:rPr>
        <w:t xml:space="preserve"> :</w:t>
      </w:r>
      <w:bookmarkEnd w:id="147"/>
    </w:p>
    <w:p w14:paraId="4DD8DA55"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 département a pour principales missions de :</w:t>
      </w:r>
    </w:p>
    <w:p w14:paraId="133CC4F9" w14:textId="77777777" w:rsidR="00B065F3" w:rsidRPr="00BD5426" w:rsidRDefault="00B065F3" w:rsidP="00C13671">
      <w:pPr>
        <w:pStyle w:val="Paragraphedeliste"/>
        <w:numPr>
          <w:ilvl w:val="0"/>
          <w:numId w:val="62"/>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Vérifier et valider toutes les opérations financières et leur enregistrement comptable conformément aux normes et principes comptables en vigueur</w:t>
      </w:r>
    </w:p>
    <w:p w14:paraId="1D5D52FC" w14:textId="77777777" w:rsidR="00B065F3" w:rsidRPr="00BD5426" w:rsidRDefault="00B065F3" w:rsidP="00C13671">
      <w:pPr>
        <w:pStyle w:val="Paragraphedeliste"/>
        <w:numPr>
          <w:ilvl w:val="0"/>
          <w:numId w:val="62"/>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Assurer le suivi et le respect du budget alloué à la Direction Opérationnelle.</w:t>
      </w:r>
    </w:p>
    <w:p w14:paraId="20454ED0" w14:textId="77777777" w:rsidR="00B065F3" w:rsidRPr="00BD5426" w:rsidRDefault="00B065F3" w:rsidP="00C13671">
      <w:pPr>
        <w:pStyle w:val="Paragraphedeliste"/>
        <w:numPr>
          <w:ilvl w:val="0"/>
          <w:numId w:val="62"/>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Valider les reportings financiers mensuels et les transmettre à la Division des Finances et Comptabilité.</w:t>
      </w:r>
    </w:p>
    <w:p w14:paraId="1DED3D0F" w14:textId="77777777" w:rsidR="00B065F3" w:rsidRPr="00BD5426" w:rsidRDefault="00B065F3" w:rsidP="00C13671">
      <w:pPr>
        <w:pStyle w:val="Paragraphedeliste"/>
        <w:numPr>
          <w:ilvl w:val="0"/>
          <w:numId w:val="62"/>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Suivre l’évolution des situations financières de la trésorerie au sein de la Direction Opérationnelle.</w:t>
      </w:r>
    </w:p>
    <w:p w14:paraId="314C2478" w14:textId="77777777" w:rsidR="00B065F3" w:rsidRPr="00BD5426" w:rsidRDefault="00B065F3" w:rsidP="00C13671">
      <w:pPr>
        <w:pStyle w:val="Paragraphedeliste"/>
        <w:numPr>
          <w:ilvl w:val="0"/>
          <w:numId w:val="62"/>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Effectuer un contrôle financier des ACTEL et des points de vente rattachés à la Direction Opérationnelle.</w:t>
      </w:r>
    </w:p>
    <w:p w14:paraId="511FD607" w14:textId="77777777" w:rsidR="00B065F3" w:rsidRPr="00BD5426" w:rsidRDefault="00B065F3" w:rsidP="00C13671">
      <w:pPr>
        <w:pStyle w:val="Paragraphedeliste"/>
        <w:numPr>
          <w:ilvl w:val="0"/>
          <w:numId w:val="62"/>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Veiller à la conformité des opérations financières menées par le chargé du suivi des encaissements et des rapprochements comptables, en coordination avec l’ACTEL et en lien avec le Département Finances et Comptabilité.</w:t>
      </w:r>
    </w:p>
    <w:p w14:paraId="4D629A7E"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p>
    <w:p w14:paraId="5ACDA658" w14:textId="59339055" w:rsidR="00B065F3" w:rsidRPr="006501F2" w:rsidRDefault="00B065F3" w:rsidP="00C13671">
      <w:pPr>
        <w:pStyle w:val="Titre4"/>
        <w:numPr>
          <w:ilvl w:val="0"/>
          <w:numId w:val="110"/>
        </w:numPr>
        <w:spacing w:line="360" w:lineRule="auto"/>
        <w:jc w:val="both"/>
        <w:rPr>
          <w:rFonts w:asciiTheme="majorBidi" w:hAnsiTheme="majorBidi"/>
          <w:b/>
          <w:bCs/>
          <w:i w:val="0"/>
          <w:iCs w:val="0"/>
          <w:color w:val="auto"/>
          <w:u w:val="single"/>
        </w:rPr>
      </w:pPr>
      <w:bookmarkStart w:id="148" w:name="_Toc199314454"/>
      <w:r w:rsidRPr="006501F2">
        <w:rPr>
          <w:rFonts w:asciiTheme="majorBidi" w:hAnsiTheme="majorBidi"/>
          <w:b/>
          <w:bCs/>
          <w:i w:val="0"/>
          <w:iCs w:val="0"/>
          <w:color w:val="auto"/>
          <w:u w:val="single"/>
        </w:rPr>
        <w:t>Missions des Services Financiers et Comptables de la Direction Opérationnelle</w:t>
      </w:r>
      <w:r w:rsidR="006501F2" w:rsidRPr="006501F2">
        <w:rPr>
          <w:rFonts w:asciiTheme="majorBidi" w:hAnsiTheme="majorBidi"/>
          <w:b/>
          <w:bCs/>
          <w:i w:val="0"/>
          <w:iCs w:val="0"/>
          <w:color w:val="auto"/>
          <w:u w:val="single"/>
        </w:rPr>
        <w:t xml:space="preserve"> :</w:t>
      </w:r>
      <w:bookmarkEnd w:id="148"/>
    </w:p>
    <w:p w14:paraId="1E735E41" w14:textId="1555FADC" w:rsidR="00B065F3" w:rsidRPr="006501F2" w:rsidRDefault="00B065F3" w:rsidP="00C13671">
      <w:pPr>
        <w:pStyle w:val="Titre5"/>
        <w:numPr>
          <w:ilvl w:val="0"/>
          <w:numId w:val="111"/>
        </w:numPr>
        <w:spacing w:line="360" w:lineRule="auto"/>
        <w:jc w:val="both"/>
        <w:rPr>
          <w:rFonts w:asciiTheme="majorBidi" w:hAnsiTheme="majorBidi"/>
          <w:b/>
          <w:bCs/>
          <w:color w:val="auto"/>
          <w:u w:val="single"/>
        </w:rPr>
      </w:pPr>
      <w:bookmarkStart w:id="149" w:name="_Toc199314455"/>
      <w:r w:rsidRPr="006501F2">
        <w:rPr>
          <w:rFonts w:asciiTheme="majorBidi" w:hAnsiTheme="majorBidi"/>
          <w:b/>
          <w:bCs/>
          <w:color w:val="auto"/>
          <w:u w:val="single"/>
        </w:rPr>
        <w:t>Missions du Service Finances et Trésorerie</w:t>
      </w:r>
      <w:r w:rsidR="006501F2" w:rsidRPr="006501F2">
        <w:rPr>
          <w:rFonts w:asciiTheme="majorBidi" w:hAnsiTheme="majorBidi"/>
          <w:b/>
          <w:bCs/>
          <w:color w:val="auto"/>
          <w:u w:val="single"/>
        </w:rPr>
        <w:t xml:space="preserve"> :</w:t>
      </w:r>
      <w:bookmarkEnd w:id="149"/>
    </w:p>
    <w:p w14:paraId="4AF3A6C0"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 Service Finances et Trésorerie est chargé de garantir une gestion efficace des ressources financières de la Direction Opérationnelle. Ses principales missions incluent :</w:t>
      </w:r>
    </w:p>
    <w:p w14:paraId="0050E401" w14:textId="77777777" w:rsidR="00B065F3" w:rsidRPr="00BD5426" w:rsidRDefault="00B065F3" w:rsidP="00C13671">
      <w:pPr>
        <w:pStyle w:val="Paragraphedeliste"/>
        <w:numPr>
          <w:ilvl w:val="0"/>
          <w:numId w:val="63"/>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Assurer le contrôle de conformité des dossiers de paiement aux procédures des marchés d’Algérie Télécom et aux réglementations en vigueur.</w:t>
      </w:r>
    </w:p>
    <w:p w14:paraId="3A479C15" w14:textId="77777777" w:rsidR="00B065F3" w:rsidRPr="00BD5426" w:rsidRDefault="00B065F3" w:rsidP="00C13671">
      <w:pPr>
        <w:pStyle w:val="Paragraphedeliste"/>
        <w:numPr>
          <w:ilvl w:val="0"/>
          <w:numId w:val="63"/>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lastRenderedPageBreak/>
        <w:t>Gérer l’ensemble des dossiers de paiement et assurer un suivi rigoureux de la trésorerie pour garantir la disponibilité des fonds nécessaires aux opérations.</w:t>
      </w:r>
    </w:p>
    <w:p w14:paraId="683BA16D" w14:textId="77777777" w:rsidR="00B065F3" w:rsidRPr="00BD5426" w:rsidRDefault="00B065F3" w:rsidP="00C13671">
      <w:pPr>
        <w:pStyle w:val="Paragraphedeliste"/>
        <w:numPr>
          <w:ilvl w:val="0"/>
          <w:numId w:val="63"/>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Superviser le transfert quotidien des fonds entre les ACTEL et les points de présence de la Direction Opérationnelle afin d’assurer une gestion optimale des liquidités.</w:t>
      </w:r>
    </w:p>
    <w:p w14:paraId="52ACCBFB" w14:textId="77777777" w:rsidR="00B065F3" w:rsidRPr="00BD5426" w:rsidRDefault="00B065F3" w:rsidP="00C13671">
      <w:pPr>
        <w:pStyle w:val="Paragraphedeliste"/>
        <w:numPr>
          <w:ilvl w:val="0"/>
          <w:numId w:val="63"/>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Veiller au bon fonctionnement des comptes financiers, en s’assurant de leur conformité avec la réglementation fiscale et comptable en vigueur.</w:t>
      </w:r>
    </w:p>
    <w:p w14:paraId="4A1A3FEA" w14:textId="77777777" w:rsidR="00B065F3" w:rsidRPr="00BD5426" w:rsidRDefault="00B065F3" w:rsidP="00C13671">
      <w:pPr>
        <w:pStyle w:val="Paragraphedeliste"/>
        <w:numPr>
          <w:ilvl w:val="0"/>
          <w:numId w:val="63"/>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Contrôler et superviser les opérations financières réalisées au sein des ACTEL et des points de présence de la Direction Opérationnelle pour garantir leur exactitude et leur conformité.</w:t>
      </w:r>
    </w:p>
    <w:p w14:paraId="6C12C4C7" w14:textId="5694F3F0" w:rsidR="00B065F3" w:rsidRPr="006501F2" w:rsidRDefault="00B065F3" w:rsidP="00C13671">
      <w:pPr>
        <w:pStyle w:val="Titre5"/>
        <w:numPr>
          <w:ilvl w:val="0"/>
          <w:numId w:val="111"/>
        </w:numPr>
        <w:spacing w:line="360" w:lineRule="auto"/>
        <w:jc w:val="both"/>
        <w:rPr>
          <w:rFonts w:asciiTheme="majorBidi" w:hAnsiTheme="majorBidi"/>
          <w:b/>
          <w:bCs/>
          <w:u w:val="single"/>
        </w:rPr>
      </w:pPr>
      <w:bookmarkStart w:id="150" w:name="_Toc199314456"/>
      <w:r w:rsidRPr="006501F2">
        <w:rPr>
          <w:rFonts w:asciiTheme="majorBidi" w:hAnsiTheme="majorBidi"/>
          <w:b/>
          <w:bCs/>
          <w:color w:val="auto"/>
          <w:u w:val="single"/>
        </w:rPr>
        <w:t>Missions du Service Comptabilité</w:t>
      </w:r>
      <w:r w:rsidR="006501F2" w:rsidRPr="006501F2">
        <w:rPr>
          <w:rFonts w:asciiTheme="majorBidi" w:hAnsiTheme="majorBidi"/>
          <w:b/>
          <w:bCs/>
          <w:color w:val="auto"/>
          <w:u w:val="single"/>
        </w:rPr>
        <w:t xml:space="preserve"> :</w:t>
      </w:r>
      <w:bookmarkEnd w:id="150"/>
    </w:p>
    <w:p w14:paraId="2713FF27"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 Service Comptabilité joue un rôle clé dans l’enregistrement et la gestion des opérations financières de la Direction Opérationnelle. Ses responsabilités principales sont :</w:t>
      </w:r>
    </w:p>
    <w:p w14:paraId="4530548F" w14:textId="77777777" w:rsidR="00B065F3" w:rsidRPr="00BD5426" w:rsidRDefault="00B065F3" w:rsidP="00C13671">
      <w:pPr>
        <w:pStyle w:val="Paragraphedeliste"/>
        <w:numPr>
          <w:ilvl w:val="0"/>
          <w:numId w:val="64"/>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Assurer l’enregistrement comptable régulier et précis de toutes les transactions financières de la Direction Opérationnelle.</w:t>
      </w:r>
    </w:p>
    <w:p w14:paraId="6A28C02C" w14:textId="77777777" w:rsidR="00B065F3" w:rsidRPr="00BD5426" w:rsidRDefault="00B065F3" w:rsidP="00C13671">
      <w:pPr>
        <w:pStyle w:val="Paragraphedeliste"/>
        <w:numPr>
          <w:ilvl w:val="0"/>
          <w:numId w:val="64"/>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Vérifier la conformité et la sincérité des opérations financières enregistrées, garantissant ainsi l’exactitude des données comptables.</w:t>
      </w:r>
    </w:p>
    <w:p w14:paraId="38614A1A" w14:textId="77777777" w:rsidR="00B065F3" w:rsidRPr="00BD5426" w:rsidRDefault="00B065F3" w:rsidP="00C13671">
      <w:pPr>
        <w:pStyle w:val="Paragraphedeliste"/>
        <w:numPr>
          <w:ilvl w:val="0"/>
          <w:numId w:val="64"/>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Veiller à ce que tous les enregistrements comptables respectent les normes et principes comptables en vigueur, assurant ainsi une image fidèle de la situation financière de la Direction Opérationnelle.</w:t>
      </w:r>
    </w:p>
    <w:p w14:paraId="0764936D" w14:textId="77777777" w:rsidR="00B065F3" w:rsidRPr="00BD5426" w:rsidRDefault="00B065F3" w:rsidP="00C13671">
      <w:pPr>
        <w:pStyle w:val="Paragraphedeliste"/>
        <w:numPr>
          <w:ilvl w:val="0"/>
          <w:numId w:val="64"/>
        </w:numPr>
        <w:spacing w:before="240" w:after="240" w:line="360" w:lineRule="auto"/>
        <w:jc w:val="both"/>
        <w:rPr>
          <w:rFonts w:asciiTheme="majorBidi" w:eastAsia="Times New Roman" w:hAnsiTheme="majorBidi" w:cstheme="majorBidi"/>
          <w:lang w:eastAsia="fr-FR"/>
        </w:rPr>
      </w:pPr>
      <w:r w:rsidRPr="00BD5426">
        <w:rPr>
          <w:rFonts w:asciiTheme="majorBidi" w:eastAsia="Times New Roman" w:hAnsiTheme="majorBidi" w:cstheme="majorBidi"/>
          <w:lang w:eastAsia="fr-FR"/>
        </w:rPr>
        <w:t>Garantir la fiabilité des états financiers en s’assurant de la qualité et de l’exactitude des informations comptables produites.</w:t>
      </w:r>
    </w:p>
    <w:p w14:paraId="3878771E"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p>
    <w:p w14:paraId="007E8E6C" w14:textId="4F6C5AB1" w:rsidR="00B065F3" w:rsidRPr="006501F2" w:rsidRDefault="00B065F3" w:rsidP="00C13671">
      <w:pPr>
        <w:pStyle w:val="Titre5"/>
        <w:numPr>
          <w:ilvl w:val="0"/>
          <w:numId w:val="111"/>
        </w:numPr>
        <w:spacing w:line="360" w:lineRule="auto"/>
        <w:jc w:val="both"/>
        <w:rPr>
          <w:rFonts w:asciiTheme="majorBidi" w:hAnsiTheme="majorBidi"/>
          <w:b/>
          <w:bCs/>
          <w:u w:val="single"/>
        </w:rPr>
      </w:pPr>
      <w:bookmarkStart w:id="151" w:name="_Toc199314457"/>
      <w:r w:rsidRPr="006501F2">
        <w:rPr>
          <w:rFonts w:asciiTheme="majorBidi" w:hAnsiTheme="majorBidi"/>
          <w:b/>
          <w:bCs/>
          <w:color w:val="auto"/>
          <w:u w:val="single"/>
        </w:rPr>
        <w:t>Missions du Service Budget et Reporting</w:t>
      </w:r>
      <w:r w:rsidR="006501F2" w:rsidRPr="006501F2">
        <w:rPr>
          <w:rFonts w:asciiTheme="majorBidi" w:hAnsiTheme="majorBidi"/>
          <w:b/>
          <w:bCs/>
          <w:color w:val="auto"/>
          <w:u w:val="single"/>
        </w:rPr>
        <w:t xml:space="preserve"> :</w:t>
      </w:r>
      <w:bookmarkEnd w:id="151"/>
    </w:p>
    <w:p w14:paraId="122A7484"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 Service Budget et Reporting est responsable du suivi budgétaire et de l’élaboration des reportings financiers. Il assure les missions suivantes :</w:t>
      </w:r>
    </w:p>
    <w:p w14:paraId="01C4B709" w14:textId="77777777" w:rsidR="00B065F3" w:rsidRPr="00E44B63" w:rsidRDefault="00B065F3" w:rsidP="00C13671">
      <w:pPr>
        <w:pStyle w:val="Paragraphedeliste"/>
        <w:numPr>
          <w:ilvl w:val="0"/>
          <w:numId w:val="65"/>
        </w:numPr>
        <w:spacing w:before="240" w:after="240" w:line="360" w:lineRule="auto"/>
        <w:jc w:val="both"/>
        <w:rPr>
          <w:rFonts w:asciiTheme="majorBidi" w:eastAsia="Times New Roman" w:hAnsiTheme="majorBidi" w:cstheme="majorBidi"/>
          <w:lang w:eastAsia="fr-FR"/>
        </w:rPr>
      </w:pPr>
      <w:r w:rsidRPr="00E44B63">
        <w:rPr>
          <w:rFonts w:asciiTheme="majorBidi" w:eastAsia="Times New Roman" w:hAnsiTheme="majorBidi" w:cstheme="majorBidi"/>
          <w:lang w:eastAsia="fr-FR"/>
        </w:rPr>
        <w:t>Contrôler la conformité des actions budgétaires effectuées au sein de la Direction Opérationnelle, en alignement avec les objectifs financiers de l’entreprise.</w:t>
      </w:r>
    </w:p>
    <w:p w14:paraId="72AE9365" w14:textId="77777777" w:rsidR="00B065F3" w:rsidRPr="00E44B63" w:rsidRDefault="00B065F3" w:rsidP="00C13671">
      <w:pPr>
        <w:pStyle w:val="Paragraphedeliste"/>
        <w:numPr>
          <w:ilvl w:val="0"/>
          <w:numId w:val="65"/>
        </w:numPr>
        <w:spacing w:before="240" w:after="240" w:line="360" w:lineRule="auto"/>
        <w:jc w:val="both"/>
        <w:rPr>
          <w:rFonts w:asciiTheme="majorBidi" w:eastAsia="Times New Roman" w:hAnsiTheme="majorBidi" w:cstheme="majorBidi"/>
          <w:lang w:eastAsia="fr-FR"/>
        </w:rPr>
      </w:pPr>
      <w:r w:rsidRPr="00E44B63">
        <w:rPr>
          <w:rFonts w:asciiTheme="majorBidi" w:eastAsia="Times New Roman" w:hAnsiTheme="majorBidi" w:cstheme="majorBidi"/>
          <w:lang w:eastAsia="fr-FR"/>
        </w:rPr>
        <w:lastRenderedPageBreak/>
        <w:t>Veiller au respect du plan budgétaire défini par la Division des Finances et de la Comptabilité et proposer des ajustements si nécessaire.</w:t>
      </w:r>
    </w:p>
    <w:p w14:paraId="2E5977F4" w14:textId="77777777" w:rsidR="00B065F3" w:rsidRPr="00E44B63" w:rsidRDefault="00B065F3" w:rsidP="00C13671">
      <w:pPr>
        <w:pStyle w:val="Paragraphedeliste"/>
        <w:numPr>
          <w:ilvl w:val="0"/>
          <w:numId w:val="65"/>
        </w:numPr>
        <w:spacing w:before="240" w:after="240" w:line="360" w:lineRule="auto"/>
        <w:jc w:val="both"/>
        <w:rPr>
          <w:rFonts w:asciiTheme="majorBidi" w:eastAsia="Times New Roman" w:hAnsiTheme="majorBidi" w:cstheme="majorBidi"/>
          <w:lang w:eastAsia="fr-FR"/>
        </w:rPr>
      </w:pPr>
      <w:r w:rsidRPr="00E44B63">
        <w:rPr>
          <w:rFonts w:asciiTheme="majorBidi" w:eastAsia="Times New Roman" w:hAnsiTheme="majorBidi" w:cstheme="majorBidi"/>
          <w:lang w:eastAsia="fr-FR"/>
        </w:rPr>
        <w:t>Élaborer et superviser les reportings financiers intégrant les transactions effectuées par les ACTEL et les points de vente, permettant un suivi détaillé de la performance financière.</w:t>
      </w:r>
    </w:p>
    <w:p w14:paraId="395B8DF4" w14:textId="77777777" w:rsidR="00B065F3" w:rsidRPr="00E44B63" w:rsidRDefault="00B065F3" w:rsidP="00C13671">
      <w:pPr>
        <w:pStyle w:val="Paragraphedeliste"/>
        <w:numPr>
          <w:ilvl w:val="0"/>
          <w:numId w:val="65"/>
        </w:numPr>
        <w:spacing w:before="240" w:after="240" w:line="360" w:lineRule="auto"/>
        <w:jc w:val="both"/>
        <w:rPr>
          <w:rFonts w:asciiTheme="majorBidi" w:eastAsia="Times New Roman" w:hAnsiTheme="majorBidi" w:cstheme="majorBidi"/>
          <w:lang w:eastAsia="fr-FR"/>
        </w:rPr>
      </w:pPr>
      <w:r w:rsidRPr="00E44B63">
        <w:rPr>
          <w:rFonts w:asciiTheme="majorBidi" w:eastAsia="Times New Roman" w:hAnsiTheme="majorBidi" w:cstheme="majorBidi"/>
          <w:lang w:eastAsia="fr-FR"/>
        </w:rPr>
        <w:t>Assurer un suivi rigoureux des opérations financières, en étroite collaboration avec les services Finances et Trésorerie ainsi que Comptabilité, afin d’optimiser la gestion des ressources.</w:t>
      </w:r>
    </w:p>
    <w:p w14:paraId="086199F8" w14:textId="77777777" w:rsidR="00B065F3" w:rsidRPr="00E67FC3" w:rsidRDefault="00B065F3" w:rsidP="00C13671">
      <w:pPr>
        <w:pStyle w:val="Paragraphedeliste"/>
        <w:numPr>
          <w:ilvl w:val="0"/>
          <w:numId w:val="65"/>
        </w:numPr>
        <w:spacing w:before="240" w:after="240" w:line="360" w:lineRule="auto"/>
        <w:jc w:val="both"/>
        <w:rPr>
          <w:rFonts w:ascii="Times New Roman" w:eastAsia="Times New Roman" w:hAnsi="Times New Roman" w:cs="Times New Roman"/>
          <w:b/>
          <w:bCs/>
          <w:lang w:eastAsia="fr-FR"/>
        </w:rPr>
      </w:pPr>
      <w:r w:rsidRPr="00E67FC3">
        <w:rPr>
          <w:rFonts w:asciiTheme="majorBidi" w:eastAsia="Times New Roman" w:hAnsiTheme="majorBidi" w:cstheme="majorBidi"/>
          <w:lang w:eastAsia="fr-FR"/>
        </w:rPr>
        <w:t>Maintenir une communication régulière avec les ACTEL et les points de présence rattachés à la Direction Opérationnelle pour garantir la fiabilité et la cohérence des données financières reportées.</w:t>
      </w:r>
    </w:p>
    <w:p w14:paraId="235C67C8" w14:textId="38EA9D52" w:rsidR="00B065F3" w:rsidRPr="006501F2" w:rsidRDefault="00B065F3" w:rsidP="00C13671">
      <w:pPr>
        <w:pStyle w:val="Titre4"/>
        <w:numPr>
          <w:ilvl w:val="0"/>
          <w:numId w:val="110"/>
        </w:numPr>
        <w:spacing w:line="360" w:lineRule="auto"/>
        <w:jc w:val="both"/>
        <w:rPr>
          <w:rFonts w:asciiTheme="majorBidi" w:hAnsiTheme="majorBidi"/>
          <w:b/>
          <w:bCs/>
          <w:i w:val="0"/>
          <w:iCs w:val="0"/>
          <w:color w:val="auto"/>
          <w:u w:val="single"/>
        </w:rPr>
      </w:pPr>
      <w:bookmarkStart w:id="152" w:name="_Toc199314458"/>
      <w:r w:rsidRPr="006501F2">
        <w:rPr>
          <w:rFonts w:asciiTheme="majorBidi" w:hAnsiTheme="majorBidi"/>
          <w:b/>
          <w:bCs/>
          <w:i w:val="0"/>
          <w:iCs w:val="0"/>
          <w:color w:val="auto"/>
          <w:u w:val="single"/>
        </w:rPr>
        <w:t>Effectif et Organisation des Ressources</w:t>
      </w:r>
      <w:r w:rsidR="006501F2" w:rsidRPr="006501F2">
        <w:rPr>
          <w:rFonts w:asciiTheme="majorBidi" w:hAnsiTheme="majorBidi"/>
          <w:b/>
          <w:bCs/>
          <w:i w:val="0"/>
          <w:iCs w:val="0"/>
          <w:color w:val="auto"/>
          <w:u w:val="single"/>
        </w:rPr>
        <w:t xml:space="preserve"> :</w:t>
      </w:r>
      <w:bookmarkEnd w:id="152"/>
    </w:p>
    <w:p w14:paraId="2B062F56" w14:textId="77777777" w:rsidR="00B065F3" w:rsidRPr="004224FB" w:rsidRDefault="00B065F3" w:rsidP="00AE3850">
      <w:pPr>
        <w:spacing w:before="240" w:after="240" w:line="360" w:lineRule="auto"/>
        <w:ind w:firstLine="708"/>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Le département est composé d’une équipe spécialisée pour garantir une gestion efficace des finances, comprenant :</w:t>
      </w:r>
    </w:p>
    <w:p w14:paraId="2752BB41" w14:textId="77777777" w:rsidR="00B065F3" w:rsidRPr="00E44B63" w:rsidRDefault="00B065F3" w:rsidP="00C13671">
      <w:pPr>
        <w:pStyle w:val="Paragraphedeliste"/>
        <w:numPr>
          <w:ilvl w:val="0"/>
          <w:numId w:val="66"/>
        </w:numPr>
        <w:spacing w:before="240" w:after="240" w:line="360" w:lineRule="auto"/>
        <w:jc w:val="both"/>
        <w:rPr>
          <w:rFonts w:asciiTheme="majorBidi" w:eastAsia="Times New Roman" w:hAnsiTheme="majorBidi" w:cstheme="majorBidi"/>
          <w:lang w:eastAsia="fr-FR"/>
        </w:rPr>
      </w:pPr>
      <w:r w:rsidRPr="00E44B63">
        <w:rPr>
          <w:rFonts w:asciiTheme="majorBidi" w:eastAsia="Times New Roman" w:hAnsiTheme="majorBidi" w:cstheme="majorBidi"/>
          <w:lang w:eastAsia="fr-FR"/>
        </w:rPr>
        <w:t>Un Chef de Département, supervisant l’ensemble des opérations.</w:t>
      </w:r>
    </w:p>
    <w:p w14:paraId="2BE66B41" w14:textId="77777777" w:rsidR="00B065F3" w:rsidRPr="00E44B63" w:rsidRDefault="00B065F3" w:rsidP="00C13671">
      <w:pPr>
        <w:pStyle w:val="Paragraphedeliste"/>
        <w:numPr>
          <w:ilvl w:val="0"/>
          <w:numId w:val="66"/>
        </w:numPr>
        <w:spacing w:before="240" w:after="240" w:line="360" w:lineRule="auto"/>
        <w:jc w:val="both"/>
        <w:rPr>
          <w:rFonts w:asciiTheme="majorBidi" w:eastAsia="Times New Roman" w:hAnsiTheme="majorBidi" w:cstheme="majorBidi"/>
          <w:lang w:eastAsia="fr-FR"/>
        </w:rPr>
      </w:pPr>
      <w:r w:rsidRPr="00E44B63">
        <w:rPr>
          <w:rFonts w:asciiTheme="majorBidi" w:eastAsia="Times New Roman" w:hAnsiTheme="majorBidi" w:cstheme="majorBidi"/>
          <w:lang w:eastAsia="fr-FR"/>
        </w:rPr>
        <w:t>Trois Chefs de Service (Finances et Trésorerie, Comptabilité, Budget et Reporting), chacun assisté d’un collaborateur dédié.</w:t>
      </w:r>
    </w:p>
    <w:p w14:paraId="41AD70C2" w14:textId="77777777" w:rsidR="00B065F3" w:rsidRPr="004224FB" w:rsidRDefault="00B065F3" w:rsidP="00AE3850">
      <w:pPr>
        <w:spacing w:before="240" w:after="240" w:line="360" w:lineRule="auto"/>
        <w:jc w:val="both"/>
        <w:rPr>
          <w:rFonts w:asciiTheme="majorBidi" w:eastAsia="Times New Roman" w:hAnsiTheme="majorBidi" w:cstheme="majorBidi"/>
          <w:lang w:eastAsia="fr-FR"/>
        </w:rPr>
      </w:pPr>
      <w:r w:rsidRPr="004224FB">
        <w:rPr>
          <w:rFonts w:asciiTheme="majorBidi" w:eastAsia="Times New Roman" w:hAnsiTheme="majorBidi" w:cstheme="majorBidi"/>
          <w:lang w:eastAsia="fr-FR"/>
        </w:rPr>
        <w:tab/>
        <w:t>Grâce à cette organisation rigoureuse, le Département Finances et Comptabilité assure une gestion financière optimale, permettant à Algérie Télécom de maintenir une transparence et une performance financière durable.</w:t>
      </w:r>
    </w:p>
    <w:p w14:paraId="35CB9BA4" w14:textId="4E6700B9" w:rsidR="00B065F3" w:rsidRPr="0003443D"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53" w:name="_Toc199314769"/>
      <w:r w:rsidRPr="0003443D">
        <w:rPr>
          <w:rFonts w:asciiTheme="majorBidi" w:hAnsiTheme="majorBidi" w:cstheme="majorBidi"/>
          <w:b/>
          <w:bCs/>
          <w:i w:val="0"/>
          <w:iCs w:val="0"/>
          <w:color w:val="auto"/>
          <w:sz w:val="24"/>
          <w:szCs w:val="24"/>
        </w:rPr>
        <w:lastRenderedPageBreak/>
        <w:t xml:space="preserve">Figure N°2- </w:t>
      </w:r>
      <w:r w:rsidRPr="0003443D">
        <w:rPr>
          <w:rFonts w:asciiTheme="majorBidi" w:hAnsiTheme="majorBidi" w:cstheme="majorBidi"/>
          <w:b/>
          <w:bCs/>
          <w:i w:val="0"/>
          <w:iCs w:val="0"/>
          <w:color w:val="auto"/>
          <w:sz w:val="24"/>
          <w:szCs w:val="24"/>
        </w:rPr>
        <w:fldChar w:fldCharType="begin"/>
      </w:r>
      <w:r w:rsidRPr="0003443D">
        <w:rPr>
          <w:rFonts w:asciiTheme="majorBidi" w:hAnsiTheme="majorBidi" w:cstheme="majorBidi"/>
          <w:b/>
          <w:bCs/>
          <w:i w:val="0"/>
          <w:iCs w:val="0"/>
          <w:color w:val="auto"/>
          <w:sz w:val="24"/>
          <w:szCs w:val="24"/>
        </w:rPr>
        <w:instrText xml:space="preserve"> SEQ Figure_N°2- \* ARABIC </w:instrText>
      </w:r>
      <w:r w:rsidRPr="0003443D">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3</w:t>
      </w:r>
      <w:r w:rsidRPr="0003443D">
        <w:rPr>
          <w:rFonts w:asciiTheme="majorBidi" w:hAnsiTheme="majorBidi" w:cstheme="majorBidi"/>
          <w:b/>
          <w:bCs/>
          <w:i w:val="0"/>
          <w:iCs w:val="0"/>
          <w:color w:val="auto"/>
          <w:sz w:val="24"/>
          <w:szCs w:val="24"/>
        </w:rPr>
        <w:fldChar w:fldCharType="end"/>
      </w:r>
      <w:r w:rsidRPr="0003443D">
        <w:rPr>
          <w:rFonts w:asciiTheme="majorBidi" w:hAnsiTheme="majorBidi" w:cstheme="majorBidi"/>
          <w:b/>
          <w:bCs/>
          <w:i w:val="0"/>
          <w:iCs w:val="0"/>
          <w:color w:val="auto"/>
          <w:sz w:val="24"/>
          <w:szCs w:val="24"/>
        </w:rPr>
        <w:t>: Structure organisationnelle de la division Finance et Comptabilité d'Algérie Télécom</w:t>
      </w:r>
      <w:bookmarkEnd w:id="153"/>
    </w:p>
    <w:p w14:paraId="5F1EC243" w14:textId="24D7F816" w:rsidR="00B065F3" w:rsidRDefault="00B065F3" w:rsidP="00AE3850">
      <w:pPr>
        <w:spacing w:before="240" w:after="240" w:line="360" w:lineRule="auto"/>
        <w:jc w:val="both"/>
        <w:rPr>
          <w:rFonts w:asciiTheme="majorBidi" w:eastAsia="Times New Roman" w:hAnsiTheme="majorBidi" w:cstheme="majorBidi"/>
          <w:lang w:eastAsia="fr-FR"/>
        </w:rPr>
      </w:pPr>
      <w:r w:rsidRPr="00CE04ED">
        <w:rPr>
          <w:rFonts w:asciiTheme="majorBidi" w:hAnsiTheme="majorBidi" w:cstheme="majorBidi"/>
          <w:noProof/>
          <w:lang w:eastAsia="fr-FR"/>
        </w:rPr>
        <w:drawing>
          <wp:inline distT="0" distB="0" distL="0" distR="0" wp14:anchorId="446FBDC7" wp14:editId="0DD056A2">
            <wp:extent cx="5603240" cy="2120900"/>
            <wp:effectExtent l="0" t="0" r="0" b="0"/>
            <wp:docPr id="33" name="Image 33" descr="C:\Users\HP\Downloads\IMG_0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IMG_014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599465" cy="2119471"/>
                    </a:xfrm>
                    <a:prstGeom prst="rect">
                      <a:avLst/>
                    </a:prstGeom>
                    <a:noFill/>
                    <a:ln>
                      <a:noFill/>
                    </a:ln>
                  </pic:spPr>
                </pic:pic>
              </a:graphicData>
            </a:graphic>
          </wp:inline>
        </w:drawing>
      </w:r>
      <w:r w:rsidRPr="006501F2">
        <w:rPr>
          <w:rFonts w:asciiTheme="majorBidi" w:eastAsia="Times New Roman" w:hAnsiTheme="majorBidi" w:cstheme="majorBidi"/>
          <w:b/>
          <w:bCs/>
          <w:lang w:eastAsia="fr-FR"/>
        </w:rPr>
        <w:t xml:space="preserve">Source : Documents interne de </w:t>
      </w:r>
      <w:r w:rsidR="000E788C" w:rsidRPr="006501F2">
        <w:rPr>
          <w:rFonts w:asciiTheme="majorBidi" w:eastAsia="Times New Roman" w:hAnsiTheme="majorBidi" w:cstheme="majorBidi"/>
          <w:b/>
          <w:bCs/>
          <w:lang w:eastAsia="fr-FR"/>
        </w:rPr>
        <w:t>l’entreprise</w:t>
      </w:r>
      <w:r w:rsidRPr="006501F2">
        <w:rPr>
          <w:rFonts w:asciiTheme="majorBidi" w:eastAsia="Times New Roman" w:hAnsiTheme="majorBidi" w:cstheme="majorBidi"/>
          <w:b/>
          <w:bCs/>
          <w:lang w:eastAsia="fr-FR"/>
        </w:rPr>
        <w:t xml:space="preserve"> </w:t>
      </w:r>
      <w:r w:rsidR="000E788C" w:rsidRPr="006501F2">
        <w:rPr>
          <w:rFonts w:asciiTheme="majorBidi" w:eastAsia="Times New Roman" w:hAnsiTheme="majorBidi" w:cstheme="majorBidi"/>
          <w:b/>
          <w:bCs/>
          <w:lang w:eastAsia="fr-FR"/>
        </w:rPr>
        <w:t>Algérie</w:t>
      </w:r>
      <w:r w:rsidRPr="006501F2">
        <w:rPr>
          <w:rFonts w:asciiTheme="majorBidi" w:eastAsia="Times New Roman" w:hAnsiTheme="majorBidi" w:cstheme="majorBidi"/>
          <w:b/>
          <w:bCs/>
          <w:lang w:eastAsia="fr-FR"/>
        </w:rPr>
        <w:t xml:space="preserve"> télécom.</w:t>
      </w:r>
      <w:r>
        <w:rPr>
          <w:rFonts w:asciiTheme="majorBidi" w:eastAsia="Times New Roman" w:hAnsiTheme="majorBidi" w:cstheme="majorBidi"/>
          <w:lang w:eastAsia="fr-FR"/>
        </w:rPr>
        <w:br w:type="page"/>
      </w:r>
    </w:p>
    <w:p w14:paraId="3A0F5C75" w14:textId="776A9FF7" w:rsidR="00B065F3" w:rsidRPr="006501F2" w:rsidRDefault="00B065F3" w:rsidP="00AE3850">
      <w:pPr>
        <w:pStyle w:val="Titre2"/>
        <w:spacing w:line="360" w:lineRule="auto"/>
        <w:jc w:val="both"/>
        <w:rPr>
          <w:rFonts w:asciiTheme="majorBidi" w:hAnsiTheme="majorBidi"/>
          <w:b/>
          <w:bCs/>
          <w:color w:val="auto"/>
          <w:sz w:val="28"/>
          <w:szCs w:val="28"/>
          <w:u w:val="single"/>
        </w:rPr>
      </w:pPr>
      <w:bookmarkStart w:id="154" w:name="_Toc199314459"/>
      <w:bookmarkStart w:id="155" w:name="_Toc199314587"/>
      <w:r w:rsidRPr="006501F2">
        <w:rPr>
          <w:rFonts w:asciiTheme="majorBidi" w:hAnsiTheme="majorBidi"/>
          <w:b/>
          <w:bCs/>
          <w:color w:val="auto"/>
          <w:sz w:val="28"/>
          <w:szCs w:val="28"/>
          <w:u w:val="single"/>
        </w:rPr>
        <w:lastRenderedPageBreak/>
        <w:t xml:space="preserve">Section </w:t>
      </w:r>
      <w:r w:rsidR="006501F2" w:rsidRPr="006501F2">
        <w:rPr>
          <w:rFonts w:asciiTheme="majorBidi" w:hAnsiTheme="majorBidi"/>
          <w:b/>
          <w:bCs/>
          <w:color w:val="auto"/>
          <w:sz w:val="28"/>
          <w:szCs w:val="28"/>
          <w:u w:val="single"/>
        </w:rPr>
        <w:t>0</w:t>
      </w:r>
      <w:r w:rsidRPr="006501F2">
        <w:rPr>
          <w:rFonts w:asciiTheme="majorBidi" w:hAnsiTheme="majorBidi"/>
          <w:b/>
          <w:bCs/>
          <w:color w:val="auto"/>
          <w:sz w:val="28"/>
          <w:szCs w:val="28"/>
          <w:u w:val="single"/>
        </w:rPr>
        <w:t>2 : Le processus budgétaire à la DOT de Beni Messous</w:t>
      </w:r>
      <w:bookmarkEnd w:id="154"/>
      <w:bookmarkEnd w:id="155"/>
    </w:p>
    <w:p w14:paraId="7A5ABF5B" w14:textId="77777777" w:rsidR="00B065F3" w:rsidRPr="00B065F3" w:rsidRDefault="00B065F3" w:rsidP="00AE3850">
      <w:pPr>
        <w:pStyle w:val="NormalWeb"/>
        <w:spacing w:line="360" w:lineRule="auto"/>
        <w:ind w:firstLine="708"/>
        <w:jc w:val="both"/>
        <w:rPr>
          <w:rFonts w:asciiTheme="majorBidi" w:hAnsiTheme="majorBidi" w:cstheme="majorBidi"/>
          <w:lang w:val="fr-FR"/>
        </w:rPr>
      </w:pPr>
      <w:r w:rsidRPr="00B065F3">
        <w:rPr>
          <w:rFonts w:asciiTheme="majorBidi" w:hAnsiTheme="majorBidi" w:cstheme="majorBidi"/>
          <w:lang w:val="fr-FR"/>
        </w:rPr>
        <w:t xml:space="preserve">Le processus budgétaire constitue un levier essentiel du contrôle de gestion, en particulier dans les entreprises publiques comme Algérie Télécom. Il permet de planifier l’allocation des ressources, de fixer des objectifs financiers et de suivre efficacement leur mise en œuvre. </w:t>
      </w:r>
    </w:p>
    <w:p w14:paraId="066BF182" w14:textId="77777777" w:rsidR="00B065F3" w:rsidRPr="00B065F3" w:rsidRDefault="00B065F3" w:rsidP="00AE3850">
      <w:pPr>
        <w:pStyle w:val="NormalWeb"/>
        <w:spacing w:line="360" w:lineRule="auto"/>
        <w:ind w:firstLine="708"/>
        <w:jc w:val="both"/>
        <w:rPr>
          <w:rFonts w:asciiTheme="majorBidi" w:hAnsiTheme="majorBidi" w:cstheme="majorBidi"/>
          <w:lang w:val="fr-FR"/>
        </w:rPr>
      </w:pPr>
      <w:r w:rsidRPr="00B065F3">
        <w:rPr>
          <w:rFonts w:asciiTheme="majorBidi" w:hAnsiTheme="majorBidi" w:cstheme="majorBidi"/>
          <w:lang w:val="fr-FR"/>
        </w:rPr>
        <w:t>À la Division Opérationnelle Telecom (DOT) de Beni Messous, ce processus repose sur des procédures structurées, déclinées en trois grandes phases : l’élaboration, l’exécution et le contrôle budgétaire. Ce dispositif vise à assurer une gestion financière rigoureuse tout en alignant les actions locales sur les orientations stratégiques de la Direction Générale.</w:t>
      </w:r>
    </w:p>
    <w:p w14:paraId="761CCDFB" w14:textId="635942B6" w:rsidR="00B065F3" w:rsidRPr="00AA0875" w:rsidRDefault="00B065F3" w:rsidP="00C13671">
      <w:pPr>
        <w:pStyle w:val="Titre3"/>
        <w:numPr>
          <w:ilvl w:val="0"/>
          <w:numId w:val="112"/>
        </w:numPr>
        <w:spacing w:line="360" w:lineRule="auto"/>
        <w:jc w:val="both"/>
        <w:rPr>
          <w:rFonts w:asciiTheme="majorBidi" w:hAnsiTheme="majorBidi"/>
          <w:b/>
          <w:bCs/>
          <w:color w:val="auto"/>
          <w:sz w:val="24"/>
          <w:szCs w:val="24"/>
          <w:u w:val="single"/>
          <w:lang w:eastAsia="fr-FR"/>
        </w:rPr>
      </w:pPr>
      <w:bookmarkStart w:id="156" w:name="_Toc199314460"/>
      <w:r w:rsidRPr="00AA0875">
        <w:rPr>
          <w:rFonts w:asciiTheme="majorBidi" w:hAnsiTheme="majorBidi"/>
          <w:b/>
          <w:bCs/>
          <w:color w:val="auto"/>
          <w:sz w:val="24"/>
          <w:szCs w:val="24"/>
          <w:u w:val="single"/>
          <w:lang w:eastAsia="fr-FR"/>
        </w:rPr>
        <w:t>L’élaboration du budget à la DOT de Beni Messous</w:t>
      </w:r>
      <w:r w:rsidR="006501F2" w:rsidRPr="00AA0875">
        <w:rPr>
          <w:rFonts w:asciiTheme="majorBidi" w:hAnsiTheme="majorBidi"/>
          <w:b/>
          <w:bCs/>
          <w:color w:val="auto"/>
          <w:sz w:val="24"/>
          <w:szCs w:val="24"/>
          <w:u w:val="single"/>
          <w:lang w:eastAsia="fr-FR"/>
        </w:rPr>
        <w:t xml:space="preserve"> :</w:t>
      </w:r>
      <w:bookmarkEnd w:id="156"/>
    </w:p>
    <w:p w14:paraId="4A171A82"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hAnsiTheme="majorBidi" w:cstheme="majorBidi"/>
        </w:rPr>
        <w:t xml:space="preserve">  L’élaboration du budget de fonctionnement suit un processus bien défini, organisé en plusieurs étapes clés détaillées ci-dessous.</w:t>
      </w:r>
    </w:p>
    <w:p w14:paraId="7360BEAC" w14:textId="7B6EC1E8" w:rsidR="00B065F3" w:rsidRPr="00AA0875" w:rsidRDefault="00B065F3" w:rsidP="00C13671">
      <w:pPr>
        <w:pStyle w:val="Titre4"/>
        <w:numPr>
          <w:ilvl w:val="0"/>
          <w:numId w:val="113"/>
        </w:numPr>
        <w:spacing w:line="360" w:lineRule="auto"/>
        <w:jc w:val="both"/>
        <w:rPr>
          <w:rFonts w:asciiTheme="majorBidi" w:hAnsiTheme="majorBidi"/>
          <w:b/>
          <w:bCs/>
          <w:i w:val="0"/>
          <w:iCs w:val="0"/>
          <w:color w:val="auto"/>
          <w:u w:val="single"/>
        </w:rPr>
      </w:pPr>
      <w:bookmarkStart w:id="157" w:name="_Toc199314461"/>
      <w:r w:rsidRPr="00AA0875">
        <w:rPr>
          <w:rFonts w:asciiTheme="majorBidi" w:hAnsiTheme="majorBidi"/>
          <w:b/>
          <w:bCs/>
          <w:i w:val="0"/>
          <w:iCs w:val="0"/>
          <w:color w:val="auto"/>
          <w:u w:val="single"/>
        </w:rPr>
        <w:t>Processus d’élaboration du budget de fonctionnement</w:t>
      </w:r>
      <w:r w:rsidR="00AA0875" w:rsidRPr="00AA0875">
        <w:rPr>
          <w:rFonts w:asciiTheme="majorBidi" w:hAnsiTheme="majorBidi"/>
          <w:b/>
          <w:bCs/>
          <w:i w:val="0"/>
          <w:iCs w:val="0"/>
          <w:color w:val="auto"/>
          <w:u w:val="single"/>
        </w:rPr>
        <w:t xml:space="preserve"> :</w:t>
      </w:r>
      <w:bookmarkEnd w:id="157"/>
    </w:p>
    <w:p w14:paraId="617FB75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La préparation du budget de fonctionnement suit une démarche participative et structurée :</w:t>
      </w:r>
    </w:p>
    <w:p w14:paraId="7BA9129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Note de cadrage budgétaire</w:t>
      </w:r>
      <w:r w:rsidRPr="00953B54">
        <w:rPr>
          <w:rFonts w:asciiTheme="majorBidi" w:eastAsia="Times New Roman" w:hAnsiTheme="majorBidi" w:cstheme="majorBidi"/>
          <w:lang w:eastAsia="fr-FR"/>
        </w:rPr>
        <w:t xml:space="preserve"> : Chaque année, au mois d’octobre, la Direction Générale d’Algérie Télécom émet une note de cadrage définissant les priorités budgétaires nationales et les orientations stratégiques à respecter.</w:t>
      </w:r>
    </w:p>
    <w:p w14:paraId="203C0FF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Recensement des besoins</w:t>
      </w:r>
      <w:r w:rsidRPr="00953B54">
        <w:rPr>
          <w:rFonts w:asciiTheme="majorBidi" w:eastAsia="Times New Roman" w:hAnsiTheme="majorBidi" w:cstheme="majorBidi"/>
          <w:lang w:eastAsia="fr-FR"/>
        </w:rPr>
        <w:t xml:space="preserve"> : À la suite de cette note, la DOT de Beni Messous engage une phase de concertation avec ses services internes pour recenser les besoins budgétaires. Cette opération repose sur l’analyse des dépenses de l’année précédente (N-1) et les projections pour l’année suivante (N+1).</w:t>
      </w:r>
    </w:p>
    <w:p w14:paraId="3B3D452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Élaboration des pré-budgets</w:t>
      </w:r>
      <w:r w:rsidRPr="00953B54">
        <w:rPr>
          <w:rFonts w:asciiTheme="majorBidi" w:eastAsia="Times New Roman" w:hAnsiTheme="majorBidi" w:cstheme="majorBidi"/>
          <w:lang w:eastAsia="fr-FR"/>
        </w:rPr>
        <w:t xml:space="preserve"> : Chaque département élabore une proposition budgétaire détaillée qu’il transmet à la direction de la DOT.</w:t>
      </w:r>
    </w:p>
    <w:p w14:paraId="3893D65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Consolidation et arbitrages</w:t>
      </w:r>
      <w:r w:rsidRPr="00953B54">
        <w:rPr>
          <w:rFonts w:asciiTheme="majorBidi" w:eastAsia="Times New Roman" w:hAnsiTheme="majorBidi" w:cstheme="majorBidi"/>
          <w:lang w:eastAsia="fr-FR"/>
        </w:rPr>
        <w:t xml:space="preserve"> : La direction regroupe les pré-budgets, vérifie leur cohérence globale, identifie les éventuels doublons ou insuffisances, et procède aux arbitrages nécessaires.</w:t>
      </w:r>
    </w:p>
    <w:p w14:paraId="1A93BA2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lastRenderedPageBreak/>
        <w:t>Transmission et validation</w:t>
      </w:r>
      <w:r w:rsidRPr="00953B54">
        <w:rPr>
          <w:rFonts w:asciiTheme="majorBidi" w:eastAsia="Times New Roman" w:hAnsiTheme="majorBidi" w:cstheme="majorBidi"/>
          <w:lang w:eastAsia="fr-FR"/>
        </w:rPr>
        <w:t xml:space="preserve"> : Le budget consolidé est ensuite envoyé à la</w:t>
      </w:r>
      <w:r w:rsidRPr="00CF726B">
        <w:rPr>
          <w:rFonts w:asciiTheme="majorBidi" w:eastAsia="Times New Roman" w:hAnsiTheme="majorBidi" w:cstheme="majorBidi"/>
          <w:color w:val="FF0000"/>
          <w:lang w:eastAsia="fr-FR"/>
        </w:rPr>
        <w:t xml:space="preserve"> DG </w:t>
      </w:r>
      <w:r w:rsidRPr="00953B54">
        <w:rPr>
          <w:rFonts w:asciiTheme="majorBidi" w:eastAsia="Times New Roman" w:hAnsiTheme="majorBidi" w:cstheme="majorBidi"/>
          <w:lang w:eastAsia="fr-FR"/>
        </w:rPr>
        <w:t>pour révision et intégration dans le budget national, avant d’être soumis au Conseil d’Administration pour approbation.</w:t>
      </w:r>
    </w:p>
    <w:p w14:paraId="30583FA2" w14:textId="77777777" w:rsidR="00B065F3" w:rsidRDefault="00B065F3" w:rsidP="00AE3850">
      <w:pPr>
        <w:spacing w:line="360" w:lineRule="auto"/>
        <w:jc w:val="both"/>
        <w:rPr>
          <w:rFonts w:ascii="Times New Roman" w:eastAsia="Times New Roman" w:hAnsi="Times New Roman" w:cs="Times New Roman"/>
          <w:b/>
          <w:bCs/>
          <w:lang w:eastAsia="fr-FR"/>
        </w:rPr>
      </w:pPr>
      <w:r w:rsidRPr="00953B54">
        <w:rPr>
          <w:rFonts w:asciiTheme="majorBidi" w:eastAsia="Times New Roman" w:hAnsiTheme="majorBidi" w:cstheme="majorBidi"/>
          <w:b/>
          <w:bCs/>
          <w:lang w:eastAsia="fr-FR"/>
        </w:rPr>
        <w:t>Notification</w:t>
      </w:r>
      <w:r w:rsidRPr="00953B54">
        <w:rPr>
          <w:rFonts w:asciiTheme="majorBidi" w:eastAsia="Times New Roman" w:hAnsiTheme="majorBidi" w:cstheme="majorBidi"/>
          <w:lang w:eastAsia="fr-FR"/>
        </w:rPr>
        <w:t xml:space="preserve"> : Une fois validées, les enveloppes budgétaires sont notifiées aux différentes structures concernées, qui peuvent alors initier la phase d’exécution</w:t>
      </w:r>
    </w:p>
    <w:p w14:paraId="448DF3CE" w14:textId="49C20467" w:rsidR="00B065F3" w:rsidRPr="00AA0875" w:rsidRDefault="00B065F3" w:rsidP="00C13671">
      <w:pPr>
        <w:pStyle w:val="Titre4"/>
        <w:numPr>
          <w:ilvl w:val="0"/>
          <w:numId w:val="113"/>
        </w:numPr>
        <w:spacing w:line="360" w:lineRule="auto"/>
        <w:jc w:val="both"/>
        <w:rPr>
          <w:rFonts w:asciiTheme="majorBidi" w:hAnsiTheme="majorBidi"/>
          <w:b/>
          <w:bCs/>
          <w:i w:val="0"/>
          <w:iCs w:val="0"/>
          <w:color w:val="auto"/>
          <w:u w:val="single"/>
        </w:rPr>
      </w:pPr>
      <w:bookmarkStart w:id="158" w:name="_Toc199314462"/>
      <w:r w:rsidRPr="00AA0875">
        <w:rPr>
          <w:rFonts w:asciiTheme="majorBidi" w:hAnsiTheme="majorBidi"/>
          <w:b/>
          <w:bCs/>
          <w:i w:val="0"/>
          <w:iCs w:val="0"/>
          <w:color w:val="auto"/>
          <w:u w:val="single"/>
        </w:rPr>
        <w:t>Composition du budget de fonctionnement</w:t>
      </w:r>
      <w:r w:rsidR="00AA0875" w:rsidRPr="00AA0875">
        <w:rPr>
          <w:rFonts w:asciiTheme="majorBidi" w:hAnsiTheme="majorBidi"/>
          <w:b/>
          <w:bCs/>
          <w:i w:val="0"/>
          <w:iCs w:val="0"/>
          <w:color w:val="auto"/>
          <w:u w:val="single"/>
        </w:rPr>
        <w:t xml:space="preserve"> :</w:t>
      </w:r>
      <w:bookmarkEnd w:id="158"/>
    </w:p>
    <w:p w14:paraId="14CF0A65" w14:textId="77777777" w:rsidR="00B065F3" w:rsidRPr="00953B54" w:rsidRDefault="00B065F3" w:rsidP="00AE3850">
      <w:pPr>
        <w:pStyle w:val="NormalWeb"/>
        <w:spacing w:line="360" w:lineRule="auto"/>
        <w:ind w:firstLine="360"/>
        <w:jc w:val="both"/>
        <w:rPr>
          <w:rFonts w:asciiTheme="majorBidi" w:hAnsiTheme="majorBidi" w:cstheme="majorBidi"/>
        </w:rPr>
      </w:pPr>
      <w:r w:rsidRPr="00B065F3">
        <w:rPr>
          <w:rFonts w:asciiTheme="majorBidi" w:hAnsiTheme="majorBidi" w:cstheme="majorBidi"/>
          <w:lang w:val="fr-FR"/>
        </w:rPr>
        <w:t xml:space="preserve">Le budget de fonctionnement regroupe l’ensemble des dépenses nécessaires au bon déroulement des activités courantes. </w:t>
      </w:r>
      <w:r w:rsidRPr="00953B54">
        <w:rPr>
          <w:rFonts w:asciiTheme="majorBidi" w:hAnsiTheme="majorBidi" w:cstheme="majorBidi"/>
        </w:rPr>
        <w:t>Il est structuré selon les catégories suivantes :</w:t>
      </w:r>
    </w:p>
    <w:p w14:paraId="65CE6F06" w14:textId="77777777" w:rsidR="00B065F3" w:rsidRPr="00B065F3" w:rsidRDefault="00B065F3" w:rsidP="00C13671">
      <w:pPr>
        <w:pStyle w:val="NormalWeb"/>
        <w:numPr>
          <w:ilvl w:val="0"/>
          <w:numId w:val="88"/>
        </w:numPr>
        <w:spacing w:line="360" w:lineRule="auto"/>
        <w:jc w:val="both"/>
        <w:rPr>
          <w:rFonts w:asciiTheme="majorBidi" w:hAnsiTheme="majorBidi" w:cstheme="majorBidi"/>
          <w:lang w:val="fr-FR"/>
        </w:rPr>
      </w:pPr>
      <w:r w:rsidRPr="00B065F3">
        <w:rPr>
          <w:rFonts w:asciiTheme="majorBidi" w:hAnsiTheme="majorBidi" w:cstheme="majorBidi"/>
          <w:b/>
          <w:bCs/>
          <w:lang w:val="fr-FR"/>
        </w:rPr>
        <w:t>Achats consommés (Compte 60) :</w:t>
      </w:r>
      <w:r w:rsidRPr="00B065F3">
        <w:rPr>
          <w:rFonts w:asciiTheme="majorBidi" w:hAnsiTheme="majorBidi" w:cstheme="majorBidi"/>
          <w:lang w:val="fr-FR"/>
        </w:rPr>
        <w:t xml:space="preserve"> fournitures de bureau, carburant, électricité, eau...</w:t>
      </w:r>
    </w:p>
    <w:p w14:paraId="3B862B12" w14:textId="77777777" w:rsidR="00B065F3" w:rsidRPr="00B065F3" w:rsidRDefault="00B065F3" w:rsidP="00C13671">
      <w:pPr>
        <w:pStyle w:val="NormalWeb"/>
        <w:numPr>
          <w:ilvl w:val="0"/>
          <w:numId w:val="88"/>
        </w:numPr>
        <w:spacing w:line="360" w:lineRule="auto"/>
        <w:jc w:val="both"/>
        <w:rPr>
          <w:rFonts w:asciiTheme="majorBidi" w:hAnsiTheme="majorBidi" w:cstheme="majorBidi"/>
          <w:lang w:val="fr-FR"/>
        </w:rPr>
      </w:pPr>
      <w:r w:rsidRPr="00B065F3">
        <w:rPr>
          <w:rFonts w:asciiTheme="majorBidi" w:hAnsiTheme="majorBidi" w:cstheme="majorBidi"/>
          <w:b/>
          <w:bCs/>
          <w:lang w:val="fr-FR"/>
        </w:rPr>
        <w:t>Services extérieurs (Comptes 61 et 62)</w:t>
      </w:r>
      <w:r w:rsidRPr="00B065F3">
        <w:rPr>
          <w:rFonts w:asciiTheme="majorBidi" w:hAnsiTheme="majorBidi" w:cstheme="majorBidi"/>
          <w:lang w:val="fr-FR"/>
        </w:rPr>
        <w:t xml:space="preserve"> : loyers, maintenance, abonnements, assurances...</w:t>
      </w:r>
    </w:p>
    <w:p w14:paraId="252F2EFA" w14:textId="77777777" w:rsidR="00B065F3" w:rsidRPr="00B065F3" w:rsidRDefault="00B065F3" w:rsidP="00C13671">
      <w:pPr>
        <w:pStyle w:val="NormalWeb"/>
        <w:numPr>
          <w:ilvl w:val="0"/>
          <w:numId w:val="88"/>
        </w:numPr>
        <w:spacing w:line="360" w:lineRule="auto"/>
        <w:jc w:val="both"/>
        <w:rPr>
          <w:rFonts w:asciiTheme="majorBidi" w:hAnsiTheme="majorBidi" w:cstheme="majorBidi"/>
          <w:lang w:val="fr-FR"/>
        </w:rPr>
      </w:pPr>
      <w:r w:rsidRPr="00B065F3">
        <w:rPr>
          <w:rFonts w:asciiTheme="majorBidi" w:hAnsiTheme="majorBidi" w:cstheme="majorBidi"/>
          <w:b/>
          <w:bCs/>
          <w:lang w:val="fr-FR"/>
        </w:rPr>
        <w:t>Impôts et taxes (Compte 64) :</w:t>
      </w:r>
      <w:r w:rsidRPr="00B065F3">
        <w:rPr>
          <w:rFonts w:asciiTheme="majorBidi" w:hAnsiTheme="majorBidi" w:cstheme="majorBidi"/>
          <w:lang w:val="fr-FR"/>
        </w:rPr>
        <w:t xml:space="preserve"> TAP, droits de timbre...</w:t>
      </w:r>
    </w:p>
    <w:p w14:paraId="1E29F3B4" w14:textId="77777777" w:rsidR="00B065F3" w:rsidRPr="00B065F3" w:rsidRDefault="00B065F3" w:rsidP="00C13671">
      <w:pPr>
        <w:pStyle w:val="NormalWeb"/>
        <w:numPr>
          <w:ilvl w:val="0"/>
          <w:numId w:val="88"/>
        </w:numPr>
        <w:spacing w:line="360" w:lineRule="auto"/>
        <w:jc w:val="both"/>
        <w:rPr>
          <w:rFonts w:asciiTheme="majorBidi" w:hAnsiTheme="majorBidi" w:cstheme="majorBidi"/>
          <w:lang w:val="fr-FR"/>
        </w:rPr>
      </w:pPr>
      <w:r w:rsidRPr="00B065F3">
        <w:rPr>
          <w:rFonts w:asciiTheme="majorBidi" w:hAnsiTheme="majorBidi" w:cstheme="majorBidi"/>
          <w:b/>
          <w:bCs/>
          <w:lang w:val="fr-FR"/>
        </w:rPr>
        <w:t>Autres charges opérationnelles (Compte 65) :</w:t>
      </w:r>
      <w:r w:rsidRPr="00B065F3">
        <w:rPr>
          <w:rFonts w:asciiTheme="majorBidi" w:hAnsiTheme="majorBidi" w:cstheme="majorBidi"/>
          <w:lang w:val="fr-FR"/>
        </w:rPr>
        <w:t xml:space="preserve"> pénalités, services de conseil, assemblées générales...</w:t>
      </w:r>
    </w:p>
    <w:p w14:paraId="4A7713C9" w14:textId="39DE4055" w:rsidR="00B065F3" w:rsidRPr="009E6DB6" w:rsidRDefault="00B065F3" w:rsidP="00C13671">
      <w:pPr>
        <w:pStyle w:val="Titre3"/>
        <w:numPr>
          <w:ilvl w:val="0"/>
          <w:numId w:val="112"/>
        </w:numPr>
        <w:spacing w:line="360" w:lineRule="auto"/>
        <w:jc w:val="both"/>
        <w:rPr>
          <w:rFonts w:asciiTheme="majorBidi" w:hAnsiTheme="majorBidi"/>
          <w:b/>
          <w:bCs/>
          <w:color w:val="auto"/>
          <w:sz w:val="24"/>
          <w:szCs w:val="24"/>
          <w:u w:val="single"/>
        </w:rPr>
      </w:pPr>
      <w:bookmarkStart w:id="159" w:name="_Toc199314463"/>
      <w:r w:rsidRPr="009E6DB6">
        <w:rPr>
          <w:rFonts w:asciiTheme="majorBidi" w:hAnsiTheme="majorBidi"/>
          <w:b/>
          <w:bCs/>
          <w:color w:val="auto"/>
          <w:sz w:val="24"/>
          <w:szCs w:val="24"/>
          <w:u w:val="single"/>
        </w:rPr>
        <w:t>Exécution du budget de fonctionnement</w:t>
      </w:r>
      <w:r w:rsidR="00AA0875" w:rsidRPr="009E6DB6">
        <w:rPr>
          <w:rFonts w:asciiTheme="majorBidi" w:hAnsiTheme="majorBidi"/>
          <w:b/>
          <w:bCs/>
          <w:color w:val="auto"/>
          <w:sz w:val="24"/>
          <w:szCs w:val="24"/>
          <w:u w:val="single"/>
        </w:rPr>
        <w:t xml:space="preserve"> :</w:t>
      </w:r>
      <w:bookmarkEnd w:id="159"/>
    </w:p>
    <w:p w14:paraId="553EE63A" w14:textId="77777777" w:rsidR="00B065F3" w:rsidRPr="008A6E45" w:rsidRDefault="00B065F3" w:rsidP="00AE3850">
      <w:pPr>
        <w:pStyle w:val="NormalWeb"/>
        <w:spacing w:line="360" w:lineRule="auto"/>
        <w:ind w:firstLine="360"/>
        <w:jc w:val="both"/>
        <w:rPr>
          <w:rFonts w:asciiTheme="majorBidi" w:hAnsiTheme="majorBidi" w:cstheme="majorBidi"/>
          <w:lang w:val="fr-FR"/>
        </w:rPr>
      </w:pPr>
      <w:r w:rsidRPr="008A6E45">
        <w:rPr>
          <w:rFonts w:asciiTheme="majorBidi" w:hAnsiTheme="majorBidi" w:cstheme="majorBidi"/>
          <w:lang w:val="fr-FR"/>
        </w:rPr>
        <w:t xml:space="preserve">Une fois les crédits budgétaires validés et notifiés, la DOT de Beni Messous entame la phase d’exécution. Celle-ci repose sur un enchaînement d’étapes administratives et financières encadrées par le système Oracle. Le processus commence par l’identification des besoins, traduits sous forme de DA </w:t>
      </w:r>
      <w:r w:rsidRPr="008A6E45">
        <w:rPr>
          <w:lang w:val="fr-FR"/>
        </w:rPr>
        <w:t>(</w:t>
      </w:r>
      <w:r w:rsidRPr="008A6E45">
        <w:rPr>
          <w:b/>
          <w:bCs/>
          <w:lang w:val="fr-FR"/>
        </w:rPr>
        <w:t>voir Annexe</w:t>
      </w:r>
      <w:r w:rsidRPr="008A6E45">
        <w:rPr>
          <w:lang w:val="fr-FR"/>
        </w:rPr>
        <w:t xml:space="preserve"> 1)</w:t>
      </w:r>
      <w:r w:rsidRPr="008A6E45">
        <w:rPr>
          <w:rFonts w:asciiTheme="majorBidi" w:hAnsiTheme="majorBidi" w:cstheme="majorBidi"/>
          <w:lang w:val="fr-FR"/>
        </w:rPr>
        <w:t xml:space="preserve"> , qui constituent un pré-engagement. Une fois la demande validée, un BDC</w:t>
      </w:r>
      <w:r w:rsidRPr="008A6E45">
        <w:rPr>
          <w:rStyle w:val="Titre1Car"/>
          <w:color w:val="auto"/>
          <w:lang w:val="fr-FR"/>
        </w:rPr>
        <w:t xml:space="preserve"> </w:t>
      </w:r>
      <w:r w:rsidRPr="008A6E45">
        <w:rPr>
          <w:rStyle w:val="lev"/>
          <w:rFonts w:eastAsiaTheme="majorEastAsia"/>
          <w:lang w:val="fr-FR"/>
        </w:rPr>
        <w:t>joint en Annexe 2</w:t>
      </w:r>
      <w:r w:rsidRPr="008A6E45">
        <w:rPr>
          <w:lang w:val="fr-FR"/>
        </w:rPr>
        <w:t>,</w:t>
      </w:r>
      <w:r w:rsidRPr="008A6E45">
        <w:rPr>
          <w:rFonts w:asciiTheme="majorBidi" w:hAnsiTheme="majorBidi" w:cstheme="majorBidi"/>
          <w:lang w:val="fr-FR"/>
        </w:rPr>
        <w:t xml:space="preserve"> est émis, représentant l’engagement budgétaire officiel vis-à-vis du fournisseur. Après réception des biens ou services, un service fait est enregistré dans le système, validant la réalisation budgétaire.</w:t>
      </w:r>
    </w:p>
    <w:p w14:paraId="69132199" w14:textId="77777777" w:rsidR="00B065F3" w:rsidRPr="008A6E45" w:rsidRDefault="00B065F3" w:rsidP="00AE3850">
      <w:pPr>
        <w:pStyle w:val="NormalWeb"/>
        <w:spacing w:line="360" w:lineRule="auto"/>
        <w:ind w:firstLine="360"/>
        <w:jc w:val="both"/>
        <w:rPr>
          <w:rFonts w:asciiTheme="majorBidi" w:hAnsiTheme="majorBidi" w:cstheme="majorBidi"/>
          <w:lang w:val="fr-FR"/>
        </w:rPr>
      </w:pPr>
      <w:r w:rsidRPr="008A6E45">
        <w:rPr>
          <w:rFonts w:asciiTheme="majorBidi" w:hAnsiTheme="majorBidi" w:cstheme="majorBidi"/>
          <w:lang w:val="fr-FR"/>
        </w:rPr>
        <w:t xml:space="preserve">Cette étape est suivie de la liquidation, au cours de laquelle les pièces justificatives (factures, bons de livraison…) </w:t>
      </w:r>
      <w:r w:rsidRPr="008A6E45">
        <w:rPr>
          <w:lang w:val="fr-FR"/>
        </w:rPr>
        <w:t>comme présenté dans l’</w:t>
      </w:r>
      <w:r w:rsidRPr="008A6E45">
        <w:rPr>
          <w:rStyle w:val="lev"/>
          <w:rFonts w:eastAsiaTheme="majorEastAsia"/>
          <w:lang w:val="fr-FR"/>
        </w:rPr>
        <w:t>Annexe 3</w:t>
      </w:r>
      <w:r w:rsidRPr="008A6E45">
        <w:rPr>
          <w:rFonts w:asciiTheme="majorBidi" w:hAnsiTheme="majorBidi" w:cstheme="majorBidi"/>
          <w:lang w:val="fr-FR"/>
        </w:rPr>
        <w:t xml:space="preserve"> sont vérifiées par le service financier. Ensuite, l’ordonnancement est effectué par le chef du département financier, autorisant le paiement, qui est exécuté par le comptable. Tout au long de l’année, la Direction Budget et Contrôle de Gestion assure un suivi rigoureux des engagements et des réalisations </w:t>
      </w:r>
      <w:r w:rsidRPr="008A6E45">
        <w:rPr>
          <w:rFonts w:asciiTheme="majorBidi" w:hAnsiTheme="majorBidi" w:cstheme="majorBidi"/>
          <w:lang w:val="fr-FR"/>
        </w:rPr>
        <w:lastRenderedPageBreak/>
        <w:t>via des états extraits du système Oracle. En cas d’écarts importants ou de nouvelles priorités, des ajustements internes peuvent être opérés sous réserve d’approbation.</w:t>
      </w:r>
    </w:p>
    <w:p w14:paraId="1DFCE551" w14:textId="77D218AA" w:rsidR="00B065F3" w:rsidRPr="008A6E45" w:rsidRDefault="00B065F3" w:rsidP="00C13671">
      <w:pPr>
        <w:pStyle w:val="Titre4"/>
        <w:numPr>
          <w:ilvl w:val="0"/>
          <w:numId w:val="114"/>
        </w:numPr>
        <w:spacing w:line="360" w:lineRule="auto"/>
        <w:jc w:val="both"/>
        <w:rPr>
          <w:rFonts w:asciiTheme="majorBidi" w:hAnsiTheme="majorBidi"/>
          <w:b/>
          <w:bCs/>
          <w:i w:val="0"/>
          <w:iCs w:val="0"/>
          <w:color w:val="auto"/>
          <w:u w:val="single"/>
        </w:rPr>
      </w:pPr>
      <w:bookmarkStart w:id="160" w:name="_Toc199314464"/>
      <w:r w:rsidRPr="008A6E45">
        <w:rPr>
          <w:rFonts w:asciiTheme="majorBidi" w:hAnsiTheme="majorBidi"/>
          <w:b/>
          <w:bCs/>
          <w:i w:val="0"/>
          <w:iCs w:val="0"/>
          <w:color w:val="auto"/>
          <w:u w:val="single"/>
        </w:rPr>
        <w:t>Suivi budgétaire et contrôle des engagements</w:t>
      </w:r>
      <w:r w:rsidR="008A6E45" w:rsidRPr="008A6E45">
        <w:rPr>
          <w:rFonts w:asciiTheme="majorBidi" w:hAnsiTheme="majorBidi"/>
          <w:b/>
          <w:bCs/>
          <w:i w:val="0"/>
          <w:iCs w:val="0"/>
          <w:color w:val="auto"/>
          <w:u w:val="single"/>
        </w:rPr>
        <w:t xml:space="preserve"> :</w:t>
      </w:r>
      <w:bookmarkEnd w:id="160"/>
    </w:p>
    <w:p w14:paraId="09F61C23" w14:textId="77777777" w:rsidR="00B065F3" w:rsidRPr="00953B54" w:rsidRDefault="00B065F3" w:rsidP="00AE3850">
      <w:pPr>
        <w:pStyle w:val="NormalWeb"/>
        <w:spacing w:line="360" w:lineRule="auto"/>
        <w:ind w:firstLine="360"/>
        <w:jc w:val="both"/>
        <w:rPr>
          <w:rFonts w:asciiTheme="majorBidi" w:hAnsiTheme="majorBidi" w:cstheme="majorBidi"/>
        </w:rPr>
      </w:pPr>
      <w:r w:rsidRPr="00B065F3">
        <w:rPr>
          <w:rFonts w:asciiTheme="majorBidi" w:hAnsiTheme="majorBidi" w:cstheme="majorBidi"/>
          <w:lang w:val="fr-FR"/>
        </w:rPr>
        <w:t xml:space="preserve">Le suivi budgétaire repose sur l’utilisation du système Oracle, qui permet de tracer chaque étape du cycle d’acquisition. </w:t>
      </w:r>
      <w:r w:rsidRPr="00953B54">
        <w:rPr>
          <w:rFonts w:asciiTheme="majorBidi" w:hAnsiTheme="majorBidi" w:cstheme="majorBidi"/>
        </w:rPr>
        <w:t>Trois documents essentiels sont utilisés :</w:t>
      </w:r>
    </w:p>
    <w:p w14:paraId="41A217AC" w14:textId="77777777" w:rsidR="00B065F3" w:rsidRPr="00B065F3" w:rsidRDefault="00B065F3" w:rsidP="00C13671">
      <w:pPr>
        <w:pStyle w:val="NormalWeb"/>
        <w:numPr>
          <w:ilvl w:val="0"/>
          <w:numId w:val="67"/>
        </w:numPr>
        <w:spacing w:line="360" w:lineRule="auto"/>
        <w:jc w:val="both"/>
        <w:rPr>
          <w:rFonts w:asciiTheme="majorBidi" w:hAnsiTheme="majorBidi" w:cstheme="majorBidi"/>
          <w:lang w:val="fr-FR"/>
        </w:rPr>
      </w:pPr>
      <w:r w:rsidRPr="00B065F3">
        <w:rPr>
          <w:rFonts w:asciiTheme="majorBidi" w:hAnsiTheme="majorBidi" w:cstheme="majorBidi"/>
          <w:lang w:val="fr-FR"/>
        </w:rPr>
        <w:t>Demande d’achat : document initial exprimant le besoin, constituant un pré-engagement budgétaire.</w:t>
      </w:r>
    </w:p>
    <w:p w14:paraId="0272FABA" w14:textId="77777777" w:rsidR="00B065F3" w:rsidRPr="00B065F3" w:rsidRDefault="00B065F3" w:rsidP="00C13671">
      <w:pPr>
        <w:pStyle w:val="NormalWeb"/>
        <w:numPr>
          <w:ilvl w:val="0"/>
          <w:numId w:val="67"/>
        </w:numPr>
        <w:spacing w:line="360" w:lineRule="auto"/>
        <w:jc w:val="both"/>
        <w:rPr>
          <w:rFonts w:asciiTheme="majorBidi" w:hAnsiTheme="majorBidi" w:cstheme="majorBidi"/>
          <w:lang w:val="fr-FR"/>
        </w:rPr>
      </w:pPr>
      <w:r w:rsidRPr="00B065F3">
        <w:rPr>
          <w:rFonts w:asciiTheme="majorBidi" w:hAnsiTheme="majorBidi" w:cstheme="majorBidi"/>
          <w:lang w:val="fr-FR"/>
        </w:rPr>
        <w:t>Bon de commande : formalise l’engagement juridique et financier.</w:t>
      </w:r>
    </w:p>
    <w:p w14:paraId="100971DD" w14:textId="77777777" w:rsidR="00B065F3" w:rsidRPr="00B065F3" w:rsidRDefault="00B065F3" w:rsidP="00C13671">
      <w:pPr>
        <w:pStyle w:val="NormalWeb"/>
        <w:numPr>
          <w:ilvl w:val="0"/>
          <w:numId w:val="67"/>
        </w:numPr>
        <w:spacing w:line="360" w:lineRule="auto"/>
        <w:jc w:val="both"/>
        <w:rPr>
          <w:rFonts w:asciiTheme="majorBidi" w:hAnsiTheme="majorBidi" w:cstheme="majorBidi"/>
          <w:lang w:val="fr-FR"/>
        </w:rPr>
      </w:pPr>
      <w:r w:rsidRPr="00B065F3">
        <w:rPr>
          <w:rFonts w:asciiTheme="majorBidi" w:hAnsiTheme="majorBidi" w:cstheme="majorBidi"/>
          <w:lang w:val="fr-FR"/>
        </w:rPr>
        <w:t>Réception / Service fait : atteste la livraison effective du bien ou service, matérialisant la réalisation budgétaire.</w:t>
      </w:r>
    </w:p>
    <w:p w14:paraId="5561D8EB" w14:textId="77777777" w:rsidR="00B065F3" w:rsidRPr="00953B54" w:rsidRDefault="00B065F3" w:rsidP="00AE3850">
      <w:pPr>
        <w:pStyle w:val="NormalWeb"/>
        <w:spacing w:line="360" w:lineRule="auto"/>
        <w:jc w:val="both"/>
        <w:rPr>
          <w:rFonts w:asciiTheme="majorBidi" w:hAnsiTheme="majorBidi" w:cstheme="majorBidi"/>
        </w:rPr>
      </w:pPr>
      <w:r w:rsidRPr="00953B54">
        <w:rPr>
          <w:rFonts w:asciiTheme="majorBidi" w:hAnsiTheme="majorBidi" w:cstheme="majorBidi"/>
        </w:rPr>
        <w:t>Ce suivi permet de :</w:t>
      </w:r>
    </w:p>
    <w:p w14:paraId="25CB919B" w14:textId="77777777" w:rsidR="00B065F3" w:rsidRPr="00B065F3" w:rsidRDefault="00B065F3" w:rsidP="00C13671">
      <w:pPr>
        <w:pStyle w:val="NormalWeb"/>
        <w:numPr>
          <w:ilvl w:val="0"/>
          <w:numId w:val="68"/>
        </w:numPr>
        <w:spacing w:line="360" w:lineRule="auto"/>
        <w:jc w:val="both"/>
        <w:rPr>
          <w:rFonts w:asciiTheme="majorBidi" w:hAnsiTheme="majorBidi" w:cstheme="majorBidi"/>
          <w:lang w:val="fr-FR"/>
        </w:rPr>
      </w:pPr>
      <w:r w:rsidRPr="00B065F3">
        <w:rPr>
          <w:rFonts w:asciiTheme="majorBidi" w:hAnsiTheme="majorBidi" w:cstheme="majorBidi"/>
          <w:lang w:val="fr-FR"/>
        </w:rPr>
        <w:t>Vérifier la concordance entre les engagements pris et les crédits disponibles.</w:t>
      </w:r>
    </w:p>
    <w:p w14:paraId="0D9D9FCF" w14:textId="77777777" w:rsidR="00B065F3" w:rsidRPr="00B065F3" w:rsidRDefault="00B065F3" w:rsidP="00C13671">
      <w:pPr>
        <w:pStyle w:val="NormalWeb"/>
        <w:numPr>
          <w:ilvl w:val="0"/>
          <w:numId w:val="68"/>
        </w:numPr>
        <w:spacing w:line="360" w:lineRule="auto"/>
        <w:jc w:val="both"/>
        <w:rPr>
          <w:rFonts w:asciiTheme="majorBidi" w:hAnsiTheme="majorBidi" w:cstheme="majorBidi"/>
          <w:lang w:val="fr-FR"/>
        </w:rPr>
      </w:pPr>
      <w:r w:rsidRPr="00B065F3">
        <w:rPr>
          <w:rFonts w:asciiTheme="majorBidi" w:hAnsiTheme="majorBidi" w:cstheme="majorBidi"/>
          <w:lang w:val="fr-FR"/>
        </w:rPr>
        <w:t>Assurer une utilisation optimale des ressources financières.</w:t>
      </w:r>
    </w:p>
    <w:p w14:paraId="73087A06" w14:textId="77777777" w:rsidR="00B065F3" w:rsidRPr="00B065F3" w:rsidRDefault="00B065F3" w:rsidP="00C13671">
      <w:pPr>
        <w:pStyle w:val="NormalWeb"/>
        <w:numPr>
          <w:ilvl w:val="0"/>
          <w:numId w:val="68"/>
        </w:numPr>
        <w:spacing w:line="360" w:lineRule="auto"/>
        <w:jc w:val="both"/>
        <w:rPr>
          <w:rFonts w:asciiTheme="majorBidi" w:hAnsiTheme="majorBidi" w:cstheme="majorBidi"/>
          <w:lang w:val="fr-FR"/>
        </w:rPr>
      </w:pPr>
      <w:r w:rsidRPr="00B065F3">
        <w:rPr>
          <w:rFonts w:asciiTheme="majorBidi" w:hAnsiTheme="majorBidi" w:cstheme="majorBidi"/>
          <w:lang w:val="fr-FR"/>
        </w:rPr>
        <w:t>Suivre le rythme de consommation des budgets par activité.</w:t>
      </w:r>
    </w:p>
    <w:p w14:paraId="273E305E" w14:textId="46608A97" w:rsidR="00B065F3" w:rsidRPr="00B065F3" w:rsidRDefault="00B065F3" w:rsidP="00FF349B">
      <w:pPr>
        <w:pStyle w:val="NormalWeb"/>
        <w:spacing w:line="360" w:lineRule="auto"/>
        <w:jc w:val="both"/>
        <w:rPr>
          <w:rFonts w:asciiTheme="majorBidi" w:hAnsiTheme="majorBidi" w:cstheme="majorBidi"/>
          <w:lang w:val="fr-FR"/>
        </w:rPr>
      </w:pPr>
      <w:r w:rsidRPr="00B065F3">
        <w:rPr>
          <w:rFonts w:asciiTheme="majorBidi" w:hAnsiTheme="majorBidi" w:cstheme="majorBidi"/>
          <w:lang w:val="fr-FR"/>
        </w:rPr>
        <w:t xml:space="preserve">La Direction du Budget </w:t>
      </w:r>
      <w:r w:rsidR="00FF349B" w:rsidRPr="00FF349B">
        <w:rPr>
          <w:rFonts w:asciiTheme="majorBidi" w:hAnsiTheme="majorBidi"/>
        </w:rPr>
        <w:t>et Reporting</w:t>
      </w:r>
      <w:r w:rsidR="00FF349B" w:rsidRPr="00B065F3">
        <w:rPr>
          <w:rFonts w:asciiTheme="majorBidi" w:hAnsiTheme="majorBidi" w:cstheme="majorBidi"/>
          <w:lang w:val="fr-FR"/>
        </w:rPr>
        <w:t xml:space="preserve"> </w:t>
      </w:r>
      <w:r w:rsidRPr="00B065F3">
        <w:rPr>
          <w:rFonts w:asciiTheme="majorBidi" w:hAnsiTheme="majorBidi" w:cstheme="majorBidi"/>
          <w:lang w:val="fr-FR"/>
        </w:rPr>
        <w:t>effectue également des vérifications concernant :</w:t>
      </w:r>
    </w:p>
    <w:p w14:paraId="17D2471D" w14:textId="77777777" w:rsidR="00B065F3" w:rsidRPr="00B065F3" w:rsidRDefault="00B065F3" w:rsidP="00C13671">
      <w:pPr>
        <w:pStyle w:val="NormalWeb"/>
        <w:numPr>
          <w:ilvl w:val="0"/>
          <w:numId w:val="69"/>
        </w:numPr>
        <w:spacing w:line="360" w:lineRule="auto"/>
        <w:jc w:val="both"/>
        <w:rPr>
          <w:rFonts w:asciiTheme="majorBidi" w:hAnsiTheme="majorBidi" w:cstheme="majorBidi"/>
          <w:lang w:val="fr-FR"/>
        </w:rPr>
      </w:pPr>
      <w:r w:rsidRPr="00B065F3">
        <w:rPr>
          <w:rFonts w:asciiTheme="majorBidi" w:hAnsiTheme="majorBidi" w:cstheme="majorBidi"/>
          <w:lang w:val="fr-FR"/>
        </w:rPr>
        <w:t>La conformité des codes actions avec la nomenclature interne.</w:t>
      </w:r>
    </w:p>
    <w:p w14:paraId="78FEE984" w14:textId="77777777" w:rsidR="00B065F3" w:rsidRPr="00B065F3" w:rsidRDefault="00B065F3" w:rsidP="00C13671">
      <w:pPr>
        <w:pStyle w:val="NormalWeb"/>
        <w:numPr>
          <w:ilvl w:val="0"/>
          <w:numId w:val="69"/>
        </w:numPr>
        <w:spacing w:line="360" w:lineRule="auto"/>
        <w:jc w:val="both"/>
        <w:rPr>
          <w:rFonts w:asciiTheme="majorBidi" w:hAnsiTheme="majorBidi" w:cstheme="majorBidi"/>
          <w:lang w:val="fr-FR"/>
        </w:rPr>
      </w:pPr>
      <w:r w:rsidRPr="00B065F3">
        <w:rPr>
          <w:rFonts w:asciiTheme="majorBidi" w:hAnsiTheme="majorBidi" w:cstheme="majorBidi"/>
          <w:lang w:val="fr-FR"/>
        </w:rPr>
        <w:t>Le respect des plafonds budgétaires autorisés.</w:t>
      </w:r>
    </w:p>
    <w:p w14:paraId="66515FD1" w14:textId="77777777" w:rsidR="00B065F3" w:rsidRPr="00B065F3" w:rsidRDefault="00B065F3" w:rsidP="00C13671">
      <w:pPr>
        <w:pStyle w:val="NormalWeb"/>
        <w:numPr>
          <w:ilvl w:val="0"/>
          <w:numId w:val="69"/>
        </w:numPr>
        <w:spacing w:line="360" w:lineRule="auto"/>
        <w:jc w:val="both"/>
        <w:rPr>
          <w:rFonts w:asciiTheme="majorBidi" w:hAnsiTheme="majorBidi" w:cstheme="majorBidi"/>
          <w:lang w:val="fr-FR"/>
        </w:rPr>
      </w:pPr>
      <w:r w:rsidRPr="00B065F3">
        <w:rPr>
          <w:rFonts w:asciiTheme="majorBidi" w:hAnsiTheme="majorBidi" w:cstheme="majorBidi"/>
          <w:lang w:val="fr-FR"/>
        </w:rPr>
        <w:t>Le taux d’engagement en pourcentage du budget accordé.</w:t>
      </w:r>
    </w:p>
    <w:p w14:paraId="5AD5C04C" w14:textId="77777777" w:rsidR="00B065F3" w:rsidRPr="00B065F3" w:rsidRDefault="00B065F3" w:rsidP="00AE3850">
      <w:pPr>
        <w:pStyle w:val="NormalWeb"/>
        <w:spacing w:line="360" w:lineRule="auto"/>
        <w:jc w:val="both"/>
        <w:rPr>
          <w:rFonts w:asciiTheme="majorBidi" w:hAnsiTheme="majorBidi" w:cstheme="majorBidi"/>
          <w:b/>
          <w:bCs/>
          <w:lang w:val="fr-FR"/>
        </w:rPr>
      </w:pPr>
    </w:p>
    <w:p w14:paraId="553F089D" w14:textId="439220C8" w:rsidR="00B065F3" w:rsidRPr="008A6E45" w:rsidRDefault="00B065F3" w:rsidP="00C13671">
      <w:pPr>
        <w:pStyle w:val="Titre3"/>
        <w:numPr>
          <w:ilvl w:val="0"/>
          <w:numId w:val="112"/>
        </w:numPr>
        <w:spacing w:line="360" w:lineRule="auto"/>
        <w:jc w:val="both"/>
        <w:rPr>
          <w:rFonts w:asciiTheme="majorBidi" w:hAnsiTheme="majorBidi"/>
          <w:b/>
          <w:bCs/>
          <w:color w:val="auto"/>
          <w:sz w:val="24"/>
          <w:szCs w:val="24"/>
          <w:u w:val="single"/>
        </w:rPr>
      </w:pPr>
      <w:bookmarkStart w:id="161" w:name="_Toc199314465"/>
      <w:r w:rsidRPr="008A6E45">
        <w:rPr>
          <w:rFonts w:asciiTheme="majorBidi" w:hAnsiTheme="majorBidi"/>
          <w:b/>
          <w:bCs/>
          <w:color w:val="auto"/>
          <w:sz w:val="24"/>
          <w:szCs w:val="24"/>
          <w:u w:val="single"/>
        </w:rPr>
        <w:t>Contrôle des dépenses de fonctionnement</w:t>
      </w:r>
      <w:r w:rsidR="008A6E45" w:rsidRPr="008A6E45">
        <w:rPr>
          <w:rFonts w:asciiTheme="majorBidi" w:hAnsiTheme="majorBidi"/>
          <w:b/>
          <w:bCs/>
          <w:color w:val="auto"/>
          <w:sz w:val="24"/>
          <w:szCs w:val="24"/>
          <w:u w:val="single"/>
        </w:rPr>
        <w:t xml:space="preserve"> :</w:t>
      </w:r>
      <w:bookmarkEnd w:id="161"/>
    </w:p>
    <w:p w14:paraId="6E3A432D" w14:textId="77777777" w:rsidR="00B065F3" w:rsidRPr="00B065F3" w:rsidRDefault="00B065F3" w:rsidP="00AE3850">
      <w:pPr>
        <w:pStyle w:val="NormalWeb"/>
        <w:spacing w:line="360" w:lineRule="auto"/>
        <w:ind w:firstLine="360"/>
        <w:jc w:val="both"/>
        <w:rPr>
          <w:rFonts w:asciiTheme="majorBidi" w:hAnsiTheme="majorBidi" w:cstheme="majorBidi"/>
          <w:lang w:val="fr-FR"/>
        </w:rPr>
      </w:pPr>
      <w:r w:rsidRPr="00B065F3">
        <w:rPr>
          <w:rFonts w:asciiTheme="majorBidi" w:hAnsiTheme="majorBidi" w:cstheme="majorBidi"/>
          <w:lang w:val="fr-FR"/>
        </w:rPr>
        <w:t>La DFC assure un contrôle strict des dépenses effectuées par les différents services, avec une attention particulière portée sur :</w:t>
      </w:r>
    </w:p>
    <w:p w14:paraId="4C3014E0" w14:textId="77777777" w:rsidR="00B065F3" w:rsidRPr="00B065F3" w:rsidRDefault="00B065F3" w:rsidP="00C13671">
      <w:pPr>
        <w:pStyle w:val="NormalWeb"/>
        <w:numPr>
          <w:ilvl w:val="0"/>
          <w:numId w:val="70"/>
        </w:numPr>
        <w:spacing w:line="360" w:lineRule="auto"/>
        <w:jc w:val="both"/>
        <w:rPr>
          <w:rFonts w:asciiTheme="majorBidi" w:hAnsiTheme="majorBidi" w:cstheme="majorBidi"/>
          <w:lang w:val="fr-FR"/>
        </w:rPr>
      </w:pPr>
      <w:r w:rsidRPr="00B065F3">
        <w:rPr>
          <w:rFonts w:asciiTheme="majorBidi" w:hAnsiTheme="majorBidi" w:cstheme="majorBidi"/>
          <w:lang w:val="fr-FR"/>
        </w:rPr>
        <w:t>La régularité des dépenses : comparaison entre les pièces comptables et les justificatifs signés par les personnes habilitées.</w:t>
      </w:r>
    </w:p>
    <w:p w14:paraId="6B9DB535" w14:textId="77777777" w:rsidR="00B065F3" w:rsidRPr="00B065F3" w:rsidRDefault="00B065F3" w:rsidP="00C13671">
      <w:pPr>
        <w:pStyle w:val="NormalWeb"/>
        <w:numPr>
          <w:ilvl w:val="0"/>
          <w:numId w:val="70"/>
        </w:numPr>
        <w:spacing w:line="360" w:lineRule="auto"/>
        <w:jc w:val="both"/>
        <w:rPr>
          <w:rFonts w:asciiTheme="majorBidi" w:hAnsiTheme="majorBidi" w:cstheme="majorBidi"/>
          <w:lang w:val="fr-FR"/>
        </w:rPr>
      </w:pPr>
      <w:r w:rsidRPr="00B065F3">
        <w:rPr>
          <w:rFonts w:asciiTheme="majorBidi" w:hAnsiTheme="majorBidi" w:cstheme="majorBidi"/>
          <w:lang w:val="fr-FR"/>
        </w:rPr>
        <w:t>La conformité avec les autorisations budgétaires.</w:t>
      </w:r>
    </w:p>
    <w:p w14:paraId="1C3D984F" w14:textId="77777777" w:rsidR="00B065F3" w:rsidRPr="00B065F3" w:rsidRDefault="00B065F3" w:rsidP="00C13671">
      <w:pPr>
        <w:pStyle w:val="NormalWeb"/>
        <w:numPr>
          <w:ilvl w:val="0"/>
          <w:numId w:val="70"/>
        </w:numPr>
        <w:spacing w:line="360" w:lineRule="auto"/>
        <w:jc w:val="both"/>
        <w:rPr>
          <w:rFonts w:asciiTheme="majorBidi" w:hAnsiTheme="majorBidi" w:cstheme="majorBidi"/>
          <w:lang w:val="fr-FR"/>
        </w:rPr>
      </w:pPr>
      <w:r w:rsidRPr="00B065F3">
        <w:rPr>
          <w:rFonts w:asciiTheme="majorBidi" w:hAnsiTheme="majorBidi" w:cstheme="majorBidi"/>
          <w:lang w:val="fr-FR"/>
        </w:rPr>
        <w:lastRenderedPageBreak/>
        <w:t>L’imputation correcte des crédits sur les comptes appropriés.</w:t>
      </w:r>
    </w:p>
    <w:p w14:paraId="0208D177" w14:textId="77777777" w:rsidR="00B065F3" w:rsidRPr="00B065F3" w:rsidRDefault="00B065F3" w:rsidP="00C13671">
      <w:pPr>
        <w:pStyle w:val="NormalWeb"/>
        <w:numPr>
          <w:ilvl w:val="0"/>
          <w:numId w:val="70"/>
        </w:numPr>
        <w:spacing w:line="360" w:lineRule="auto"/>
        <w:jc w:val="both"/>
        <w:rPr>
          <w:rFonts w:asciiTheme="majorBidi" w:hAnsiTheme="majorBidi" w:cstheme="majorBidi"/>
          <w:lang w:val="fr-FR"/>
        </w:rPr>
      </w:pPr>
      <w:r w:rsidRPr="00B065F3">
        <w:rPr>
          <w:rFonts w:asciiTheme="majorBidi" w:hAnsiTheme="majorBidi" w:cstheme="majorBidi"/>
          <w:lang w:val="fr-FR"/>
        </w:rPr>
        <w:t>La réception des prestations ou biens en conformité avec les commandes.</w:t>
      </w:r>
    </w:p>
    <w:p w14:paraId="27586FA4" w14:textId="7A195EFB" w:rsidR="00B065F3" w:rsidRPr="008A6E45" w:rsidRDefault="00B065F3" w:rsidP="00C13671">
      <w:pPr>
        <w:pStyle w:val="Titre4"/>
        <w:numPr>
          <w:ilvl w:val="0"/>
          <w:numId w:val="115"/>
        </w:numPr>
        <w:spacing w:line="360" w:lineRule="auto"/>
        <w:jc w:val="both"/>
        <w:rPr>
          <w:rFonts w:asciiTheme="majorBidi" w:hAnsiTheme="majorBidi"/>
          <w:b/>
          <w:bCs/>
          <w:i w:val="0"/>
          <w:iCs w:val="0"/>
          <w:color w:val="auto"/>
          <w:u w:val="single"/>
        </w:rPr>
      </w:pPr>
      <w:bookmarkStart w:id="162" w:name="_Toc199314466"/>
      <w:r w:rsidRPr="008A6E45">
        <w:rPr>
          <w:rFonts w:asciiTheme="majorBidi" w:hAnsiTheme="majorBidi"/>
          <w:b/>
          <w:bCs/>
          <w:i w:val="0"/>
          <w:iCs w:val="0"/>
          <w:color w:val="auto"/>
          <w:u w:val="single"/>
        </w:rPr>
        <w:t>Rapports budgétaires périodiques</w:t>
      </w:r>
      <w:r w:rsidR="008A6E45" w:rsidRPr="008A6E45">
        <w:rPr>
          <w:rFonts w:asciiTheme="majorBidi" w:hAnsiTheme="majorBidi"/>
          <w:b/>
          <w:bCs/>
          <w:i w:val="0"/>
          <w:iCs w:val="0"/>
          <w:color w:val="auto"/>
          <w:u w:val="single"/>
        </w:rPr>
        <w:t xml:space="preserve"> :</w:t>
      </w:r>
      <w:bookmarkEnd w:id="162"/>
    </w:p>
    <w:p w14:paraId="06BF9CE8" w14:textId="77777777" w:rsidR="00B065F3" w:rsidRPr="00B065F3" w:rsidRDefault="00B065F3" w:rsidP="00AE3850">
      <w:pPr>
        <w:pStyle w:val="NormalWeb"/>
        <w:spacing w:line="360" w:lineRule="auto"/>
        <w:ind w:firstLine="360"/>
        <w:jc w:val="both"/>
        <w:rPr>
          <w:rFonts w:asciiTheme="majorBidi" w:hAnsiTheme="majorBidi" w:cstheme="majorBidi"/>
          <w:lang w:val="fr-FR"/>
        </w:rPr>
      </w:pPr>
      <w:r w:rsidRPr="00B065F3">
        <w:rPr>
          <w:rFonts w:asciiTheme="majorBidi" w:hAnsiTheme="majorBidi" w:cstheme="majorBidi"/>
          <w:lang w:val="fr-FR"/>
        </w:rPr>
        <w:t>À la fin de chaque mois, la DFC établit un état récapitulatif budgétaire à destination de la Direction Générale et de la commission budgétaire. Par ailleurs, chaque unité est tenue de transmettre aux dates clés du 30 juin, 30 septembre et 31 décembre un rapport détaillé des réalisations. En cas de report ou d’annulation de projet, un dossier justificatif complet est exigé.</w:t>
      </w:r>
    </w:p>
    <w:p w14:paraId="7FF32ED8" w14:textId="401F321D" w:rsidR="00B065F3" w:rsidRPr="008A6E45" w:rsidRDefault="00B065F3" w:rsidP="00C13671">
      <w:pPr>
        <w:pStyle w:val="Titre4"/>
        <w:numPr>
          <w:ilvl w:val="0"/>
          <w:numId w:val="115"/>
        </w:numPr>
        <w:spacing w:line="360" w:lineRule="auto"/>
        <w:jc w:val="both"/>
        <w:rPr>
          <w:rFonts w:asciiTheme="majorBidi" w:hAnsiTheme="majorBidi"/>
          <w:b/>
          <w:bCs/>
          <w:i w:val="0"/>
          <w:iCs w:val="0"/>
          <w:color w:val="auto"/>
          <w:u w:val="single"/>
        </w:rPr>
      </w:pPr>
      <w:bookmarkStart w:id="163" w:name="_Toc199314467"/>
      <w:r w:rsidRPr="008A6E45">
        <w:rPr>
          <w:rFonts w:asciiTheme="majorBidi" w:hAnsiTheme="majorBidi"/>
          <w:b/>
          <w:bCs/>
          <w:i w:val="0"/>
          <w:iCs w:val="0"/>
          <w:color w:val="auto"/>
          <w:u w:val="single"/>
        </w:rPr>
        <w:t>Analyse des écarts budgétaires</w:t>
      </w:r>
      <w:r w:rsidR="008A6E45" w:rsidRPr="008A6E45">
        <w:rPr>
          <w:rFonts w:asciiTheme="majorBidi" w:hAnsiTheme="majorBidi"/>
          <w:b/>
          <w:bCs/>
          <w:i w:val="0"/>
          <w:iCs w:val="0"/>
          <w:color w:val="auto"/>
          <w:u w:val="single"/>
        </w:rPr>
        <w:t xml:space="preserve"> :</w:t>
      </w:r>
      <w:bookmarkEnd w:id="163"/>
    </w:p>
    <w:p w14:paraId="302E2AE0" w14:textId="77777777" w:rsidR="008A6E45" w:rsidRDefault="00B065F3" w:rsidP="00AE3850">
      <w:pPr>
        <w:pStyle w:val="NormalWeb"/>
        <w:spacing w:line="360" w:lineRule="auto"/>
        <w:ind w:firstLine="360"/>
        <w:jc w:val="both"/>
        <w:rPr>
          <w:rFonts w:asciiTheme="majorBidi" w:hAnsiTheme="majorBidi" w:cstheme="majorBidi"/>
          <w:lang w:val="fr-FR"/>
        </w:rPr>
      </w:pPr>
      <w:r w:rsidRPr="00B065F3">
        <w:rPr>
          <w:rFonts w:asciiTheme="majorBidi" w:hAnsiTheme="majorBidi" w:cstheme="majorBidi"/>
          <w:lang w:val="fr-FR"/>
        </w:rPr>
        <w:t>L’analyse des écarts constitue un outil indispensable de pilotage budgétaire. Elle repose sur la formule suivante :</w:t>
      </w:r>
      <w:r w:rsidR="008A6E45">
        <w:rPr>
          <w:rFonts w:asciiTheme="majorBidi" w:hAnsiTheme="majorBidi" w:cstheme="majorBidi"/>
          <w:lang w:val="fr-FR"/>
        </w:rPr>
        <w:t xml:space="preserve"> </w:t>
      </w:r>
    </w:p>
    <w:p w14:paraId="0595122B" w14:textId="60D88A9B" w:rsidR="00B065F3" w:rsidRPr="00B065F3" w:rsidRDefault="00B065F3" w:rsidP="00AE3850">
      <w:pPr>
        <w:pStyle w:val="NormalWeb"/>
        <w:spacing w:line="360" w:lineRule="auto"/>
        <w:ind w:firstLine="360"/>
        <w:jc w:val="both"/>
        <w:rPr>
          <w:rFonts w:asciiTheme="majorBidi" w:hAnsiTheme="majorBidi" w:cstheme="majorBidi"/>
          <w:lang w:val="fr-FR"/>
        </w:rPr>
      </w:pPr>
      <w:r w:rsidRPr="00B065F3">
        <w:rPr>
          <w:rStyle w:val="mord"/>
          <w:rFonts w:asciiTheme="majorBidi" w:hAnsiTheme="majorBidi" w:cstheme="majorBidi"/>
          <w:lang w:val="fr-FR"/>
        </w:rPr>
        <w:t xml:space="preserve">Taux </w:t>
      </w:r>
      <w:r w:rsidRPr="00B065F3">
        <w:rPr>
          <w:rStyle w:val="mrel"/>
          <w:rFonts w:asciiTheme="majorBidi" w:eastAsiaTheme="majorEastAsia" w:hAnsiTheme="majorBidi" w:cstheme="majorBidi"/>
          <w:lang w:val="fr-FR"/>
        </w:rPr>
        <w:t xml:space="preserve">= </w:t>
      </w:r>
      <w:r w:rsidRPr="00B065F3">
        <w:rPr>
          <w:rStyle w:val="delimsizing"/>
          <w:rFonts w:asciiTheme="majorBidi" w:eastAsiaTheme="minorHAnsi" w:hAnsiTheme="majorBidi" w:cstheme="majorBidi"/>
          <w:lang w:val="fr-FR"/>
        </w:rPr>
        <w:t>(</w:t>
      </w:r>
      <w:r w:rsidRPr="00B065F3">
        <w:rPr>
          <w:rStyle w:val="mord"/>
          <w:rFonts w:asciiTheme="majorBidi" w:hAnsiTheme="majorBidi" w:cstheme="majorBidi"/>
          <w:lang w:val="fr-FR"/>
        </w:rPr>
        <w:t>Budget Accorde /</w:t>
      </w:r>
      <w:r w:rsidR="00C910E1" w:rsidRPr="00B065F3">
        <w:rPr>
          <w:rStyle w:val="mord"/>
          <w:rFonts w:asciiTheme="majorBidi" w:hAnsiTheme="majorBidi" w:cstheme="majorBidi"/>
          <w:lang w:val="fr-FR"/>
        </w:rPr>
        <w:t>Prévision) ×</w:t>
      </w:r>
      <w:r w:rsidRPr="00B065F3">
        <w:rPr>
          <w:rStyle w:val="mord"/>
          <w:rFonts w:asciiTheme="majorBidi" w:hAnsiTheme="majorBidi" w:cstheme="majorBidi"/>
          <w:lang w:val="fr-FR"/>
        </w:rPr>
        <w:t>100</w:t>
      </w:r>
    </w:p>
    <w:p w14:paraId="42E69C24" w14:textId="77777777" w:rsidR="00B065F3" w:rsidRPr="00B065F3" w:rsidRDefault="00B065F3" w:rsidP="00AE3850">
      <w:pPr>
        <w:pStyle w:val="NormalWeb"/>
        <w:spacing w:line="360" w:lineRule="auto"/>
        <w:jc w:val="both"/>
        <w:rPr>
          <w:rFonts w:asciiTheme="majorBidi" w:hAnsiTheme="majorBidi" w:cstheme="majorBidi"/>
          <w:lang w:val="fr-FR"/>
        </w:rPr>
      </w:pPr>
      <w:r w:rsidRPr="00B065F3">
        <w:rPr>
          <w:rFonts w:asciiTheme="majorBidi" w:hAnsiTheme="majorBidi" w:cstheme="majorBidi"/>
          <w:lang w:val="fr-FR"/>
        </w:rPr>
        <w:t>Les écarts identifiés se répartissent en deux catégories :</w:t>
      </w:r>
    </w:p>
    <w:p w14:paraId="2400E47A" w14:textId="77777777" w:rsidR="00B065F3" w:rsidRPr="00B065F3" w:rsidRDefault="00B065F3" w:rsidP="00C13671">
      <w:pPr>
        <w:pStyle w:val="NormalWeb"/>
        <w:numPr>
          <w:ilvl w:val="0"/>
          <w:numId w:val="71"/>
        </w:numPr>
        <w:spacing w:line="360" w:lineRule="auto"/>
        <w:jc w:val="both"/>
        <w:rPr>
          <w:rFonts w:asciiTheme="majorBidi" w:hAnsiTheme="majorBidi" w:cstheme="majorBidi"/>
          <w:lang w:val="fr-FR"/>
        </w:rPr>
      </w:pPr>
      <w:r w:rsidRPr="00B065F3">
        <w:rPr>
          <w:rFonts w:asciiTheme="majorBidi" w:hAnsiTheme="majorBidi" w:cstheme="majorBidi"/>
          <w:lang w:val="fr-FR"/>
        </w:rPr>
        <w:t>Écarts positifs (sous-consommation) : dus à des retards, des économies ou des reports.</w:t>
      </w:r>
    </w:p>
    <w:p w14:paraId="5149D62A" w14:textId="77777777" w:rsidR="00B065F3" w:rsidRPr="00B065F3" w:rsidRDefault="00B065F3" w:rsidP="00C13671">
      <w:pPr>
        <w:pStyle w:val="NormalWeb"/>
        <w:numPr>
          <w:ilvl w:val="0"/>
          <w:numId w:val="71"/>
        </w:numPr>
        <w:spacing w:line="360" w:lineRule="auto"/>
        <w:jc w:val="both"/>
        <w:rPr>
          <w:rFonts w:asciiTheme="majorBidi" w:hAnsiTheme="majorBidi" w:cstheme="majorBidi"/>
          <w:lang w:val="fr-FR"/>
        </w:rPr>
      </w:pPr>
      <w:r w:rsidRPr="00B065F3">
        <w:rPr>
          <w:rFonts w:asciiTheme="majorBidi" w:hAnsiTheme="majorBidi" w:cstheme="majorBidi"/>
          <w:lang w:val="fr-FR"/>
        </w:rPr>
        <w:t>Écarts négatifs (dépassements) : liés à des imprévus, erreurs d’imputation ou mauvaise planification.</w:t>
      </w:r>
    </w:p>
    <w:p w14:paraId="18A9EBCB" w14:textId="77777777" w:rsidR="00B065F3" w:rsidRPr="00953B54" w:rsidRDefault="00B065F3" w:rsidP="00AE3850">
      <w:pPr>
        <w:pStyle w:val="NormalWeb"/>
        <w:spacing w:line="360" w:lineRule="auto"/>
        <w:ind w:firstLine="360"/>
        <w:jc w:val="both"/>
        <w:rPr>
          <w:rFonts w:asciiTheme="majorBidi" w:hAnsiTheme="majorBidi" w:cstheme="majorBidi"/>
        </w:rPr>
      </w:pPr>
      <w:r w:rsidRPr="00B065F3">
        <w:rPr>
          <w:rFonts w:asciiTheme="majorBidi" w:hAnsiTheme="majorBidi" w:cstheme="majorBidi"/>
          <w:lang w:val="fr-FR"/>
        </w:rPr>
        <w:t xml:space="preserve">Ces écarts sont analysés en détail par rubrique et par centre de coût. </w:t>
      </w:r>
      <w:r w:rsidRPr="00953B54">
        <w:rPr>
          <w:rFonts w:asciiTheme="majorBidi" w:hAnsiTheme="majorBidi" w:cstheme="majorBidi"/>
        </w:rPr>
        <w:t>En cas de dépassement, la DFC procède comme suit :</w:t>
      </w:r>
    </w:p>
    <w:p w14:paraId="49C778C0" w14:textId="77777777" w:rsidR="00B065F3" w:rsidRPr="00953B54" w:rsidRDefault="00B065F3" w:rsidP="00C13671">
      <w:pPr>
        <w:pStyle w:val="NormalWeb"/>
        <w:numPr>
          <w:ilvl w:val="0"/>
          <w:numId w:val="72"/>
        </w:numPr>
        <w:spacing w:line="360" w:lineRule="auto"/>
        <w:jc w:val="both"/>
        <w:rPr>
          <w:rFonts w:asciiTheme="majorBidi" w:hAnsiTheme="majorBidi" w:cstheme="majorBidi"/>
        </w:rPr>
      </w:pPr>
      <w:r w:rsidRPr="00953B54">
        <w:rPr>
          <w:rFonts w:asciiTheme="majorBidi" w:hAnsiTheme="majorBidi" w:cstheme="majorBidi"/>
        </w:rPr>
        <w:t>Alerte le centre concerné.</w:t>
      </w:r>
    </w:p>
    <w:p w14:paraId="04704BD3" w14:textId="77777777" w:rsidR="00B065F3" w:rsidRPr="00953B54" w:rsidRDefault="00B065F3" w:rsidP="00C13671">
      <w:pPr>
        <w:pStyle w:val="NormalWeb"/>
        <w:numPr>
          <w:ilvl w:val="0"/>
          <w:numId w:val="72"/>
        </w:numPr>
        <w:spacing w:line="360" w:lineRule="auto"/>
        <w:jc w:val="both"/>
        <w:rPr>
          <w:rFonts w:asciiTheme="majorBidi" w:hAnsiTheme="majorBidi" w:cstheme="majorBidi"/>
        </w:rPr>
      </w:pPr>
      <w:r w:rsidRPr="00953B54">
        <w:rPr>
          <w:rFonts w:asciiTheme="majorBidi" w:hAnsiTheme="majorBidi" w:cstheme="majorBidi"/>
        </w:rPr>
        <w:t>Demande des explications écrites.</w:t>
      </w:r>
    </w:p>
    <w:p w14:paraId="63198A9C" w14:textId="77777777" w:rsidR="00B065F3" w:rsidRPr="00B065F3" w:rsidRDefault="00B065F3" w:rsidP="00C13671">
      <w:pPr>
        <w:pStyle w:val="NormalWeb"/>
        <w:numPr>
          <w:ilvl w:val="0"/>
          <w:numId w:val="72"/>
        </w:numPr>
        <w:spacing w:line="360" w:lineRule="auto"/>
        <w:jc w:val="both"/>
        <w:rPr>
          <w:rFonts w:asciiTheme="majorBidi" w:hAnsiTheme="majorBidi" w:cstheme="majorBidi"/>
          <w:lang w:val="fr-FR"/>
        </w:rPr>
      </w:pPr>
      <w:r w:rsidRPr="00B065F3">
        <w:rPr>
          <w:rFonts w:asciiTheme="majorBidi" w:hAnsiTheme="majorBidi" w:cstheme="majorBidi"/>
          <w:lang w:val="fr-FR"/>
        </w:rPr>
        <w:t>Propose des mesures correctives telles que des transferts ou virements de crédits, voire une révision des dotations.</w:t>
      </w:r>
    </w:p>
    <w:p w14:paraId="1D4E9194" w14:textId="77777777" w:rsidR="008A6E45" w:rsidRDefault="008A6E45" w:rsidP="00AE3850">
      <w:pPr>
        <w:spacing w:line="360" w:lineRule="auto"/>
        <w:jc w:val="both"/>
        <w:rPr>
          <w:rFonts w:asciiTheme="majorBidi" w:eastAsiaTheme="majorEastAsia" w:hAnsiTheme="majorBidi" w:cstheme="majorBidi"/>
          <w:b/>
          <w:bCs/>
          <w:u w:val="single"/>
        </w:rPr>
      </w:pPr>
      <w:r>
        <w:rPr>
          <w:rFonts w:asciiTheme="majorBidi" w:hAnsiTheme="majorBidi"/>
          <w:b/>
          <w:bCs/>
          <w:i/>
          <w:iCs/>
          <w:u w:val="single"/>
        </w:rPr>
        <w:br w:type="page"/>
      </w:r>
    </w:p>
    <w:p w14:paraId="65E75BE9" w14:textId="762FA80A" w:rsidR="00B065F3" w:rsidRPr="008A6E45" w:rsidRDefault="00B065F3" w:rsidP="00C13671">
      <w:pPr>
        <w:pStyle w:val="Titre4"/>
        <w:numPr>
          <w:ilvl w:val="0"/>
          <w:numId w:val="115"/>
        </w:numPr>
        <w:spacing w:line="360" w:lineRule="auto"/>
        <w:jc w:val="both"/>
        <w:rPr>
          <w:rFonts w:asciiTheme="majorBidi" w:hAnsiTheme="majorBidi"/>
          <w:b/>
          <w:bCs/>
          <w:i w:val="0"/>
          <w:iCs w:val="0"/>
          <w:u w:val="single"/>
        </w:rPr>
      </w:pPr>
      <w:bookmarkStart w:id="164" w:name="_Toc199314468"/>
      <w:r w:rsidRPr="008A6E45">
        <w:rPr>
          <w:rFonts w:asciiTheme="majorBidi" w:hAnsiTheme="majorBidi"/>
          <w:b/>
          <w:bCs/>
          <w:i w:val="0"/>
          <w:iCs w:val="0"/>
          <w:color w:val="auto"/>
          <w:u w:val="single"/>
        </w:rPr>
        <w:lastRenderedPageBreak/>
        <w:t>Présentation des données et taux d’engagement</w:t>
      </w:r>
      <w:r w:rsidR="008A6E45" w:rsidRPr="008A6E45">
        <w:rPr>
          <w:rFonts w:asciiTheme="majorBidi" w:hAnsiTheme="majorBidi"/>
          <w:b/>
          <w:bCs/>
          <w:i w:val="0"/>
          <w:iCs w:val="0"/>
          <w:color w:val="auto"/>
          <w:u w:val="single"/>
        </w:rPr>
        <w:t xml:space="preserve"> :</w:t>
      </w:r>
      <w:bookmarkEnd w:id="164"/>
    </w:p>
    <w:p w14:paraId="77BDE04B" w14:textId="77777777" w:rsidR="00B065F3" w:rsidRPr="00B065F3" w:rsidRDefault="00B065F3" w:rsidP="00AE3850">
      <w:pPr>
        <w:pStyle w:val="NormalWeb"/>
        <w:spacing w:line="360" w:lineRule="auto"/>
        <w:jc w:val="both"/>
        <w:rPr>
          <w:rFonts w:asciiTheme="majorBidi" w:hAnsiTheme="majorBidi" w:cstheme="majorBidi"/>
          <w:lang w:val="fr-FR"/>
        </w:rPr>
      </w:pPr>
      <w:r w:rsidRPr="00B065F3">
        <w:rPr>
          <w:rFonts w:asciiTheme="majorBidi" w:hAnsiTheme="majorBidi" w:cstheme="majorBidi"/>
          <w:lang w:val="fr-FR"/>
        </w:rPr>
        <w:t>Le suivi quantitatif est présenté sous forme de tableau croisant :</w:t>
      </w:r>
    </w:p>
    <w:p w14:paraId="4A52979B" w14:textId="77777777" w:rsidR="00B065F3" w:rsidRPr="00953B54" w:rsidRDefault="00B065F3" w:rsidP="00C13671">
      <w:pPr>
        <w:pStyle w:val="NormalWeb"/>
        <w:numPr>
          <w:ilvl w:val="0"/>
          <w:numId w:val="89"/>
        </w:numPr>
        <w:spacing w:line="360" w:lineRule="auto"/>
        <w:jc w:val="both"/>
        <w:rPr>
          <w:rFonts w:asciiTheme="majorBidi" w:hAnsiTheme="majorBidi" w:cstheme="majorBidi"/>
        </w:rPr>
      </w:pPr>
      <w:r w:rsidRPr="00953B54">
        <w:rPr>
          <w:rFonts w:asciiTheme="majorBidi" w:hAnsiTheme="majorBidi" w:cstheme="majorBidi"/>
        </w:rPr>
        <w:t>Le budget prévisionnel</w:t>
      </w:r>
    </w:p>
    <w:p w14:paraId="5D8EE09C" w14:textId="77777777" w:rsidR="00B065F3" w:rsidRPr="00953B54" w:rsidRDefault="00B065F3" w:rsidP="00C13671">
      <w:pPr>
        <w:pStyle w:val="NormalWeb"/>
        <w:numPr>
          <w:ilvl w:val="0"/>
          <w:numId w:val="89"/>
        </w:numPr>
        <w:spacing w:line="360" w:lineRule="auto"/>
        <w:jc w:val="both"/>
        <w:rPr>
          <w:rFonts w:asciiTheme="majorBidi" w:hAnsiTheme="majorBidi" w:cstheme="majorBidi"/>
        </w:rPr>
      </w:pPr>
      <w:r w:rsidRPr="00953B54">
        <w:rPr>
          <w:rFonts w:asciiTheme="majorBidi" w:hAnsiTheme="majorBidi" w:cstheme="majorBidi"/>
        </w:rPr>
        <w:t>Le budget accordé</w:t>
      </w:r>
    </w:p>
    <w:p w14:paraId="4D4BAF91" w14:textId="77777777" w:rsidR="00B065F3" w:rsidRPr="00953B54" w:rsidRDefault="00B065F3" w:rsidP="00C13671">
      <w:pPr>
        <w:pStyle w:val="NormalWeb"/>
        <w:numPr>
          <w:ilvl w:val="0"/>
          <w:numId w:val="89"/>
        </w:numPr>
        <w:spacing w:line="360" w:lineRule="auto"/>
        <w:jc w:val="both"/>
        <w:rPr>
          <w:rFonts w:asciiTheme="majorBidi" w:hAnsiTheme="majorBidi" w:cstheme="majorBidi"/>
        </w:rPr>
      </w:pPr>
      <w:r w:rsidRPr="00953B54">
        <w:rPr>
          <w:rFonts w:asciiTheme="majorBidi" w:hAnsiTheme="majorBidi" w:cstheme="majorBidi"/>
        </w:rPr>
        <w:t>Les montants engagés par trimestre</w:t>
      </w:r>
    </w:p>
    <w:p w14:paraId="6B9B20EB" w14:textId="77777777" w:rsidR="00B065F3" w:rsidRPr="00B065F3" w:rsidRDefault="00B065F3" w:rsidP="00AE3850">
      <w:pPr>
        <w:pStyle w:val="NormalWeb"/>
        <w:spacing w:line="360" w:lineRule="auto"/>
        <w:jc w:val="both"/>
        <w:rPr>
          <w:rFonts w:asciiTheme="majorBidi" w:hAnsiTheme="majorBidi" w:cstheme="majorBidi"/>
          <w:lang w:val="fr-FR"/>
        </w:rPr>
      </w:pPr>
      <w:r w:rsidRPr="00B065F3">
        <w:rPr>
          <w:rFonts w:asciiTheme="majorBidi" w:hAnsiTheme="majorBidi" w:cstheme="majorBidi"/>
          <w:lang w:val="fr-FR"/>
        </w:rPr>
        <w:t>Le taux d’engagement est calculé comme suit : Taux d’engagement = (Montant engagé / Budget accordé) × 100</w:t>
      </w:r>
    </w:p>
    <w:p w14:paraId="394AD002" w14:textId="77777777" w:rsidR="00B065F3" w:rsidRPr="00953B54" w:rsidRDefault="00B065F3" w:rsidP="00AE3850">
      <w:pPr>
        <w:pStyle w:val="NormalWeb"/>
        <w:spacing w:line="360" w:lineRule="auto"/>
        <w:jc w:val="both"/>
        <w:rPr>
          <w:rFonts w:asciiTheme="majorBidi" w:hAnsiTheme="majorBidi" w:cstheme="majorBidi"/>
        </w:rPr>
      </w:pPr>
      <w:r w:rsidRPr="00953B54">
        <w:rPr>
          <w:rFonts w:asciiTheme="majorBidi" w:hAnsiTheme="majorBidi" w:cstheme="majorBidi"/>
        </w:rPr>
        <w:t>Cette présentation permet :</w:t>
      </w:r>
    </w:p>
    <w:p w14:paraId="061AA14A" w14:textId="77777777" w:rsidR="00B065F3" w:rsidRPr="00B065F3" w:rsidRDefault="00B065F3" w:rsidP="00C13671">
      <w:pPr>
        <w:pStyle w:val="NormalWeb"/>
        <w:numPr>
          <w:ilvl w:val="0"/>
          <w:numId w:val="73"/>
        </w:numPr>
        <w:spacing w:line="360" w:lineRule="auto"/>
        <w:jc w:val="both"/>
        <w:rPr>
          <w:rFonts w:asciiTheme="majorBidi" w:hAnsiTheme="majorBidi" w:cstheme="majorBidi"/>
          <w:lang w:val="fr-FR"/>
        </w:rPr>
      </w:pPr>
      <w:r w:rsidRPr="00B065F3">
        <w:rPr>
          <w:rFonts w:asciiTheme="majorBidi" w:hAnsiTheme="majorBidi" w:cstheme="majorBidi"/>
          <w:lang w:val="fr-FR"/>
        </w:rPr>
        <w:t>D’identifier rapidement les écarts importants entre prévisions et engagements.</w:t>
      </w:r>
    </w:p>
    <w:p w14:paraId="46AA4F13" w14:textId="77777777" w:rsidR="00B065F3" w:rsidRPr="00B065F3" w:rsidRDefault="00B065F3" w:rsidP="00C13671">
      <w:pPr>
        <w:pStyle w:val="NormalWeb"/>
        <w:numPr>
          <w:ilvl w:val="0"/>
          <w:numId w:val="73"/>
        </w:numPr>
        <w:spacing w:line="360" w:lineRule="auto"/>
        <w:jc w:val="both"/>
        <w:rPr>
          <w:rFonts w:asciiTheme="majorBidi" w:hAnsiTheme="majorBidi" w:cstheme="majorBidi"/>
          <w:lang w:val="fr-FR"/>
        </w:rPr>
      </w:pPr>
      <w:r w:rsidRPr="00B065F3">
        <w:rPr>
          <w:rFonts w:asciiTheme="majorBidi" w:hAnsiTheme="majorBidi" w:cstheme="majorBidi"/>
          <w:lang w:val="fr-FR"/>
        </w:rPr>
        <w:t>De détecter les risques de dépassement ou les marges de sous-consommation.</w:t>
      </w:r>
    </w:p>
    <w:p w14:paraId="0EA878C7" w14:textId="77777777" w:rsidR="00B065F3" w:rsidRPr="00B065F3" w:rsidRDefault="00B065F3" w:rsidP="00C13671">
      <w:pPr>
        <w:pStyle w:val="NormalWeb"/>
        <w:numPr>
          <w:ilvl w:val="0"/>
          <w:numId w:val="73"/>
        </w:numPr>
        <w:spacing w:line="360" w:lineRule="auto"/>
        <w:jc w:val="both"/>
        <w:rPr>
          <w:rFonts w:asciiTheme="majorBidi" w:hAnsiTheme="majorBidi" w:cstheme="majorBidi"/>
          <w:lang w:val="fr-FR"/>
        </w:rPr>
      </w:pPr>
      <w:r w:rsidRPr="00B065F3">
        <w:rPr>
          <w:rFonts w:asciiTheme="majorBidi" w:hAnsiTheme="majorBidi" w:cstheme="majorBidi"/>
          <w:lang w:val="fr-FR"/>
        </w:rPr>
        <w:t>De planifier les besoins d’ajustement ou de redéploiement budgétaire.</w:t>
      </w:r>
    </w:p>
    <w:p w14:paraId="702E1AD8" w14:textId="77777777" w:rsidR="00B065F3" w:rsidRPr="00B065F3" w:rsidRDefault="00B065F3" w:rsidP="00AE3850">
      <w:pPr>
        <w:pStyle w:val="NormalWeb"/>
        <w:spacing w:line="360" w:lineRule="auto"/>
        <w:jc w:val="both"/>
        <w:rPr>
          <w:rFonts w:asciiTheme="majorBidi" w:hAnsiTheme="majorBidi" w:cstheme="majorBidi"/>
          <w:lang w:val="fr-FR"/>
        </w:rPr>
      </w:pPr>
      <w:r w:rsidRPr="00B065F3">
        <w:rPr>
          <w:rFonts w:asciiTheme="majorBidi" w:hAnsiTheme="majorBidi" w:cstheme="majorBidi"/>
          <w:b/>
          <w:bCs/>
          <w:lang w:val="fr-FR"/>
        </w:rPr>
        <w:t>Exemple d’élaboration, d’exécution et de contrôle d’un budget de fonctionnement – DOT de Beni Messous (Exercice 2023)</w:t>
      </w:r>
    </w:p>
    <w:p w14:paraId="33C8C548" w14:textId="77777777" w:rsidR="00B065F3" w:rsidRPr="00B065F3" w:rsidRDefault="00B065F3" w:rsidP="00AE3850">
      <w:pPr>
        <w:pStyle w:val="NormalWeb"/>
        <w:spacing w:line="360" w:lineRule="auto"/>
        <w:ind w:firstLine="360"/>
        <w:jc w:val="both"/>
        <w:rPr>
          <w:rFonts w:asciiTheme="majorBidi" w:hAnsiTheme="majorBidi" w:cstheme="majorBidi"/>
          <w:b/>
          <w:bCs/>
          <w:lang w:val="fr-FR"/>
        </w:rPr>
      </w:pPr>
      <w:r w:rsidRPr="00B065F3">
        <w:rPr>
          <w:rFonts w:asciiTheme="majorBidi" w:hAnsiTheme="majorBidi" w:cstheme="majorBidi"/>
          <w:lang w:val="fr-FR"/>
        </w:rPr>
        <w:t>Afin d’illustrer concrètement notre analyse, nous présentons dans cette section les étapes d’élaboration, d’exécution et de contrôle du budget de fonctionnement de la DOT de Beni Messous durant l’exercice 2023. Cette étude repose sur l’analyse par nature de charges à travers différents tableaux budgétaires, et met en lumière les écarts entre les prévisions et les réalisations, ainsi que les réaménagements internes opérés. L’objectif est de comprendre comment les ressources ont été mobilisées et ajustées, et d’identifier les leviers d’amélioration dans la gestion budgétaire locale.</w:t>
      </w:r>
      <w:r w:rsidRPr="00B065F3">
        <w:rPr>
          <w:rFonts w:asciiTheme="majorBidi" w:hAnsiTheme="majorBidi" w:cstheme="majorBidi"/>
          <w:b/>
          <w:bCs/>
          <w:lang w:val="fr-FR"/>
        </w:rPr>
        <w:t xml:space="preserve"> </w:t>
      </w:r>
    </w:p>
    <w:p w14:paraId="38453BE4" w14:textId="77777777" w:rsidR="00B065F3" w:rsidRDefault="00B065F3" w:rsidP="00AE3850">
      <w:pPr>
        <w:spacing w:line="360" w:lineRule="auto"/>
        <w:jc w:val="both"/>
        <w:rPr>
          <w:rFonts w:ascii="Times New Roman" w:eastAsia="Times New Roman" w:hAnsi="Times New Roman" w:cs="Times New Roman"/>
          <w:b/>
          <w:bCs/>
          <w:lang w:eastAsia="fr-FR"/>
        </w:rPr>
      </w:pPr>
      <w:r>
        <w:br w:type="page"/>
      </w:r>
    </w:p>
    <w:p w14:paraId="53176069" w14:textId="5934D78E" w:rsidR="00B065F3" w:rsidRPr="008A6E45" w:rsidRDefault="00B065F3" w:rsidP="00C13671">
      <w:pPr>
        <w:pStyle w:val="Titre4"/>
        <w:numPr>
          <w:ilvl w:val="0"/>
          <w:numId w:val="115"/>
        </w:numPr>
        <w:spacing w:line="360" w:lineRule="auto"/>
        <w:jc w:val="both"/>
        <w:rPr>
          <w:rFonts w:asciiTheme="majorBidi" w:hAnsiTheme="majorBidi"/>
          <w:b/>
          <w:bCs/>
          <w:i w:val="0"/>
          <w:iCs w:val="0"/>
          <w:color w:val="auto"/>
          <w:u w:val="single"/>
        </w:rPr>
      </w:pPr>
      <w:bookmarkStart w:id="165" w:name="_Toc199314469"/>
      <w:r w:rsidRPr="008A6E45">
        <w:rPr>
          <w:rFonts w:asciiTheme="majorBidi" w:hAnsiTheme="majorBidi"/>
          <w:b/>
          <w:bCs/>
          <w:i w:val="0"/>
          <w:iCs w:val="0"/>
          <w:color w:val="auto"/>
          <w:u w:val="single"/>
        </w:rPr>
        <w:lastRenderedPageBreak/>
        <w:t>Présentation des tableaux de charges</w:t>
      </w:r>
      <w:r w:rsidR="008A6E45" w:rsidRPr="008A6E45">
        <w:rPr>
          <w:rFonts w:asciiTheme="majorBidi" w:hAnsiTheme="majorBidi"/>
          <w:b/>
          <w:bCs/>
          <w:i w:val="0"/>
          <w:iCs w:val="0"/>
          <w:color w:val="auto"/>
          <w:u w:val="single"/>
        </w:rPr>
        <w:t xml:space="preserve"> :</w:t>
      </w:r>
      <w:bookmarkEnd w:id="165"/>
    </w:p>
    <w:p w14:paraId="499035CF" w14:textId="1C8987BE" w:rsidR="00820E1E" w:rsidRDefault="00B065F3" w:rsidP="00470578">
      <w:pPr>
        <w:pStyle w:val="Lgende"/>
        <w:keepNext/>
        <w:spacing w:line="360" w:lineRule="auto"/>
        <w:jc w:val="both"/>
        <w:rPr>
          <w:rFonts w:asciiTheme="majorBidi" w:hAnsiTheme="majorBidi" w:cstheme="majorBidi"/>
          <w:b/>
          <w:bCs/>
          <w:i w:val="0"/>
          <w:iCs w:val="0"/>
          <w:color w:val="auto"/>
          <w:sz w:val="24"/>
          <w:szCs w:val="24"/>
        </w:rPr>
      </w:pPr>
      <w:bookmarkStart w:id="166" w:name="_Toc199314990"/>
      <w:r w:rsidRPr="00D3616E">
        <w:rPr>
          <w:rFonts w:asciiTheme="majorBidi" w:hAnsiTheme="majorBidi" w:cstheme="majorBidi"/>
          <w:b/>
          <w:bCs/>
          <w:i w:val="0"/>
          <w:iCs w:val="0"/>
          <w:color w:val="auto"/>
          <w:sz w:val="24"/>
          <w:szCs w:val="24"/>
        </w:rPr>
        <w:t xml:space="preserve">Tableau N°2- </w:t>
      </w:r>
      <w:r w:rsidRPr="00D3616E">
        <w:rPr>
          <w:rFonts w:asciiTheme="majorBidi" w:hAnsiTheme="majorBidi" w:cstheme="majorBidi"/>
          <w:b/>
          <w:bCs/>
          <w:i w:val="0"/>
          <w:iCs w:val="0"/>
          <w:color w:val="auto"/>
          <w:sz w:val="24"/>
          <w:szCs w:val="24"/>
        </w:rPr>
        <w:fldChar w:fldCharType="begin"/>
      </w:r>
      <w:r w:rsidRPr="00D3616E">
        <w:rPr>
          <w:rFonts w:asciiTheme="majorBidi" w:hAnsiTheme="majorBidi" w:cstheme="majorBidi"/>
          <w:b/>
          <w:bCs/>
          <w:i w:val="0"/>
          <w:iCs w:val="0"/>
          <w:color w:val="auto"/>
          <w:sz w:val="24"/>
          <w:szCs w:val="24"/>
        </w:rPr>
        <w:instrText xml:space="preserve"> SEQ Tableau_N°2- \* ARABIC </w:instrText>
      </w:r>
      <w:r w:rsidRPr="00D3616E">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2</w:t>
      </w:r>
      <w:r w:rsidRPr="00D3616E">
        <w:rPr>
          <w:rFonts w:asciiTheme="majorBidi" w:hAnsiTheme="majorBidi" w:cstheme="majorBidi"/>
          <w:b/>
          <w:bCs/>
          <w:i w:val="0"/>
          <w:iCs w:val="0"/>
          <w:color w:val="auto"/>
          <w:sz w:val="24"/>
          <w:szCs w:val="24"/>
        </w:rPr>
        <w:fldChar w:fldCharType="end"/>
      </w:r>
      <w:r w:rsidRPr="00D3616E">
        <w:rPr>
          <w:rFonts w:asciiTheme="majorBidi" w:hAnsiTheme="majorBidi" w:cstheme="majorBidi"/>
          <w:b/>
          <w:bCs/>
          <w:i w:val="0"/>
          <w:iCs w:val="0"/>
          <w:color w:val="auto"/>
          <w:sz w:val="24"/>
          <w:szCs w:val="24"/>
        </w:rPr>
        <w:t xml:space="preserve">: Comparaison entre les prévisions et le budget accordé Exercice 2023 (En </w:t>
      </w:r>
      <w:r w:rsidR="00470578">
        <w:rPr>
          <w:rFonts w:asciiTheme="majorBidi" w:hAnsiTheme="majorBidi" w:cstheme="majorBidi"/>
          <w:b/>
          <w:bCs/>
          <w:i w:val="0"/>
          <w:iCs w:val="0"/>
          <w:color w:val="auto"/>
          <w:sz w:val="24"/>
          <w:szCs w:val="24"/>
        </w:rPr>
        <w:t>KDA</w:t>
      </w:r>
      <w:r w:rsidRPr="00D3616E">
        <w:rPr>
          <w:rFonts w:asciiTheme="majorBidi" w:hAnsiTheme="majorBidi" w:cstheme="majorBidi"/>
          <w:b/>
          <w:bCs/>
          <w:i w:val="0"/>
          <w:iCs w:val="0"/>
          <w:color w:val="auto"/>
          <w:sz w:val="24"/>
          <w:szCs w:val="24"/>
        </w:rPr>
        <w:t>)</w:t>
      </w:r>
      <w:bookmarkEnd w:id="166"/>
    </w:p>
    <w:tbl>
      <w:tblPr>
        <w:tblStyle w:val="Grilledutableau"/>
        <w:tblW w:w="0" w:type="auto"/>
        <w:tblLook w:val="04A0" w:firstRow="1" w:lastRow="0" w:firstColumn="1" w:lastColumn="0" w:noHBand="0" w:noVBand="1"/>
      </w:tblPr>
      <w:tblGrid>
        <w:gridCol w:w="1842"/>
        <w:gridCol w:w="1842"/>
        <w:gridCol w:w="1842"/>
        <w:gridCol w:w="1843"/>
        <w:gridCol w:w="1843"/>
      </w:tblGrid>
      <w:tr w:rsidR="00C52DFB" w:rsidRPr="00160E6C" w14:paraId="66FACABC" w14:textId="77777777" w:rsidTr="00873E6F">
        <w:tc>
          <w:tcPr>
            <w:tcW w:w="1842" w:type="dxa"/>
            <w:shd w:val="clear" w:color="auto" w:fill="70A9E0" w:themeFill="text2" w:themeFillTint="66"/>
          </w:tcPr>
          <w:p w14:paraId="272B90D5"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Code</w:t>
            </w:r>
          </w:p>
        </w:tc>
        <w:tc>
          <w:tcPr>
            <w:tcW w:w="1842" w:type="dxa"/>
            <w:shd w:val="clear" w:color="auto" w:fill="70A9E0" w:themeFill="text2" w:themeFillTint="66"/>
          </w:tcPr>
          <w:p w14:paraId="4D5FF6A6"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Désignation</w:t>
            </w:r>
          </w:p>
        </w:tc>
        <w:tc>
          <w:tcPr>
            <w:tcW w:w="1842" w:type="dxa"/>
            <w:shd w:val="clear" w:color="auto" w:fill="70A9E0" w:themeFill="text2" w:themeFillTint="66"/>
          </w:tcPr>
          <w:p w14:paraId="75860BC7"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Prévision 2023</w:t>
            </w:r>
          </w:p>
        </w:tc>
        <w:tc>
          <w:tcPr>
            <w:tcW w:w="1843" w:type="dxa"/>
            <w:shd w:val="clear" w:color="auto" w:fill="70A9E0" w:themeFill="text2" w:themeFillTint="66"/>
          </w:tcPr>
          <w:p w14:paraId="327ECA74"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Budget Accordé 2023</w:t>
            </w:r>
          </w:p>
        </w:tc>
        <w:tc>
          <w:tcPr>
            <w:tcW w:w="1843" w:type="dxa"/>
            <w:shd w:val="clear" w:color="auto" w:fill="70A9E0" w:themeFill="text2" w:themeFillTint="66"/>
          </w:tcPr>
          <w:p w14:paraId="4529930A"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Taux</w:t>
            </w:r>
          </w:p>
        </w:tc>
      </w:tr>
      <w:tr w:rsidR="00C52DFB" w:rsidRPr="00160E6C" w14:paraId="76CAD8CB" w14:textId="77777777" w:rsidTr="00873E6F">
        <w:tc>
          <w:tcPr>
            <w:tcW w:w="1842" w:type="dxa"/>
          </w:tcPr>
          <w:p w14:paraId="3E4081E9"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i/>
                <w:iCs/>
                <w:sz w:val="24"/>
                <w:szCs w:val="24"/>
                <w:lang w:eastAsia="fr-FR"/>
              </w:rPr>
              <w:t>Compte 60</w:t>
            </w:r>
          </w:p>
        </w:tc>
        <w:tc>
          <w:tcPr>
            <w:tcW w:w="1842" w:type="dxa"/>
          </w:tcPr>
          <w:p w14:paraId="4BC4ABE6" w14:textId="77777777" w:rsidR="00C52DFB" w:rsidRPr="00C52DFB" w:rsidRDefault="00C52DFB" w:rsidP="00873E6F">
            <w:pPr>
              <w:spacing w:line="360" w:lineRule="auto"/>
              <w:jc w:val="both"/>
              <w:rPr>
                <w:rFonts w:asciiTheme="majorBidi" w:eastAsia="Times New Roman" w:hAnsiTheme="majorBidi" w:cstheme="majorBidi"/>
                <w:sz w:val="24"/>
                <w:szCs w:val="24"/>
                <w:lang w:eastAsia="fr-FR"/>
              </w:rPr>
            </w:pPr>
            <w:r w:rsidRPr="00C52DFB">
              <w:rPr>
                <w:rFonts w:asciiTheme="majorBidi" w:eastAsia="Times New Roman" w:hAnsiTheme="majorBidi" w:cstheme="majorBidi"/>
                <w:i/>
                <w:iCs/>
                <w:sz w:val="24"/>
                <w:szCs w:val="24"/>
                <w:lang w:eastAsia="fr-FR"/>
              </w:rPr>
              <w:t>Achats Consommés</w:t>
            </w:r>
          </w:p>
        </w:tc>
        <w:tc>
          <w:tcPr>
            <w:tcW w:w="1842" w:type="dxa"/>
          </w:tcPr>
          <w:p w14:paraId="530371BE"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146 200</w:t>
            </w:r>
          </w:p>
        </w:tc>
        <w:tc>
          <w:tcPr>
            <w:tcW w:w="1843" w:type="dxa"/>
          </w:tcPr>
          <w:p w14:paraId="462F6209"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126 200</w:t>
            </w:r>
          </w:p>
        </w:tc>
        <w:tc>
          <w:tcPr>
            <w:tcW w:w="1843" w:type="dxa"/>
          </w:tcPr>
          <w:p w14:paraId="22D0CF35"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p>
          <w:p w14:paraId="3FA9F939"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86.3%</w:t>
            </w:r>
          </w:p>
        </w:tc>
      </w:tr>
      <w:tr w:rsidR="00C52DFB" w:rsidRPr="00160E6C" w14:paraId="751978A8" w14:textId="77777777" w:rsidTr="00873E6F">
        <w:tc>
          <w:tcPr>
            <w:tcW w:w="1842" w:type="dxa"/>
          </w:tcPr>
          <w:p w14:paraId="5EEBE2D3"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Compte 61-62</w:t>
            </w:r>
          </w:p>
        </w:tc>
        <w:tc>
          <w:tcPr>
            <w:tcW w:w="1842" w:type="dxa"/>
          </w:tcPr>
          <w:p w14:paraId="1A6994E4" w14:textId="77777777" w:rsidR="00C52DFB" w:rsidRPr="00C52DFB" w:rsidRDefault="00C52DFB" w:rsidP="00873E6F">
            <w:pPr>
              <w:spacing w:line="360" w:lineRule="auto"/>
              <w:jc w:val="both"/>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Services Extérieurs et Autre Services</w:t>
            </w:r>
          </w:p>
        </w:tc>
        <w:tc>
          <w:tcPr>
            <w:tcW w:w="1842" w:type="dxa"/>
          </w:tcPr>
          <w:p w14:paraId="5F81B94E"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353 000</w:t>
            </w:r>
          </w:p>
        </w:tc>
        <w:tc>
          <w:tcPr>
            <w:tcW w:w="1843" w:type="dxa"/>
          </w:tcPr>
          <w:p w14:paraId="0EAED44F"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577 800</w:t>
            </w:r>
          </w:p>
        </w:tc>
        <w:tc>
          <w:tcPr>
            <w:tcW w:w="1843" w:type="dxa"/>
          </w:tcPr>
          <w:p w14:paraId="64138E8C"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p>
          <w:p w14:paraId="5D50855F"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163.7%</w:t>
            </w:r>
          </w:p>
        </w:tc>
      </w:tr>
      <w:tr w:rsidR="00C52DFB" w:rsidRPr="00160E6C" w14:paraId="6D16914C" w14:textId="77777777" w:rsidTr="00873E6F">
        <w:tc>
          <w:tcPr>
            <w:tcW w:w="1842" w:type="dxa"/>
          </w:tcPr>
          <w:p w14:paraId="6D36BB7E"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Compte 63</w:t>
            </w:r>
          </w:p>
        </w:tc>
        <w:tc>
          <w:tcPr>
            <w:tcW w:w="1842" w:type="dxa"/>
          </w:tcPr>
          <w:p w14:paraId="67C3B15B" w14:textId="77777777" w:rsidR="00C52DFB" w:rsidRPr="00C52DFB" w:rsidRDefault="00C52DFB" w:rsidP="00873E6F">
            <w:pPr>
              <w:spacing w:line="360" w:lineRule="auto"/>
              <w:jc w:val="both"/>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Charges du Personnel</w:t>
            </w:r>
          </w:p>
        </w:tc>
        <w:tc>
          <w:tcPr>
            <w:tcW w:w="1842" w:type="dxa"/>
          </w:tcPr>
          <w:p w14:paraId="5977CF24"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1 500 000</w:t>
            </w:r>
          </w:p>
        </w:tc>
        <w:tc>
          <w:tcPr>
            <w:tcW w:w="1843" w:type="dxa"/>
          </w:tcPr>
          <w:p w14:paraId="6452852C"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1 649 160</w:t>
            </w:r>
          </w:p>
        </w:tc>
        <w:tc>
          <w:tcPr>
            <w:tcW w:w="1843" w:type="dxa"/>
          </w:tcPr>
          <w:p w14:paraId="4CCBD4CE"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p>
          <w:p w14:paraId="42AFCB49"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109.9%</w:t>
            </w:r>
          </w:p>
        </w:tc>
      </w:tr>
      <w:tr w:rsidR="00C52DFB" w:rsidRPr="00160E6C" w14:paraId="5C2DEAA5" w14:textId="77777777" w:rsidTr="00873E6F">
        <w:tc>
          <w:tcPr>
            <w:tcW w:w="1842" w:type="dxa"/>
          </w:tcPr>
          <w:p w14:paraId="15D11263"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Compte 64</w:t>
            </w:r>
          </w:p>
        </w:tc>
        <w:tc>
          <w:tcPr>
            <w:tcW w:w="1842" w:type="dxa"/>
          </w:tcPr>
          <w:p w14:paraId="10BB2A86" w14:textId="77777777" w:rsidR="00C52DFB" w:rsidRPr="00C52DFB" w:rsidRDefault="00C52DFB" w:rsidP="00873E6F">
            <w:pPr>
              <w:spacing w:line="360" w:lineRule="auto"/>
              <w:jc w:val="both"/>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Impôts, Taxes et Versement Assimilées</w:t>
            </w:r>
          </w:p>
        </w:tc>
        <w:tc>
          <w:tcPr>
            <w:tcW w:w="1842" w:type="dxa"/>
          </w:tcPr>
          <w:p w14:paraId="775AFFE3"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p>
          <w:p w14:paraId="7917A3EB"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1500</w:t>
            </w:r>
          </w:p>
        </w:tc>
        <w:tc>
          <w:tcPr>
            <w:tcW w:w="1843" w:type="dxa"/>
          </w:tcPr>
          <w:p w14:paraId="1AF86356"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p>
          <w:p w14:paraId="4607A28C"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1500</w:t>
            </w:r>
          </w:p>
          <w:p w14:paraId="2DF3B990"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p>
        </w:tc>
        <w:tc>
          <w:tcPr>
            <w:tcW w:w="1843" w:type="dxa"/>
          </w:tcPr>
          <w:p w14:paraId="7A22A7F2"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p>
          <w:p w14:paraId="1E91D891"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100%</w:t>
            </w:r>
          </w:p>
        </w:tc>
      </w:tr>
      <w:tr w:rsidR="00C52DFB" w:rsidRPr="00160E6C" w14:paraId="7DE69EFD" w14:textId="77777777" w:rsidTr="00873E6F">
        <w:tc>
          <w:tcPr>
            <w:tcW w:w="1842" w:type="dxa"/>
          </w:tcPr>
          <w:p w14:paraId="688FB014"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Compte 65</w:t>
            </w:r>
          </w:p>
        </w:tc>
        <w:tc>
          <w:tcPr>
            <w:tcW w:w="1842" w:type="dxa"/>
          </w:tcPr>
          <w:p w14:paraId="6B62DDEF" w14:textId="77777777" w:rsidR="00C52DFB" w:rsidRPr="00C52DFB" w:rsidRDefault="00C52DFB" w:rsidP="00873E6F">
            <w:pPr>
              <w:spacing w:line="360" w:lineRule="auto"/>
              <w:jc w:val="both"/>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Autres Charges Opérationnelles</w:t>
            </w:r>
          </w:p>
        </w:tc>
        <w:tc>
          <w:tcPr>
            <w:tcW w:w="1842" w:type="dxa"/>
          </w:tcPr>
          <w:p w14:paraId="4AE8FE87"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5100</w:t>
            </w:r>
          </w:p>
        </w:tc>
        <w:tc>
          <w:tcPr>
            <w:tcW w:w="1843" w:type="dxa"/>
          </w:tcPr>
          <w:p w14:paraId="67795FAD"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5100</w:t>
            </w:r>
          </w:p>
        </w:tc>
        <w:tc>
          <w:tcPr>
            <w:tcW w:w="1843" w:type="dxa"/>
          </w:tcPr>
          <w:p w14:paraId="3658597F"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p>
          <w:p w14:paraId="766E3B52" w14:textId="77777777" w:rsidR="00C52DFB" w:rsidRPr="00C52DFB" w:rsidRDefault="00C52DFB" w:rsidP="00873E6F">
            <w:pPr>
              <w:spacing w:line="360" w:lineRule="auto"/>
              <w:jc w:val="center"/>
              <w:rPr>
                <w:rFonts w:asciiTheme="majorBidi" w:eastAsia="Times New Roman" w:hAnsiTheme="majorBidi" w:cstheme="majorBidi"/>
                <w:sz w:val="24"/>
                <w:szCs w:val="24"/>
                <w:lang w:eastAsia="fr-FR"/>
              </w:rPr>
            </w:pPr>
            <w:r w:rsidRPr="00C52DFB">
              <w:rPr>
                <w:rFonts w:asciiTheme="majorBidi" w:eastAsia="Times New Roman" w:hAnsiTheme="majorBidi" w:cstheme="majorBidi"/>
                <w:sz w:val="24"/>
                <w:szCs w:val="24"/>
                <w:lang w:eastAsia="fr-FR"/>
              </w:rPr>
              <w:t>100%</w:t>
            </w:r>
          </w:p>
        </w:tc>
      </w:tr>
      <w:tr w:rsidR="00C52DFB" w:rsidRPr="00160E6C" w14:paraId="066104BA" w14:textId="77777777" w:rsidTr="00873E6F">
        <w:tc>
          <w:tcPr>
            <w:tcW w:w="1842" w:type="dxa"/>
          </w:tcPr>
          <w:p w14:paraId="136E46D3"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Total des charges</w:t>
            </w:r>
          </w:p>
        </w:tc>
        <w:tc>
          <w:tcPr>
            <w:tcW w:w="1842" w:type="dxa"/>
          </w:tcPr>
          <w:p w14:paraId="089FCA52" w14:textId="77777777" w:rsidR="00C52DFB" w:rsidRPr="00160E6C" w:rsidRDefault="00C52DFB" w:rsidP="00873E6F">
            <w:pPr>
              <w:spacing w:line="360" w:lineRule="auto"/>
              <w:jc w:val="both"/>
              <w:rPr>
                <w:rFonts w:asciiTheme="majorBidi" w:eastAsia="Times New Roman" w:hAnsiTheme="majorBidi" w:cstheme="majorBidi"/>
                <w:b/>
                <w:bCs/>
                <w:sz w:val="24"/>
                <w:szCs w:val="24"/>
                <w:lang w:eastAsia="fr-FR"/>
              </w:rPr>
            </w:pPr>
          </w:p>
        </w:tc>
        <w:tc>
          <w:tcPr>
            <w:tcW w:w="1842" w:type="dxa"/>
          </w:tcPr>
          <w:p w14:paraId="75217212" w14:textId="77777777" w:rsidR="00C52DFB" w:rsidRPr="00160E6C" w:rsidRDefault="00C52DFB" w:rsidP="00873E6F">
            <w:pPr>
              <w:spacing w:line="360" w:lineRule="auto"/>
              <w:jc w:val="center"/>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2 005 800</w:t>
            </w:r>
          </w:p>
        </w:tc>
        <w:tc>
          <w:tcPr>
            <w:tcW w:w="1843" w:type="dxa"/>
          </w:tcPr>
          <w:p w14:paraId="1F2204EB" w14:textId="77777777" w:rsidR="00C52DFB" w:rsidRPr="00160E6C" w:rsidRDefault="00C52DFB" w:rsidP="00873E6F">
            <w:pPr>
              <w:spacing w:line="360" w:lineRule="auto"/>
              <w:jc w:val="center"/>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2 359 760</w:t>
            </w:r>
          </w:p>
        </w:tc>
        <w:tc>
          <w:tcPr>
            <w:tcW w:w="1843" w:type="dxa"/>
          </w:tcPr>
          <w:p w14:paraId="77235FE5" w14:textId="77777777" w:rsidR="00C52DFB" w:rsidRPr="00160E6C" w:rsidRDefault="00C52DFB" w:rsidP="00873E6F">
            <w:pPr>
              <w:spacing w:line="360" w:lineRule="auto"/>
              <w:jc w:val="center"/>
              <w:rPr>
                <w:rFonts w:asciiTheme="majorBidi" w:eastAsia="Times New Roman" w:hAnsiTheme="majorBidi" w:cstheme="majorBidi"/>
                <w:b/>
                <w:bCs/>
                <w:sz w:val="24"/>
                <w:szCs w:val="24"/>
                <w:lang w:eastAsia="fr-FR"/>
              </w:rPr>
            </w:pPr>
          </w:p>
          <w:p w14:paraId="2322BAB2" w14:textId="77777777" w:rsidR="00C52DFB" w:rsidRPr="00160E6C" w:rsidRDefault="00C52DFB" w:rsidP="00873E6F">
            <w:pPr>
              <w:spacing w:line="360" w:lineRule="auto"/>
              <w:jc w:val="center"/>
              <w:rPr>
                <w:rFonts w:asciiTheme="majorBidi" w:eastAsia="Times New Roman" w:hAnsiTheme="majorBidi" w:cstheme="majorBidi"/>
                <w:b/>
                <w:bCs/>
                <w:sz w:val="24"/>
                <w:szCs w:val="24"/>
                <w:lang w:eastAsia="fr-FR"/>
              </w:rPr>
            </w:pPr>
            <w:r w:rsidRPr="00160E6C">
              <w:rPr>
                <w:rFonts w:asciiTheme="majorBidi" w:eastAsia="Times New Roman" w:hAnsiTheme="majorBidi" w:cstheme="majorBidi"/>
                <w:b/>
                <w:bCs/>
                <w:sz w:val="24"/>
                <w:szCs w:val="24"/>
                <w:lang w:eastAsia="fr-FR"/>
              </w:rPr>
              <w:t>117.6%</w:t>
            </w:r>
          </w:p>
        </w:tc>
      </w:tr>
    </w:tbl>
    <w:p w14:paraId="411B3D81" w14:textId="77777777" w:rsidR="00B065F3" w:rsidRPr="006C7B66" w:rsidRDefault="00B065F3" w:rsidP="00AE3850">
      <w:pPr>
        <w:pStyle w:val="NormalWeb"/>
        <w:spacing w:line="360" w:lineRule="auto"/>
        <w:jc w:val="both"/>
        <w:rPr>
          <w:rStyle w:val="Accentuation"/>
          <w:rFonts w:asciiTheme="majorBidi" w:hAnsiTheme="majorBidi" w:cstheme="majorBidi"/>
          <w:b/>
          <w:bCs/>
          <w:i w:val="0"/>
          <w:iCs w:val="0"/>
          <w:lang w:val="fr-FR"/>
        </w:rPr>
      </w:pPr>
      <w:r w:rsidRPr="006C7B66">
        <w:rPr>
          <w:rStyle w:val="Accentuation"/>
          <w:rFonts w:asciiTheme="majorBidi" w:hAnsiTheme="majorBidi" w:cstheme="majorBidi"/>
          <w:b/>
          <w:bCs/>
          <w:i w:val="0"/>
          <w:iCs w:val="0"/>
          <w:lang w:val="fr-FR"/>
        </w:rPr>
        <w:t>Source : DOT de Beni Messous – Département Finances et Comptabilité</w:t>
      </w:r>
    </w:p>
    <w:p w14:paraId="1228555C" w14:textId="01173506" w:rsidR="002F3A91" w:rsidRPr="002F3A91" w:rsidRDefault="002F3A91" w:rsidP="00AE3850">
      <w:pPr>
        <w:pStyle w:val="Lgende"/>
        <w:keepNext/>
        <w:spacing w:line="360" w:lineRule="auto"/>
        <w:jc w:val="both"/>
        <w:rPr>
          <w:rFonts w:asciiTheme="majorBidi" w:hAnsiTheme="majorBidi" w:cstheme="majorBidi"/>
          <w:b/>
          <w:bCs/>
          <w:i w:val="0"/>
          <w:iCs w:val="0"/>
          <w:color w:val="auto"/>
          <w:sz w:val="24"/>
          <w:szCs w:val="24"/>
        </w:rPr>
      </w:pPr>
      <w:bookmarkStart w:id="167" w:name="_Toc199314770"/>
      <w:r w:rsidRPr="002F3A91">
        <w:rPr>
          <w:rFonts w:asciiTheme="majorBidi" w:hAnsiTheme="majorBidi" w:cstheme="majorBidi"/>
          <w:b/>
          <w:bCs/>
          <w:i w:val="0"/>
          <w:iCs w:val="0"/>
          <w:color w:val="auto"/>
          <w:sz w:val="24"/>
          <w:szCs w:val="24"/>
        </w:rPr>
        <w:lastRenderedPageBreak/>
        <w:t xml:space="preserve">Figure N°2- </w:t>
      </w:r>
      <w:r w:rsidRPr="002F3A91">
        <w:rPr>
          <w:rFonts w:asciiTheme="majorBidi" w:hAnsiTheme="majorBidi" w:cstheme="majorBidi"/>
          <w:b/>
          <w:bCs/>
          <w:i w:val="0"/>
          <w:iCs w:val="0"/>
          <w:color w:val="auto"/>
          <w:sz w:val="24"/>
          <w:szCs w:val="24"/>
        </w:rPr>
        <w:fldChar w:fldCharType="begin"/>
      </w:r>
      <w:r w:rsidRPr="002F3A91">
        <w:rPr>
          <w:rFonts w:asciiTheme="majorBidi" w:hAnsiTheme="majorBidi" w:cstheme="majorBidi"/>
          <w:b/>
          <w:bCs/>
          <w:i w:val="0"/>
          <w:iCs w:val="0"/>
          <w:color w:val="auto"/>
          <w:sz w:val="24"/>
          <w:szCs w:val="24"/>
        </w:rPr>
        <w:instrText xml:space="preserve"> SEQ Figure_N°2- \* ARABIC </w:instrText>
      </w:r>
      <w:r w:rsidRPr="002F3A91">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4</w:t>
      </w:r>
      <w:r w:rsidRPr="002F3A91">
        <w:rPr>
          <w:rFonts w:asciiTheme="majorBidi" w:hAnsiTheme="majorBidi" w:cstheme="majorBidi"/>
          <w:b/>
          <w:bCs/>
          <w:i w:val="0"/>
          <w:iCs w:val="0"/>
          <w:color w:val="auto"/>
          <w:sz w:val="24"/>
          <w:szCs w:val="24"/>
        </w:rPr>
        <w:fldChar w:fldCharType="end"/>
      </w:r>
      <w:r w:rsidRPr="002F3A91">
        <w:rPr>
          <w:rFonts w:asciiTheme="majorBidi" w:hAnsiTheme="majorBidi" w:cstheme="majorBidi"/>
          <w:b/>
          <w:bCs/>
          <w:i w:val="0"/>
          <w:iCs w:val="0"/>
          <w:color w:val="auto"/>
          <w:sz w:val="24"/>
          <w:szCs w:val="24"/>
        </w:rPr>
        <w:t>:</w:t>
      </w:r>
      <w:r w:rsidR="006C7B66">
        <w:rPr>
          <w:rFonts w:asciiTheme="majorBidi" w:hAnsiTheme="majorBidi" w:cstheme="majorBidi"/>
          <w:b/>
          <w:bCs/>
          <w:i w:val="0"/>
          <w:iCs w:val="0"/>
          <w:color w:val="auto"/>
          <w:sz w:val="24"/>
          <w:szCs w:val="24"/>
        </w:rPr>
        <w:t xml:space="preserve"> Histogramme des comparaisons entres les budgets accordes et les prévisions exercice 2023</w:t>
      </w:r>
      <w:bookmarkEnd w:id="167"/>
    </w:p>
    <w:p w14:paraId="48D61437" w14:textId="77777777" w:rsidR="00C52DFB" w:rsidRDefault="00B065F3" w:rsidP="00AE3850">
      <w:pPr>
        <w:pStyle w:val="NormalWeb"/>
        <w:spacing w:line="360" w:lineRule="auto"/>
        <w:jc w:val="both"/>
        <w:rPr>
          <w:rFonts w:asciiTheme="majorBidi" w:hAnsiTheme="majorBidi" w:cstheme="majorBidi"/>
          <w:b/>
          <w:bCs/>
          <w:lang w:val="fr-FR"/>
        </w:rPr>
      </w:pPr>
      <w:bookmarkStart w:id="168" w:name="_GoBack"/>
      <w:r w:rsidRPr="00953B54">
        <w:rPr>
          <w:rFonts w:asciiTheme="majorBidi" w:hAnsiTheme="majorBidi" w:cstheme="majorBidi"/>
          <w:b/>
          <w:bCs/>
          <w:noProof/>
          <w:lang w:val="fr-FR" w:eastAsia="fr-FR"/>
        </w:rPr>
        <w:drawing>
          <wp:inline distT="0" distB="0" distL="0" distR="0" wp14:anchorId="0C984871" wp14:editId="68B4116D">
            <wp:extent cx="6011781" cy="2482896"/>
            <wp:effectExtent l="0" t="0" r="8255" b="12700"/>
            <wp:docPr id="34" name="Graphique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bookmarkEnd w:id="168"/>
    </w:p>
    <w:p w14:paraId="4D13498A" w14:textId="57D26B07" w:rsidR="00B065F3" w:rsidRPr="00B065F3" w:rsidRDefault="00B065F3" w:rsidP="00AE3850">
      <w:pPr>
        <w:pStyle w:val="NormalWeb"/>
        <w:spacing w:line="360" w:lineRule="auto"/>
        <w:jc w:val="both"/>
        <w:rPr>
          <w:rFonts w:asciiTheme="majorBidi" w:hAnsiTheme="majorBidi" w:cstheme="majorBidi"/>
          <w:i/>
          <w:iCs/>
          <w:lang w:val="fr-FR"/>
        </w:rPr>
      </w:pPr>
      <w:r w:rsidRPr="00B065F3">
        <w:rPr>
          <w:rFonts w:asciiTheme="majorBidi" w:hAnsiTheme="majorBidi" w:cstheme="majorBidi"/>
          <w:b/>
          <w:bCs/>
          <w:lang w:val="fr-FR"/>
        </w:rPr>
        <w:t>Source : Élaboré par les étudiants selon les données de la DFC de la DOT de Beni Messous</w:t>
      </w:r>
    </w:p>
    <w:p w14:paraId="2DD8D1E5" w14:textId="77777777" w:rsidR="00442D4D" w:rsidRDefault="00442D4D" w:rsidP="00AE3850">
      <w:pPr>
        <w:spacing w:line="360" w:lineRule="auto"/>
        <w:jc w:val="both"/>
        <w:rPr>
          <w:rFonts w:asciiTheme="majorBidi" w:eastAsia="Times New Roman" w:hAnsiTheme="majorBidi" w:cstheme="majorBidi"/>
          <w:b/>
          <w:bCs/>
          <w:lang w:eastAsia="fr-FR"/>
        </w:rPr>
      </w:pPr>
    </w:p>
    <w:p w14:paraId="523828D6" w14:textId="77777777" w:rsidR="00FD65A3" w:rsidRDefault="00FD65A3" w:rsidP="00470578">
      <w:pPr>
        <w:pStyle w:val="Lgende"/>
        <w:keepNext/>
        <w:spacing w:line="360" w:lineRule="auto"/>
        <w:jc w:val="both"/>
        <w:rPr>
          <w:rFonts w:asciiTheme="majorBidi" w:hAnsiTheme="majorBidi" w:cstheme="majorBidi"/>
          <w:b/>
          <w:bCs/>
          <w:i w:val="0"/>
          <w:iCs w:val="0"/>
          <w:color w:val="auto"/>
          <w:sz w:val="24"/>
          <w:szCs w:val="24"/>
        </w:rPr>
      </w:pPr>
      <w:bookmarkStart w:id="169" w:name="_Toc199314991"/>
    </w:p>
    <w:p w14:paraId="1A95CE73" w14:textId="77777777" w:rsidR="00FD65A3" w:rsidRDefault="00FD65A3" w:rsidP="00470578">
      <w:pPr>
        <w:pStyle w:val="Lgende"/>
        <w:keepNext/>
        <w:spacing w:line="360" w:lineRule="auto"/>
        <w:jc w:val="both"/>
        <w:rPr>
          <w:rFonts w:asciiTheme="majorBidi" w:hAnsiTheme="majorBidi" w:cstheme="majorBidi"/>
          <w:b/>
          <w:bCs/>
          <w:i w:val="0"/>
          <w:iCs w:val="0"/>
          <w:color w:val="auto"/>
          <w:sz w:val="24"/>
          <w:szCs w:val="24"/>
        </w:rPr>
      </w:pPr>
    </w:p>
    <w:p w14:paraId="001DE27B" w14:textId="77777777" w:rsidR="00FD65A3" w:rsidRDefault="00FD65A3" w:rsidP="00FD65A3"/>
    <w:p w14:paraId="15862DDA" w14:textId="77777777" w:rsidR="00FD65A3" w:rsidRDefault="00FD65A3" w:rsidP="00FD65A3"/>
    <w:p w14:paraId="5799BB45" w14:textId="77777777" w:rsidR="00FD65A3" w:rsidRDefault="00FD65A3" w:rsidP="00FD65A3"/>
    <w:p w14:paraId="3FB21B51" w14:textId="77777777" w:rsidR="00FD65A3" w:rsidRDefault="00FD65A3" w:rsidP="00FD65A3"/>
    <w:p w14:paraId="2ECEC8E5" w14:textId="77777777" w:rsidR="00FD65A3" w:rsidRDefault="00FD65A3" w:rsidP="00FD65A3"/>
    <w:p w14:paraId="4DFDC432" w14:textId="77777777" w:rsidR="00FD65A3" w:rsidRDefault="00FD65A3" w:rsidP="00FD65A3"/>
    <w:p w14:paraId="1B5C8530" w14:textId="77777777" w:rsidR="00FD65A3" w:rsidRDefault="00FD65A3" w:rsidP="00FD65A3"/>
    <w:p w14:paraId="476E3FCE" w14:textId="77777777" w:rsidR="00FD65A3" w:rsidRPr="00FD65A3" w:rsidRDefault="00FD65A3" w:rsidP="00FD65A3"/>
    <w:p w14:paraId="3E175BCB" w14:textId="44BB027D" w:rsidR="00B065F3" w:rsidRPr="00EA1079" w:rsidRDefault="00B065F3" w:rsidP="00470578">
      <w:pPr>
        <w:pStyle w:val="Lgende"/>
        <w:keepNext/>
        <w:spacing w:line="360" w:lineRule="auto"/>
        <w:jc w:val="both"/>
        <w:rPr>
          <w:rFonts w:asciiTheme="majorBidi" w:hAnsiTheme="majorBidi" w:cstheme="majorBidi"/>
          <w:b/>
          <w:bCs/>
          <w:i w:val="0"/>
          <w:iCs w:val="0"/>
          <w:color w:val="auto"/>
          <w:sz w:val="24"/>
          <w:szCs w:val="24"/>
        </w:rPr>
      </w:pPr>
      <w:r w:rsidRPr="00EA1079">
        <w:rPr>
          <w:rFonts w:asciiTheme="majorBidi" w:hAnsiTheme="majorBidi" w:cstheme="majorBidi"/>
          <w:b/>
          <w:bCs/>
          <w:i w:val="0"/>
          <w:iCs w:val="0"/>
          <w:color w:val="auto"/>
          <w:sz w:val="24"/>
          <w:szCs w:val="24"/>
        </w:rPr>
        <w:lastRenderedPageBreak/>
        <w:t xml:space="preserve">Tableau N°2- </w:t>
      </w:r>
      <w:r w:rsidRPr="00EA1079">
        <w:rPr>
          <w:rFonts w:asciiTheme="majorBidi" w:hAnsiTheme="majorBidi" w:cstheme="majorBidi"/>
          <w:b/>
          <w:bCs/>
          <w:i w:val="0"/>
          <w:iCs w:val="0"/>
          <w:color w:val="auto"/>
          <w:sz w:val="24"/>
          <w:szCs w:val="24"/>
        </w:rPr>
        <w:fldChar w:fldCharType="begin"/>
      </w:r>
      <w:r w:rsidRPr="00EA1079">
        <w:rPr>
          <w:rFonts w:asciiTheme="majorBidi" w:hAnsiTheme="majorBidi" w:cstheme="majorBidi"/>
          <w:b/>
          <w:bCs/>
          <w:i w:val="0"/>
          <w:iCs w:val="0"/>
          <w:color w:val="auto"/>
          <w:sz w:val="24"/>
          <w:szCs w:val="24"/>
        </w:rPr>
        <w:instrText xml:space="preserve"> SEQ Tableau_N°2- \* ARABIC </w:instrText>
      </w:r>
      <w:r w:rsidRPr="00EA1079">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3</w:t>
      </w:r>
      <w:r w:rsidRPr="00EA1079">
        <w:rPr>
          <w:rFonts w:asciiTheme="majorBidi" w:hAnsiTheme="majorBidi" w:cstheme="majorBidi"/>
          <w:b/>
          <w:bCs/>
          <w:i w:val="0"/>
          <w:iCs w:val="0"/>
          <w:color w:val="auto"/>
          <w:sz w:val="24"/>
          <w:szCs w:val="24"/>
        </w:rPr>
        <w:fldChar w:fldCharType="end"/>
      </w:r>
      <w:r w:rsidRPr="00EA1079">
        <w:rPr>
          <w:rFonts w:asciiTheme="majorBidi" w:hAnsiTheme="majorBidi" w:cstheme="majorBidi"/>
          <w:b/>
          <w:bCs/>
          <w:i w:val="0"/>
          <w:iCs w:val="0"/>
          <w:color w:val="auto"/>
          <w:sz w:val="24"/>
          <w:szCs w:val="24"/>
        </w:rPr>
        <w:t xml:space="preserve">: Analyse des engagements et réalisations Compte 60: Achats consommés (En </w:t>
      </w:r>
      <w:r w:rsidR="00470578">
        <w:rPr>
          <w:rFonts w:asciiTheme="majorBidi" w:hAnsiTheme="majorBidi" w:cstheme="majorBidi"/>
          <w:b/>
          <w:bCs/>
          <w:i w:val="0"/>
          <w:iCs w:val="0"/>
          <w:color w:val="auto"/>
          <w:sz w:val="24"/>
          <w:szCs w:val="24"/>
        </w:rPr>
        <w:t>KDA</w:t>
      </w:r>
      <w:r w:rsidRPr="00EA1079">
        <w:rPr>
          <w:rFonts w:asciiTheme="majorBidi" w:hAnsiTheme="majorBidi" w:cstheme="majorBidi"/>
          <w:b/>
          <w:bCs/>
          <w:i w:val="0"/>
          <w:iCs w:val="0"/>
          <w:color w:val="auto"/>
          <w:sz w:val="24"/>
          <w:szCs w:val="24"/>
        </w:rPr>
        <w:t>)</w:t>
      </w:r>
      <w:bookmarkEnd w:id="169"/>
    </w:p>
    <w:tbl>
      <w:tblPr>
        <w:tblW w:w="10823" w:type="dxa"/>
        <w:jc w:val="center"/>
        <w:tblLayout w:type="fixed"/>
        <w:tblCellMar>
          <w:left w:w="70" w:type="dxa"/>
          <w:right w:w="70" w:type="dxa"/>
        </w:tblCellMar>
        <w:tblLook w:val="04A0" w:firstRow="1" w:lastRow="0" w:firstColumn="1" w:lastColumn="0" w:noHBand="0" w:noVBand="1"/>
      </w:tblPr>
      <w:tblGrid>
        <w:gridCol w:w="1135"/>
        <w:gridCol w:w="3544"/>
        <w:gridCol w:w="1275"/>
        <w:gridCol w:w="1701"/>
        <w:gridCol w:w="1042"/>
        <w:gridCol w:w="992"/>
        <w:gridCol w:w="1134"/>
      </w:tblGrid>
      <w:tr w:rsidR="00B065F3" w:rsidRPr="00953B54" w14:paraId="00E15368" w14:textId="77777777" w:rsidTr="005C262F">
        <w:trPr>
          <w:trHeight w:val="574"/>
          <w:jc w:val="center"/>
        </w:trPr>
        <w:tc>
          <w:tcPr>
            <w:tcW w:w="1135"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212953EA"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Code</w:t>
            </w:r>
          </w:p>
        </w:tc>
        <w:tc>
          <w:tcPr>
            <w:tcW w:w="3544"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4984F154"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xml:space="preserve">Désignation </w:t>
            </w:r>
          </w:p>
        </w:tc>
        <w:tc>
          <w:tcPr>
            <w:tcW w:w="1275"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0C2AFBA3" w14:textId="52776121" w:rsidR="00B065F3" w:rsidRPr="00953B54" w:rsidRDefault="00C52DFB" w:rsidP="00C52DFB">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P</w:t>
            </w:r>
            <w:r>
              <w:rPr>
                <w:rFonts w:asciiTheme="majorBidi" w:eastAsia="Times New Roman" w:hAnsiTheme="majorBidi" w:cstheme="majorBidi"/>
                <w:b/>
                <w:bCs/>
                <w:lang w:eastAsia="fr-FR"/>
              </w:rPr>
              <w:t>révision</w:t>
            </w:r>
          </w:p>
        </w:tc>
        <w:tc>
          <w:tcPr>
            <w:tcW w:w="1701"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680440B4"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cumul Engag au,,, (2)</w:t>
            </w:r>
          </w:p>
        </w:tc>
        <w:tc>
          <w:tcPr>
            <w:tcW w:w="1042"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063324D7"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cumul Réal au,,,,, (3)</w:t>
            </w:r>
          </w:p>
        </w:tc>
        <w:tc>
          <w:tcPr>
            <w:tcW w:w="992"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731911B6"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Taux d'engag  (2)/(1)</w:t>
            </w:r>
          </w:p>
        </w:tc>
        <w:tc>
          <w:tcPr>
            <w:tcW w:w="1134"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23C96982"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Taux de Réal (3)/(1)</w:t>
            </w:r>
          </w:p>
        </w:tc>
      </w:tr>
      <w:tr w:rsidR="00B065F3" w:rsidRPr="00953B54" w14:paraId="639EAE1F" w14:textId="77777777" w:rsidTr="005C262F">
        <w:trPr>
          <w:trHeight w:val="574"/>
          <w:jc w:val="center"/>
        </w:trPr>
        <w:tc>
          <w:tcPr>
            <w:tcW w:w="1135" w:type="dxa"/>
            <w:vMerge/>
            <w:tcBorders>
              <w:top w:val="single" w:sz="4" w:space="0" w:color="auto"/>
              <w:left w:val="single" w:sz="4" w:space="0" w:color="auto"/>
              <w:bottom w:val="single" w:sz="4" w:space="0" w:color="000000"/>
              <w:right w:val="single" w:sz="4" w:space="0" w:color="auto"/>
            </w:tcBorders>
            <w:vAlign w:val="center"/>
            <w:hideMark/>
          </w:tcPr>
          <w:p w14:paraId="5F497294"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544" w:type="dxa"/>
            <w:vMerge/>
            <w:tcBorders>
              <w:top w:val="single" w:sz="4" w:space="0" w:color="auto"/>
              <w:left w:val="single" w:sz="4" w:space="0" w:color="auto"/>
              <w:bottom w:val="single" w:sz="4" w:space="0" w:color="000000"/>
              <w:right w:val="single" w:sz="4" w:space="0" w:color="auto"/>
            </w:tcBorders>
            <w:vAlign w:val="center"/>
            <w:hideMark/>
          </w:tcPr>
          <w:p w14:paraId="1FBD81A5"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1275" w:type="dxa"/>
            <w:vMerge/>
            <w:tcBorders>
              <w:top w:val="single" w:sz="4" w:space="0" w:color="auto"/>
              <w:left w:val="single" w:sz="4" w:space="0" w:color="auto"/>
              <w:bottom w:val="single" w:sz="4" w:space="0" w:color="000000"/>
              <w:right w:val="single" w:sz="4" w:space="0" w:color="auto"/>
            </w:tcBorders>
            <w:vAlign w:val="center"/>
            <w:hideMark/>
          </w:tcPr>
          <w:p w14:paraId="442348C5"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1701" w:type="dxa"/>
            <w:vMerge/>
            <w:tcBorders>
              <w:top w:val="single" w:sz="4" w:space="0" w:color="auto"/>
              <w:left w:val="single" w:sz="4" w:space="0" w:color="auto"/>
              <w:bottom w:val="single" w:sz="4" w:space="0" w:color="000000"/>
              <w:right w:val="single" w:sz="4" w:space="0" w:color="auto"/>
            </w:tcBorders>
            <w:vAlign w:val="center"/>
            <w:hideMark/>
          </w:tcPr>
          <w:p w14:paraId="18AB7F64"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1042" w:type="dxa"/>
            <w:vMerge/>
            <w:tcBorders>
              <w:top w:val="single" w:sz="4" w:space="0" w:color="auto"/>
              <w:left w:val="single" w:sz="4" w:space="0" w:color="auto"/>
              <w:bottom w:val="single" w:sz="4" w:space="0" w:color="000000"/>
              <w:right w:val="single" w:sz="4" w:space="0" w:color="auto"/>
            </w:tcBorders>
            <w:vAlign w:val="center"/>
            <w:hideMark/>
          </w:tcPr>
          <w:p w14:paraId="0642E04B"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14:paraId="4EA3633B"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6D229AEF"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r>
      <w:tr w:rsidR="00B065F3" w:rsidRPr="00953B54" w14:paraId="22A1E23C" w14:textId="77777777" w:rsidTr="005C262F">
        <w:trPr>
          <w:trHeight w:val="354"/>
          <w:jc w:val="center"/>
        </w:trPr>
        <w:tc>
          <w:tcPr>
            <w:tcW w:w="1135" w:type="dxa"/>
            <w:tcBorders>
              <w:top w:val="nil"/>
              <w:left w:val="single" w:sz="4" w:space="0" w:color="auto"/>
              <w:bottom w:val="single" w:sz="4" w:space="0" w:color="auto"/>
              <w:right w:val="single" w:sz="4" w:space="0" w:color="auto"/>
            </w:tcBorders>
            <w:shd w:val="clear" w:color="000000" w:fill="D9E1F2"/>
            <w:noWrap/>
            <w:vAlign w:val="center"/>
            <w:hideMark/>
          </w:tcPr>
          <w:p w14:paraId="598AB94C"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544" w:type="dxa"/>
            <w:tcBorders>
              <w:top w:val="nil"/>
              <w:left w:val="nil"/>
              <w:bottom w:val="single" w:sz="4" w:space="0" w:color="auto"/>
              <w:right w:val="single" w:sz="4" w:space="0" w:color="auto"/>
            </w:tcBorders>
            <w:shd w:val="clear" w:color="000000" w:fill="D9E1F2"/>
            <w:noWrap/>
            <w:vAlign w:val="center"/>
            <w:hideMark/>
          </w:tcPr>
          <w:p w14:paraId="39F370E0"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Achats Consommés (Compte 60)</w:t>
            </w:r>
          </w:p>
        </w:tc>
        <w:tc>
          <w:tcPr>
            <w:tcW w:w="1275" w:type="dxa"/>
            <w:tcBorders>
              <w:top w:val="nil"/>
              <w:left w:val="nil"/>
              <w:bottom w:val="single" w:sz="4" w:space="0" w:color="auto"/>
              <w:right w:val="single" w:sz="4" w:space="0" w:color="auto"/>
            </w:tcBorders>
            <w:shd w:val="clear" w:color="000000" w:fill="D9E1F2"/>
            <w:noWrap/>
            <w:vAlign w:val="center"/>
            <w:hideMark/>
          </w:tcPr>
          <w:p w14:paraId="4B3E1A2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1701" w:type="dxa"/>
            <w:tcBorders>
              <w:top w:val="nil"/>
              <w:left w:val="nil"/>
              <w:bottom w:val="single" w:sz="4" w:space="0" w:color="auto"/>
              <w:right w:val="single" w:sz="4" w:space="0" w:color="auto"/>
            </w:tcBorders>
            <w:shd w:val="clear" w:color="000000" w:fill="D9E1F2"/>
            <w:noWrap/>
            <w:vAlign w:val="center"/>
            <w:hideMark/>
          </w:tcPr>
          <w:p w14:paraId="287EA07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1042" w:type="dxa"/>
            <w:tcBorders>
              <w:top w:val="nil"/>
              <w:left w:val="nil"/>
              <w:bottom w:val="single" w:sz="4" w:space="0" w:color="auto"/>
              <w:right w:val="single" w:sz="4" w:space="0" w:color="auto"/>
            </w:tcBorders>
            <w:shd w:val="clear" w:color="000000" w:fill="D9E1F2"/>
            <w:noWrap/>
            <w:vAlign w:val="center"/>
            <w:hideMark/>
          </w:tcPr>
          <w:p w14:paraId="1CDEBB9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2" w:type="dxa"/>
            <w:tcBorders>
              <w:top w:val="nil"/>
              <w:left w:val="nil"/>
              <w:bottom w:val="single" w:sz="4" w:space="0" w:color="auto"/>
              <w:right w:val="single" w:sz="4" w:space="0" w:color="auto"/>
            </w:tcBorders>
            <w:shd w:val="clear" w:color="000000" w:fill="D9E1F2"/>
            <w:noWrap/>
            <w:vAlign w:val="center"/>
            <w:hideMark/>
          </w:tcPr>
          <w:p w14:paraId="27CF58D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1134" w:type="dxa"/>
            <w:tcBorders>
              <w:top w:val="nil"/>
              <w:left w:val="nil"/>
              <w:bottom w:val="single" w:sz="4" w:space="0" w:color="auto"/>
              <w:right w:val="single" w:sz="4" w:space="0" w:color="auto"/>
            </w:tcBorders>
            <w:shd w:val="clear" w:color="000000" w:fill="D9E1F2"/>
            <w:noWrap/>
            <w:vAlign w:val="center"/>
            <w:hideMark/>
          </w:tcPr>
          <w:p w14:paraId="588FE06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r>
      <w:tr w:rsidR="00B065F3" w:rsidRPr="00953B54" w14:paraId="7C721CC5"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3770DE7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F600100</w:t>
            </w:r>
          </w:p>
        </w:tc>
        <w:tc>
          <w:tcPr>
            <w:tcW w:w="3544" w:type="dxa"/>
            <w:tcBorders>
              <w:top w:val="nil"/>
              <w:left w:val="nil"/>
              <w:bottom w:val="single" w:sz="4" w:space="0" w:color="auto"/>
              <w:right w:val="single" w:sz="4" w:space="0" w:color="auto"/>
            </w:tcBorders>
            <w:shd w:val="clear" w:color="auto" w:fill="auto"/>
            <w:noWrap/>
            <w:vAlign w:val="center"/>
            <w:hideMark/>
          </w:tcPr>
          <w:p w14:paraId="0012ED00"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Appareils Téléphoniques</w:t>
            </w:r>
          </w:p>
        </w:tc>
        <w:tc>
          <w:tcPr>
            <w:tcW w:w="1275" w:type="dxa"/>
            <w:tcBorders>
              <w:top w:val="nil"/>
              <w:left w:val="nil"/>
              <w:bottom w:val="single" w:sz="4" w:space="0" w:color="auto"/>
              <w:right w:val="single" w:sz="4" w:space="0" w:color="auto"/>
            </w:tcBorders>
            <w:shd w:val="clear" w:color="auto" w:fill="auto"/>
            <w:noWrap/>
            <w:vAlign w:val="center"/>
            <w:hideMark/>
          </w:tcPr>
          <w:p w14:paraId="711AB8D8"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200</w:t>
            </w:r>
          </w:p>
        </w:tc>
        <w:tc>
          <w:tcPr>
            <w:tcW w:w="1701" w:type="dxa"/>
            <w:tcBorders>
              <w:top w:val="nil"/>
              <w:left w:val="nil"/>
              <w:bottom w:val="single" w:sz="4" w:space="0" w:color="auto"/>
              <w:right w:val="single" w:sz="4" w:space="0" w:color="auto"/>
            </w:tcBorders>
            <w:shd w:val="clear" w:color="auto" w:fill="auto"/>
            <w:noWrap/>
            <w:vAlign w:val="center"/>
            <w:hideMark/>
          </w:tcPr>
          <w:p w14:paraId="293217E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1042" w:type="dxa"/>
            <w:tcBorders>
              <w:top w:val="nil"/>
              <w:left w:val="nil"/>
              <w:bottom w:val="single" w:sz="4" w:space="0" w:color="auto"/>
              <w:right w:val="single" w:sz="4" w:space="0" w:color="auto"/>
            </w:tcBorders>
            <w:shd w:val="clear" w:color="auto" w:fill="auto"/>
            <w:noWrap/>
            <w:vAlign w:val="center"/>
            <w:hideMark/>
          </w:tcPr>
          <w:p w14:paraId="01CAD91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2" w:type="dxa"/>
            <w:tcBorders>
              <w:top w:val="nil"/>
              <w:left w:val="nil"/>
              <w:bottom w:val="single" w:sz="4" w:space="0" w:color="auto"/>
              <w:right w:val="single" w:sz="4" w:space="0" w:color="auto"/>
            </w:tcBorders>
            <w:shd w:val="clear" w:color="auto" w:fill="auto"/>
            <w:noWrap/>
            <w:vAlign w:val="center"/>
            <w:hideMark/>
          </w:tcPr>
          <w:p w14:paraId="5DF75D10"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0%</w:t>
            </w:r>
          </w:p>
        </w:tc>
        <w:tc>
          <w:tcPr>
            <w:tcW w:w="1134" w:type="dxa"/>
            <w:tcBorders>
              <w:top w:val="nil"/>
              <w:left w:val="nil"/>
              <w:bottom w:val="single" w:sz="4" w:space="0" w:color="auto"/>
              <w:right w:val="single" w:sz="4" w:space="0" w:color="auto"/>
            </w:tcBorders>
            <w:shd w:val="clear" w:color="auto" w:fill="auto"/>
            <w:noWrap/>
            <w:vAlign w:val="center"/>
            <w:hideMark/>
          </w:tcPr>
          <w:p w14:paraId="75BA058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0%</w:t>
            </w:r>
          </w:p>
        </w:tc>
      </w:tr>
      <w:tr w:rsidR="00B065F3" w:rsidRPr="00953B54" w14:paraId="494D7B77"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40C6BBF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F601110</w:t>
            </w:r>
          </w:p>
        </w:tc>
        <w:tc>
          <w:tcPr>
            <w:tcW w:w="3544" w:type="dxa"/>
            <w:tcBorders>
              <w:top w:val="nil"/>
              <w:left w:val="nil"/>
              <w:bottom w:val="single" w:sz="4" w:space="0" w:color="auto"/>
              <w:right w:val="single" w:sz="4" w:space="0" w:color="auto"/>
            </w:tcBorders>
            <w:shd w:val="clear" w:color="auto" w:fill="auto"/>
            <w:noWrap/>
            <w:vAlign w:val="center"/>
            <w:hideMark/>
          </w:tcPr>
          <w:p w14:paraId="232592B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Fournitures de Commutation</w:t>
            </w:r>
          </w:p>
        </w:tc>
        <w:tc>
          <w:tcPr>
            <w:tcW w:w="1275" w:type="dxa"/>
            <w:tcBorders>
              <w:top w:val="nil"/>
              <w:left w:val="nil"/>
              <w:bottom w:val="single" w:sz="4" w:space="0" w:color="auto"/>
              <w:right w:val="single" w:sz="4" w:space="0" w:color="auto"/>
            </w:tcBorders>
            <w:shd w:val="clear" w:color="auto" w:fill="auto"/>
            <w:noWrap/>
            <w:vAlign w:val="center"/>
            <w:hideMark/>
          </w:tcPr>
          <w:p w14:paraId="737AB28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10 000</w:t>
            </w:r>
          </w:p>
        </w:tc>
        <w:tc>
          <w:tcPr>
            <w:tcW w:w="1701" w:type="dxa"/>
            <w:tcBorders>
              <w:top w:val="nil"/>
              <w:left w:val="nil"/>
              <w:bottom w:val="single" w:sz="4" w:space="0" w:color="auto"/>
              <w:right w:val="single" w:sz="4" w:space="0" w:color="auto"/>
            </w:tcBorders>
            <w:shd w:val="clear" w:color="auto" w:fill="auto"/>
            <w:noWrap/>
            <w:vAlign w:val="center"/>
            <w:hideMark/>
          </w:tcPr>
          <w:p w14:paraId="4520A1E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10 800</w:t>
            </w:r>
          </w:p>
        </w:tc>
        <w:tc>
          <w:tcPr>
            <w:tcW w:w="1042" w:type="dxa"/>
            <w:tcBorders>
              <w:top w:val="nil"/>
              <w:left w:val="nil"/>
              <w:bottom w:val="single" w:sz="4" w:space="0" w:color="auto"/>
              <w:right w:val="single" w:sz="4" w:space="0" w:color="auto"/>
            </w:tcBorders>
            <w:shd w:val="clear" w:color="auto" w:fill="auto"/>
            <w:noWrap/>
            <w:vAlign w:val="center"/>
            <w:hideMark/>
          </w:tcPr>
          <w:p w14:paraId="0FF06DF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6 000</w:t>
            </w:r>
          </w:p>
        </w:tc>
        <w:tc>
          <w:tcPr>
            <w:tcW w:w="992" w:type="dxa"/>
            <w:tcBorders>
              <w:top w:val="nil"/>
              <w:left w:val="nil"/>
              <w:bottom w:val="single" w:sz="4" w:space="0" w:color="auto"/>
              <w:right w:val="single" w:sz="4" w:space="0" w:color="auto"/>
            </w:tcBorders>
            <w:shd w:val="clear" w:color="000000" w:fill="FF0000"/>
            <w:noWrap/>
            <w:vAlign w:val="center"/>
            <w:hideMark/>
          </w:tcPr>
          <w:p w14:paraId="15B876E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108%</w:t>
            </w:r>
          </w:p>
        </w:tc>
        <w:tc>
          <w:tcPr>
            <w:tcW w:w="1134" w:type="dxa"/>
            <w:tcBorders>
              <w:top w:val="nil"/>
              <w:left w:val="nil"/>
              <w:bottom w:val="single" w:sz="4" w:space="0" w:color="auto"/>
              <w:right w:val="single" w:sz="4" w:space="0" w:color="auto"/>
            </w:tcBorders>
            <w:shd w:val="clear" w:color="auto" w:fill="auto"/>
            <w:noWrap/>
            <w:vAlign w:val="center"/>
            <w:hideMark/>
          </w:tcPr>
          <w:p w14:paraId="60B63649"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60%</w:t>
            </w:r>
          </w:p>
        </w:tc>
      </w:tr>
      <w:tr w:rsidR="00B065F3" w:rsidRPr="00953B54" w14:paraId="084BECBC"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3C86621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F601130</w:t>
            </w:r>
          </w:p>
        </w:tc>
        <w:tc>
          <w:tcPr>
            <w:tcW w:w="3544" w:type="dxa"/>
            <w:tcBorders>
              <w:top w:val="nil"/>
              <w:left w:val="nil"/>
              <w:bottom w:val="single" w:sz="4" w:space="0" w:color="auto"/>
              <w:right w:val="single" w:sz="4" w:space="0" w:color="auto"/>
            </w:tcBorders>
            <w:shd w:val="clear" w:color="auto" w:fill="auto"/>
            <w:noWrap/>
            <w:vAlign w:val="center"/>
            <w:hideMark/>
          </w:tcPr>
          <w:p w14:paraId="0A6EE33B"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Fournitures  d'Energie</w:t>
            </w:r>
          </w:p>
        </w:tc>
        <w:tc>
          <w:tcPr>
            <w:tcW w:w="1275" w:type="dxa"/>
            <w:tcBorders>
              <w:top w:val="nil"/>
              <w:left w:val="nil"/>
              <w:bottom w:val="single" w:sz="4" w:space="0" w:color="auto"/>
              <w:right w:val="single" w:sz="4" w:space="0" w:color="auto"/>
            </w:tcBorders>
            <w:shd w:val="clear" w:color="auto" w:fill="auto"/>
            <w:noWrap/>
            <w:vAlign w:val="center"/>
            <w:hideMark/>
          </w:tcPr>
          <w:p w14:paraId="5B10091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5 000</w:t>
            </w:r>
          </w:p>
        </w:tc>
        <w:tc>
          <w:tcPr>
            <w:tcW w:w="1701" w:type="dxa"/>
            <w:tcBorders>
              <w:top w:val="nil"/>
              <w:left w:val="nil"/>
              <w:bottom w:val="single" w:sz="4" w:space="0" w:color="auto"/>
              <w:right w:val="single" w:sz="4" w:space="0" w:color="auto"/>
            </w:tcBorders>
            <w:shd w:val="clear" w:color="auto" w:fill="auto"/>
            <w:noWrap/>
            <w:vAlign w:val="center"/>
            <w:hideMark/>
          </w:tcPr>
          <w:p w14:paraId="113A0CE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4 200</w:t>
            </w:r>
          </w:p>
        </w:tc>
        <w:tc>
          <w:tcPr>
            <w:tcW w:w="1042" w:type="dxa"/>
            <w:tcBorders>
              <w:top w:val="nil"/>
              <w:left w:val="nil"/>
              <w:bottom w:val="single" w:sz="4" w:space="0" w:color="auto"/>
              <w:right w:val="single" w:sz="4" w:space="0" w:color="auto"/>
            </w:tcBorders>
            <w:shd w:val="clear" w:color="auto" w:fill="auto"/>
            <w:noWrap/>
            <w:vAlign w:val="center"/>
            <w:hideMark/>
          </w:tcPr>
          <w:p w14:paraId="7B0DC75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3 000</w:t>
            </w:r>
          </w:p>
        </w:tc>
        <w:tc>
          <w:tcPr>
            <w:tcW w:w="992" w:type="dxa"/>
            <w:tcBorders>
              <w:top w:val="nil"/>
              <w:left w:val="nil"/>
              <w:bottom w:val="single" w:sz="4" w:space="0" w:color="auto"/>
              <w:right w:val="single" w:sz="4" w:space="0" w:color="auto"/>
            </w:tcBorders>
            <w:shd w:val="clear" w:color="auto" w:fill="auto"/>
            <w:noWrap/>
            <w:vAlign w:val="center"/>
            <w:hideMark/>
          </w:tcPr>
          <w:p w14:paraId="5AA4609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84%</w:t>
            </w:r>
          </w:p>
        </w:tc>
        <w:tc>
          <w:tcPr>
            <w:tcW w:w="1134" w:type="dxa"/>
            <w:tcBorders>
              <w:top w:val="nil"/>
              <w:left w:val="nil"/>
              <w:bottom w:val="single" w:sz="4" w:space="0" w:color="auto"/>
              <w:right w:val="single" w:sz="4" w:space="0" w:color="auto"/>
            </w:tcBorders>
            <w:shd w:val="clear" w:color="auto" w:fill="auto"/>
            <w:noWrap/>
            <w:vAlign w:val="center"/>
            <w:hideMark/>
          </w:tcPr>
          <w:p w14:paraId="6F1B605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60%</w:t>
            </w:r>
          </w:p>
        </w:tc>
      </w:tr>
      <w:tr w:rsidR="00B065F3" w:rsidRPr="00953B54" w14:paraId="594CD391"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63C596F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F602111</w:t>
            </w:r>
          </w:p>
        </w:tc>
        <w:tc>
          <w:tcPr>
            <w:tcW w:w="3544" w:type="dxa"/>
            <w:tcBorders>
              <w:top w:val="nil"/>
              <w:left w:val="nil"/>
              <w:bottom w:val="single" w:sz="4" w:space="0" w:color="auto"/>
              <w:right w:val="single" w:sz="4" w:space="0" w:color="auto"/>
            </w:tcBorders>
            <w:shd w:val="clear" w:color="auto" w:fill="auto"/>
            <w:noWrap/>
            <w:vAlign w:val="center"/>
            <w:hideMark/>
          </w:tcPr>
          <w:p w14:paraId="2E3DD4E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Carburant</w:t>
            </w:r>
          </w:p>
        </w:tc>
        <w:tc>
          <w:tcPr>
            <w:tcW w:w="1275" w:type="dxa"/>
            <w:tcBorders>
              <w:top w:val="nil"/>
              <w:left w:val="nil"/>
              <w:bottom w:val="single" w:sz="4" w:space="0" w:color="auto"/>
              <w:right w:val="single" w:sz="4" w:space="0" w:color="auto"/>
            </w:tcBorders>
            <w:shd w:val="clear" w:color="auto" w:fill="auto"/>
            <w:noWrap/>
            <w:vAlign w:val="center"/>
            <w:hideMark/>
          </w:tcPr>
          <w:p w14:paraId="151C905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7 000</w:t>
            </w:r>
          </w:p>
        </w:tc>
        <w:tc>
          <w:tcPr>
            <w:tcW w:w="1701" w:type="dxa"/>
            <w:tcBorders>
              <w:top w:val="nil"/>
              <w:left w:val="nil"/>
              <w:bottom w:val="single" w:sz="4" w:space="0" w:color="auto"/>
              <w:right w:val="single" w:sz="4" w:space="0" w:color="auto"/>
            </w:tcBorders>
            <w:shd w:val="clear" w:color="auto" w:fill="auto"/>
            <w:noWrap/>
            <w:vAlign w:val="center"/>
            <w:hideMark/>
          </w:tcPr>
          <w:p w14:paraId="03D9E97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7 200</w:t>
            </w:r>
          </w:p>
        </w:tc>
        <w:tc>
          <w:tcPr>
            <w:tcW w:w="1042" w:type="dxa"/>
            <w:tcBorders>
              <w:top w:val="nil"/>
              <w:left w:val="nil"/>
              <w:bottom w:val="single" w:sz="4" w:space="0" w:color="auto"/>
              <w:right w:val="single" w:sz="4" w:space="0" w:color="auto"/>
            </w:tcBorders>
            <w:shd w:val="clear" w:color="auto" w:fill="auto"/>
            <w:noWrap/>
            <w:vAlign w:val="center"/>
            <w:hideMark/>
          </w:tcPr>
          <w:p w14:paraId="59DF4DBB"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7 200</w:t>
            </w:r>
          </w:p>
        </w:tc>
        <w:tc>
          <w:tcPr>
            <w:tcW w:w="992" w:type="dxa"/>
            <w:tcBorders>
              <w:top w:val="nil"/>
              <w:left w:val="nil"/>
              <w:bottom w:val="single" w:sz="4" w:space="0" w:color="auto"/>
              <w:right w:val="single" w:sz="4" w:space="0" w:color="auto"/>
            </w:tcBorders>
            <w:shd w:val="clear" w:color="000000" w:fill="FF0000"/>
            <w:noWrap/>
            <w:vAlign w:val="center"/>
            <w:hideMark/>
          </w:tcPr>
          <w:p w14:paraId="66B5D94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103%</w:t>
            </w:r>
          </w:p>
        </w:tc>
        <w:tc>
          <w:tcPr>
            <w:tcW w:w="1134" w:type="dxa"/>
            <w:tcBorders>
              <w:top w:val="nil"/>
              <w:left w:val="nil"/>
              <w:bottom w:val="single" w:sz="4" w:space="0" w:color="auto"/>
              <w:right w:val="single" w:sz="4" w:space="0" w:color="auto"/>
            </w:tcBorders>
            <w:shd w:val="clear" w:color="auto" w:fill="auto"/>
            <w:noWrap/>
            <w:vAlign w:val="center"/>
            <w:hideMark/>
          </w:tcPr>
          <w:p w14:paraId="695E14B2"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103%</w:t>
            </w:r>
          </w:p>
        </w:tc>
      </w:tr>
      <w:tr w:rsidR="00B065F3" w:rsidRPr="00953B54" w14:paraId="7CC11AFA"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735D58E2"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F602112</w:t>
            </w:r>
          </w:p>
        </w:tc>
        <w:tc>
          <w:tcPr>
            <w:tcW w:w="3544" w:type="dxa"/>
            <w:tcBorders>
              <w:top w:val="nil"/>
              <w:left w:val="nil"/>
              <w:bottom w:val="single" w:sz="4" w:space="0" w:color="auto"/>
              <w:right w:val="single" w:sz="4" w:space="0" w:color="auto"/>
            </w:tcBorders>
            <w:shd w:val="clear" w:color="auto" w:fill="auto"/>
            <w:noWrap/>
            <w:vAlign w:val="center"/>
            <w:hideMark/>
          </w:tcPr>
          <w:p w14:paraId="5F27D5E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Lubrifiant</w:t>
            </w:r>
          </w:p>
        </w:tc>
        <w:tc>
          <w:tcPr>
            <w:tcW w:w="1275" w:type="dxa"/>
            <w:tcBorders>
              <w:top w:val="nil"/>
              <w:left w:val="nil"/>
              <w:bottom w:val="single" w:sz="4" w:space="0" w:color="auto"/>
              <w:right w:val="single" w:sz="4" w:space="0" w:color="auto"/>
            </w:tcBorders>
            <w:shd w:val="clear" w:color="auto" w:fill="auto"/>
            <w:noWrap/>
            <w:vAlign w:val="center"/>
            <w:hideMark/>
          </w:tcPr>
          <w:p w14:paraId="1646E0C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1 000</w:t>
            </w:r>
          </w:p>
        </w:tc>
        <w:tc>
          <w:tcPr>
            <w:tcW w:w="1701" w:type="dxa"/>
            <w:tcBorders>
              <w:top w:val="nil"/>
              <w:left w:val="nil"/>
              <w:bottom w:val="single" w:sz="4" w:space="0" w:color="auto"/>
              <w:right w:val="single" w:sz="4" w:space="0" w:color="auto"/>
            </w:tcBorders>
            <w:shd w:val="clear" w:color="auto" w:fill="auto"/>
            <w:noWrap/>
            <w:vAlign w:val="center"/>
            <w:hideMark/>
          </w:tcPr>
          <w:p w14:paraId="382B1468"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50</w:t>
            </w:r>
          </w:p>
        </w:tc>
        <w:tc>
          <w:tcPr>
            <w:tcW w:w="1042" w:type="dxa"/>
            <w:tcBorders>
              <w:top w:val="nil"/>
              <w:left w:val="nil"/>
              <w:bottom w:val="single" w:sz="4" w:space="0" w:color="auto"/>
              <w:right w:val="single" w:sz="4" w:space="0" w:color="auto"/>
            </w:tcBorders>
            <w:shd w:val="clear" w:color="auto" w:fill="auto"/>
            <w:noWrap/>
            <w:vAlign w:val="center"/>
            <w:hideMark/>
          </w:tcPr>
          <w:p w14:paraId="67BA9DE4"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50</w:t>
            </w:r>
          </w:p>
        </w:tc>
        <w:tc>
          <w:tcPr>
            <w:tcW w:w="992" w:type="dxa"/>
            <w:tcBorders>
              <w:top w:val="nil"/>
              <w:left w:val="nil"/>
              <w:bottom w:val="single" w:sz="4" w:space="0" w:color="auto"/>
              <w:right w:val="single" w:sz="4" w:space="0" w:color="auto"/>
            </w:tcBorders>
            <w:shd w:val="clear" w:color="auto" w:fill="auto"/>
            <w:noWrap/>
            <w:vAlign w:val="center"/>
            <w:hideMark/>
          </w:tcPr>
          <w:p w14:paraId="7D4811E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w:t>
            </w:r>
          </w:p>
        </w:tc>
        <w:tc>
          <w:tcPr>
            <w:tcW w:w="1134" w:type="dxa"/>
            <w:tcBorders>
              <w:top w:val="nil"/>
              <w:left w:val="nil"/>
              <w:bottom w:val="single" w:sz="4" w:space="0" w:color="auto"/>
              <w:right w:val="single" w:sz="4" w:space="0" w:color="auto"/>
            </w:tcBorders>
            <w:shd w:val="clear" w:color="auto" w:fill="auto"/>
            <w:noWrap/>
            <w:vAlign w:val="center"/>
            <w:hideMark/>
          </w:tcPr>
          <w:p w14:paraId="50E5036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w:t>
            </w:r>
          </w:p>
        </w:tc>
      </w:tr>
      <w:tr w:rsidR="00B065F3" w:rsidRPr="00953B54" w14:paraId="47A76E94"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1734D35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F602113</w:t>
            </w:r>
          </w:p>
        </w:tc>
        <w:tc>
          <w:tcPr>
            <w:tcW w:w="3544" w:type="dxa"/>
            <w:tcBorders>
              <w:top w:val="nil"/>
              <w:left w:val="nil"/>
              <w:bottom w:val="single" w:sz="4" w:space="0" w:color="auto"/>
              <w:right w:val="single" w:sz="4" w:space="0" w:color="auto"/>
            </w:tcBorders>
            <w:shd w:val="clear" w:color="auto" w:fill="auto"/>
            <w:noWrap/>
            <w:vAlign w:val="center"/>
            <w:hideMark/>
          </w:tcPr>
          <w:p w14:paraId="609DA260"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Pneumatiques</w:t>
            </w:r>
          </w:p>
        </w:tc>
        <w:tc>
          <w:tcPr>
            <w:tcW w:w="1275" w:type="dxa"/>
            <w:tcBorders>
              <w:top w:val="nil"/>
              <w:left w:val="nil"/>
              <w:bottom w:val="single" w:sz="4" w:space="0" w:color="auto"/>
              <w:right w:val="single" w:sz="4" w:space="0" w:color="auto"/>
            </w:tcBorders>
            <w:shd w:val="clear" w:color="auto" w:fill="auto"/>
            <w:noWrap/>
            <w:vAlign w:val="center"/>
            <w:hideMark/>
          </w:tcPr>
          <w:p w14:paraId="1A6B25E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3 000</w:t>
            </w:r>
          </w:p>
        </w:tc>
        <w:tc>
          <w:tcPr>
            <w:tcW w:w="1701" w:type="dxa"/>
            <w:tcBorders>
              <w:top w:val="nil"/>
              <w:left w:val="nil"/>
              <w:bottom w:val="single" w:sz="4" w:space="0" w:color="auto"/>
              <w:right w:val="single" w:sz="4" w:space="0" w:color="auto"/>
            </w:tcBorders>
            <w:shd w:val="clear" w:color="auto" w:fill="auto"/>
            <w:noWrap/>
            <w:vAlign w:val="center"/>
            <w:hideMark/>
          </w:tcPr>
          <w:p w14:paraId="1B9AC1E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1 021</w:t>
            </w:r>
          </w:p>
        </w:tc>
        <w:tc>
          <w:tcPr>
            <w:tcW w:w="1042" w:type="dxa"/>
            <w:tcBorders>
              <w:top w:val="nil"/>
              <w:left w:val="nil"/>
              <w:bottom w:val="single" w:sz="4" w:space="0" w:color="auto"/>
              <w:right w:val="single" w:sz="4" w:space="0" w:color="auto"/>
            </w:tcBorders>
            <w:shd w:val="clear" w:color="auto" w:fill="auto"/>
            <w:noWrap/>
            <w:vAlign w:val="center"/>
            <w:hideMark/>
          </w:tcPr>
          <w:p w14:paraId="1B0D755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1 021</w:t>
            </w:r>
          </w:p>
        </w:tc>
        <w:tc>
          <w:tcPr>
            <w:tcW w:w="992" w:type="dxa"/>
            <w:tcBorders>
              <w:top w:val="nil"/>
              <w:left w:val="nil"/>
              <w:bottom w:val="single" w:sz="4" w:space="0" w:color="auto"/>
              <w:right w:val="single" w:sz="4" w:space="0" w:color="auto"/>
            </w:tcBorders>
            <w:shd w:val="clear" w:color="auto" w:fill="auto"/>
            <w:noWrap/>
            <w:vAlign w:val="center"/>
            <w:hideMark/>
          </w:tcPr>
          <w:p w14:paraId="6E5C3E5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34%</w:t>
            </w:r>
          </w:p>
        </w:tc>
        <w:tc>
          <w:tcPr>
            <w:tcW w:w="1134" w:type="dxa"/>
            <w:tcBorders>
              <w:top w:val="nil"/>
              <w:left w:val="nil"/>
              <w:bottom w:val="single" w:sz="4" w:space="0" w:color="auto"/>
              <w:right w:val="single" w:sz="4" w:space="0" w:color="auto"/>
            </w:tcBorders>
            <w:shd w:val="clear" w:color="auto" w:fill="auto"/>
            <w:noWrap/>
            <w:vAlign w:val="center"/>
            <w:hideMark/>
          </w:tcPr>
          <w:p w14:paraId="63D0430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34%</w:t>
            </w:r>
          </w:p>
        </w:tc>
      </w:tr>
      <w:tr w:rsidR="00B065F3" w:rsidRPr="00953B54" w14:paraId="468ECFF5"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7D4A0F3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F602221</w:t>
            </w:r>
          </w:p>
        </w:tc>
        <w:tc>
          <w:tcPr>
            <w:tcW w:w="3544" w:type="dxa"/>
            <w:tcBorders>
              <w:top w:val="nil"/>
              <w:left w:val="nil"/>
              <w:bottom w:val="single" w:sz="4" w:space="0" w:color="auto"/>
              <w:right w:val="single" w:sz="4" w:space="0" w:color="auto"/>
            </w:tcBorders>
            <w:shd w:val="clear" w:color="auto" w:fill="auto"/>
            <w:noWrap/>
            <w:vAlign w:val="center"/>
            <w:hideMark/>
          </w:tcPr>
          <w:p w14:paraId="1D36769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Fournitures de Bureau et  Imprimés</w:t>
            </w:r>
          </w:p>
        </w:tc>
        <w:tc>
          <w:tcPr>
            <w:tcW w:w="1275" w:type="dxa"/>
            <w:tcBorders>
              <w:top w:val="nil"/>
              <w:left w:val="nil"/>
              <w:bottom w:val="single" w:sz="4" w:space="0" w:color="auto"/>
              <w:right w:val="single" w:sz="4" w:space="0" w:color="auto"/>
            </w:tcBorders>
            <w:shd w:val="clear" w:color="auto" w:fill="auto"/>
            <w:noWrap/>
            <w:vAlign w:val="center"/>
            <w:hideMark/>
          </w:tcPr>
          <w:p w14:paraId="4D704EF4"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10 000</w:t>
            </w:r>
          </w:p>
        </w:tc>
        <w:tc>
          <w:tcPr>
            <w:tcW w:w="1701" w:type="dxa"/>
            <w:tcBorders>
              <w:top w:val="nil"/>
              <w:left w:val="nil"/>
              <w:bottom w:val="single" w:sz="4" w:space="0" w:color="auto"/>
              <w:right w:val="single" w:sz="4" w:space="0" w:color="auto"/>
            </w:tcBorders>
            <w:shd w:val="clear" w:color="auto" w:fill="auto"/>
            <w:noWrap/>
            <w:vAlign w:val="center"/>
            <w:hideMark/>
          </w:tcPr>
          <w:p w14:paraId="6891C72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10 000</w:t>
            </w:r>
          </w:p>
        </w:tc>
        <w:tc>
          <w:tcPr>
            <w:tcW w:w="1042" w:type="dxa"/>
            <w:tcBorders>
              <w:top w:val="nil"/>
              <w:left w:val="nil"/>
              <w:bottom w:val="single" w:sz="4" w:space="0" w:color="auto"/>
              <w:right w:val="single" w:sz="4" w:space="0" w:color="auto"/>
            </w:tcBorders>
            <w:shd w:val="clear" w:color="auto" w:fill="auto"/>
            <w:noWrap/>
            <w:vAlign w:val="center"/>
            <w:hideMark/>
          </w:tcPr>
          <w:p w14:paraId="3B91D4D9"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9 500</w:t>
            </w:r>
          </w:p>
        </w:tc>
        <w:tc>
          <w:tcPr>
            <w:tcW w:w="992" w:type="dxa"/>
            <w:tcBorders>
              <w:top w:val="nil"/>
              <w:left w:val="nil"/>
              <w:bottom w:val="single" w:sz="4" w:space="0" w:color="auto"/>
              <w:right w:val="single" w:sz="4" w:space="0" w:color="auto"/>
            </w:tcBorders>
            <w:shd w:val="clear" w:color="auto" w:fill="auto"/>
            <w:noWrap/>
            <w:vAlign w:val="center"/>
            <w:hideMark/>
          </w:tcPr>
          <w:p w14:paraId="649F4CB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c>
          <w:tcPr>
            <w:tcW w:w="1134" w:type="dxa"/>
            <w:tcBorders>
              <w:top w:val="nil"/>
              <w:left w:val="nil"/>
              <w:bottom w:val="single" w:sz="4" w:space="0" w:color="auto"/>
              <w:right w:val="single" w:sz="4" w:space="0" w:color="auto"/>
            </w:tcBorders>
            <w:shd w:val="clear" w:color="auto" w:fill="auto"/>
            <w:noWrap/>
            <w:vAlign w:val="center"/>
            <w:hideMark/>
          </w:tcPr>
          <w:p w14:paraId="4E4EF80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95%</w:t>
            </w:r>
          </w:p>
        </w:tc>
      </w:tr>
      <w:tr w:rsidR="00B065F3" w:rsidRPr="00953B54" w14:paraId="1EB2B8D8"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6FCCBD8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F602222</w:t>
            </w:r>
          </w:p>
        </w:tc>
        <w:tc>
          <w:tcPr>
            <w:tcW w:w="3544" w:type="dxa"/>
            <w:tcBorders>
              <w:top w:val="nil"/>
              <w:left w:val="nil"/>
              <w:bottom w:val="single" w:sz="4" w:space="0" w:color="auto"/>
              <w:right w:val="single" w:sz="4" w:space="0" w:color="auto"/>
            </w:tcBorders>
            <w:shd w:val="clear" w:color="auto" w:fill="auto"/>
            <w:noWrap/>
            <w:vAlign w:val="center"/>
            <w:hideMark/>
          </w:tcPr>
          <w:p w14:paraId="1C909202"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Fournitures Informatiques</w:t>
            </w:r>
          </w:p>
        </w:tc>
        <w:tc>
          <w:tcPr>
            <w:tcW w:w="1275" w:type="dxa"/>
            <w:tcBorders>
              <w:top w:val="nil"/>
              <w:left w:val="nil"/>
              <w:bottom w:val="single" w:sz="4" w:space="0" w:color="auto"/>
              <w:right w:val="single" w:sz="4" w:space="0" w:color="auto"/>
            </w:tcBorders>
            <w:shd w:val="clear" w:color="auto" w:fill="auto"/>
            <w:noWrap/>
            <w:vAlign w:val="center"/>
            <w:hideMark/>
          </w:tcPr>
          <w:p w14:paraId="713E0AC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20 000</w:t>
            </w:r>
          </w:p>
        </w:tc>
        <w:tc>
          <w:tcPr>
            <w:tcW w:w="1701" w:type="dxa"/>
            <w:tcBorders>
              <w:top w:val="nil"/>
              <w:left w:val="nil"/>
              <w:bottom w:val="single" w:sz="4" w:space="0" w:color="auto"/>
              <w:right w:val="single" w:sz="4" w:space="0" w:color="auto"/>
            </w:tcBorders>
            <w:shd w:val="clear" w:color="auto" w:fill="auto"/>
            <w:noWrap/>
            <w:vAlign w:val="center"/>
            <w:hideMark/>
          </w:tcPr>
          <w:p w14:paraId="74313D8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23 500</w:t>
            </w:r>
          </w:p>
        </w:tc>
        <w:tc>
          <w:tcPr>
            <w:tcW w:w="1042" w:type="dxa"/>
            <w:tcBorders>
              <w:top w:val="nil"/>
              <w:left w:val="nil"/>
              <w:bottom w:val="single" w:sz="4" w:space="0" w:color="auto"/>
              <w:right w:val="single" w:sz="4" w:space="0" w:color="auto"/>
            </w:tcBorders>
            <w:shd w:val="clear" w:color="auto" w:fill="auto"/>
            <w:noWrap/>
            <w:vAlign w:val="center"/>
            <w:hideMark/>
          </w:tcPr>
          <w:p w14:paraId="201242FB"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15 500</w:t>
            </w:r>
          </w:p>
        </w:tc>
        <w:tc>
          <w:tcPr>
            <w:tcW w:w="992" w:type="dxa"/>
            <w:tcBorders>
              <w:top w:val="nil"/>
              <w:left w:val="nil"/>
              <w:bottom w:val="single" w:sz="4" w:space="0" w:color="auto"/>
              <w:right w:val="single" w:sz="4" w:space="0" w:color="auto"/>
            </w:tcBorders>
            <w:shd w:val="clear" w:color="000000" w:fill="FF0000"/>
            <w:noWrap/>
            <w:vAlign w:val="center"/>
            <w:hideMark/>
          </w:tcPr>
          <w:p w14:paraId="77A0500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118%</w:t>
            </w:r>
          </w:p>
        </w:tc>
        <w:tc>
          <w:tcPr>
            <w:tcW w:w="1134" w:type="dxa"/>
            <w:tcBorders>
              <w:top w:val="nil"/>
              <w:left w:val="nil"/>
              <w:bottom w:val="single" w:sz="4" w:space="0" w:color="auto"/>
              <w:right w:val="single" w:sz="4" w:space="0" w:color="auto"/>
            </w:tcBorders>
            <w:shd w:val="clear" w:color="auto" w:fill="auto"/>
            <w:noWrap/>
            <w:vAlign w:val="center"/>
            <w:hideMark/>
          </w:tcPr>
          <w:p w14:paraId="5C2BFDC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78%</w:t>
            </w:r>
          </w:p>
        </w:tc>
      </w:tr>
      <w:tr w:rsidR="00B065F3" w:rsidRPr="00953B54" w14:paraId="6EC32930"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496A073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F602284</w:t>
            </w:r>
          </w:p>
        </w:tc>
        <w:tc>
          <w:tcPr>
            <w:tcW w:w="3544" w:type="dxa"/>
            <w:tcBorders>
              <w:top w:val="nil"/>
              <w:left w:val="nil"/>
              <w:bottom w:val="single" w:sz="4" w:space="0" w:color="auto"/>
              <w:right w:val="single" w:sz="4" w:space="0" w:color="auto"/>
            </w:tcBorders>
            <w:shd w:val="clear" w:color="auto" w:fill="auto"/>
            <w:noWrap/>
            <w:vAlign w:val="center"/>
            <w:hideMark/>
          </w:tcPr>
          <w:p w14:paraId="03A4A80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Petit Outillage</w:t>
            </w:r>
          </w:p>
        </w:tc>
        <w:tc>
          <w:tcPr>
            <w:tcW w:w="1275" w:type="dxa"/>
            <w:tcBorders>
              <w:top w:val="nil"/>
              <w:left w:val="nil"/>
              <w:bottom w:val="single" w:sz="4" w:space="0" w:color="auto"/>
              <w:right w:val="single" w:sz="4" w:space="0" w:color="auto"/>
            </w:tcBorders>
            <w:shd w:val="clear" w:color="auto" w:fill="auto"/>
            <w:noWrap/>
            <w:vAlign w:val="center"/>
            <w:hideMark/>
          </w:tcPr>
          <w:p w14:paraId="5ECEA12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15 000</w:t>
            </w:r>
          </w:p>
        </w:tc>
        <w:tc>
          <w:tcPr>
            <w:tcW w:w="1701" w:type="dxa"/>
            <w:tcBorders>
              <w:top w:val="nil"/>
              <w:left w:val="nil"/>
              <w:bottom w:val="single" w:sz="4" w:space="0" w:color="auto"/>
              <w:right w:val="single" w:sz="4" w:space="0" w:color="auto"/>
            </w:tcBorders>
            <w:shd w:val="clear" w:color="auto" w:fill="auto"/>
            <w:noWrap/>
            <w:vAlign w:val="center"/>
            <w:hideMark/>
          </w:tcPr>
          <w:p w14:paraId="38085C9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7 500</w:t>
            </w:r>
          </w:p>
        </w:tc>
        <w:tc>
          <w:tcPr>
            <w:tcW w:w="1042" w:type="dxa"/>
            <w:tcBorders>
              <w:top w:val="nil"/>
              <w:left w:val="nil"/>
              <w:bottom w:val="single" w:sz="4" w:space="0" w:color="auto"/>
              <w:right w:val="single" w:sz="4" w:space="0" w:color="auto"/>
            </w:tcBorders>
            <w:shd w:val="clear" w:color="auto" w:fill="auto"/>
            <w:noWrap/>
            <w:vAlign w:val="center"/>
            <w:hideMark/>
          </w:tcPr>
          <w:p w14:paraId="33D59C8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5 800</w:t>
            </w:r>
          </w:p>
        </w:tc>
        <w:tc>
          <w:tcPr>
            <w:tcW w:w="992" w:type="dxa"/>
            <w:tcBorders>
              <w:top w:val="nil"/>
              <w:left w:val="nil"/>
              <w:bottom w:val="single" w:sz="4" w:space="0" w:color="auto"/>
              <w:right w:val="single" w:sz="4" w:space="0" w:color="auto"/>
            </w:tcBorders>
            <w:shd w:val="clear" w:color="auto" w:fill="auto"/>
            <w:noWrap/>
            <w:vAlign w:val="center"/>
            <w:hideMark/>
          </w:tcPr>
          <w:p w14:paraId="24E3727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50%</w:t>
            </w:r>
          </w:p>
        </w:tc>
        <w:tc>
          <w:tcPr>
            <w:tcW w:w="1134" w:type="dxa"/>
            <w:tcBorders>
              <w:top w:val="nil"/>
              <w:left w:val="nil"/>
              <w:bottom w:val="single" w:sz="4" w:space="0" w:color="auto"/>
              <w:right w:val="single" w:sz="4" w:space="0" w:color="auto"/>
            </w:tcBorders>
            <w:shd w:val="clear" w:color="auto" w:fill="auto"/>
            <w:noWrap/>
            <w:vAlign w:val="center"/>
            <w:hideMark/>
          </w:tcPr>
          <w:p w14:paraId="44AAFD4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39%</w:t>
            </w:r>
          </w:p>
        </w:tc>
      </w:tr>
      <w:tr w:rsidR="00B065F3" w:rsidRPr="00953B54" w14:paraId="2E754E58"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50101092"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F602286</w:t>
            </w:r>
          </w:p>
        </w:tc>
        <w:tc>
          <w:tcPr>
            <w:tcW w:w="3544" w:type="dxa"/>
            <w:tcBorders>
              <w:top w:val="nil"/>
              <w:left w:val="nil"/>
              <w:bottom w:val="single" w:sz="4" w:space="0" w:color="auto"/>
              <w:right w:val="single" w:sz="4" w:space="0" w:color="auto"/>
            </w:tcBorders>
            <w:shd w:val="clear" w:color="auto" w:fill="auto"/>
            <w:noWrap/>
            <w:vAlign w:val="center"/>
            <w:hideMark/>
          </w:tcPr>
          <w:p w14:paraId="13588DE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Produits Pharmaceutiques</w:t>
            </w:r>
          </w:p>
        </w:tc>
        <w:tc>
          <w:tcPr>
            <w:tcW w:w="1275" w:type="dxa"/>
            <w:tcBorders>
              <w:top w:val="nil"/>
              <w:left w:val="nil"/>
              <w:bottom w:val="single" w:sz="4" w:space="0" w:color="auto"/>
              <w:right w:val="single" w:sz="4" w:space="0" w:color="auto"/>
            </w:tcBorders>
            <w:shd w:val="clear" w:color="auto" w:fill="auto"/>
            <w:noWrap/>
            <w:vAlign w:val="center"/>
            <w:hideMark/>
          </w:tcPr>
          <w:p w14:paraId="4747A63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1 000</w:t>
            </w:r>
          </w:p>
        </w:tc>
        <w:tc>
          <w:tcPr>
            <w:tcW w:w="1701" w:type="dxa"/>
            <w:tcBorders>
              <w:top w:val="nil"/>
              <w:left w:val="nil"/>
              <w:bottom w:val="single" w:sz="4" w:space="0" w:color="auto"/>
              <w:right w:val="single" w:sz="4" w:space="0" w:color="auto"/>
            </w:tcBorders>
            <w:shd w:val="clear" w:color="auto" w:fill="auto"/>
            <w:noWrap/>
            <w:vAlign w:val="center"/>
            <w:hideMark/>
          </w:tcPr>
          <w:p w14:paraId="22C1402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1 450</w:t>
            </w:r>
          </w:p>
        </w:tc>
        <w:tc>
          <w:tcPr>
            <w:tcW w:w="1042" w:type="dxa"/>
            <w:tcBorders>
              <w:top w:val="nil"/>
              <w:left w:val="nil"/>
              <w:bottom w:val="single" w:sz="4" w:space="0" w:color="auto"/>
              <w:right w:val="single" w:sz="4" w:space="0" w:color="auto"/>
            </w:tcBorders>
            <w:shd w:val="clear" w:color="auto" w:fill="auto"/>
            <w:noWrap/>
            <w:vAlign w:val="center"/>
            <w:hideMark/>
          </w:tcPr>
          <w:p w14:paraId="6AC7421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950</w:t>
            </w:r>
          </w:p>
        </w:tc>
        <w:tc>
          <w:tcPr>
            <w:tcW w:w="992" w:type="dxa"/>
            <w:tcBorders>
              <w:top w:val="nil"/>
              <w:left w:val="nil"/>
              <w:bottom w:val="single" w:sz="4" w:space="0" w:color="auto"/>
              <w:right w:val="single" w:sz="4" w:space="0" w:color="auto"/>
            </w:tcBorders>
            <w:shd w:val="clear" w:color="000000" w:fill="FF0000"/>
            <w:noWrap/>
            <w:vAlign w:val="center"/>
            <w:hideMark/>
          </w:tcPr>
          <w:p w14:paraId="793FDE2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145%</w:t>
            </w:r>
          </w:p>
        </w:tc>
        <w:tc>
          <w:tcPr>
            <w:tcW w:w="1134" w:type="dxa"/>
            <w:tcBorders>
              <w:top w:val="nil"/>
              <w:left w:val="nil"/>
              <w:bottom w:val="single" w:sz="4" w:space="0" w:color="auto"/>
              <w:right w:val="single" w:sz="4" w:space="0" w:color="auto"/>
            </w:tcBorders>
            <w:shd w:val="clear" w:color="auto" w:fill="auto"/>
            <w:noWrap/>
            <w:vAlign w:val="center"/>
            <w:hideMark/>
          </w:tcPr>
          <w:p w14:paraId="223A37A4"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95%</w:t>
            </w:r>
          </w:p>
        </w:tc>
      </w:tr>
      <w:tr w:rsidR="00B065F3" w:rsidRPr="00953B54" w14:paraId="59E65612"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654B4F8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F602288</w:t>
            </w:r>
          </w:p>
        </w:tc>
        <w:tc>
          <w:tcPr>
            <w:tcW w:w="3544" w:type="dxa"/>
            <w:tcBorders>
              <w:top w:val="nil"/>
              <w:left w:val="nil"/>
              <w:bottom w:val="single" w:sz="4" w:space="0" w:color="auto"/>
              <w:right w:val="single" w:sz="4" w:space="0" w:color="auto"/>
            </w:tcBorders>
            <w:shd w:val="clear" w:color="auto" w:fill="auto"/>
            <w:noWrap/>
            <w:vAlign w:val="center"/>
            <w:hideMark/>
          </w:tcPr>
          <w:p w14:paraId="153795F0"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Autres Fournitures Consommables</w:t>
            </w:r>
          </w:p>
        </w:tc>
        <w:tc>
          <w:tcPr>
            <w:tcW w:w="1275" w:type="dxa"/>
            <w:tcBorders>
              <w:top w:val="nil"/>
              <w:left w:val="nil"/>
              <w:bottom w:val="single" w:sz="4" w:space="0" w:color="auto"/>
              <w:right w:val="single" w:sz="4" w:space="0" w:color="auto"/>
            </w:tcBorders>
            <w:shd w:val="clear" w:color="auto" w:fill="auto"/>
            <w:noWrap/>
            <w:vAlign w:val="center"/>
            <w:hideMark/>
          </w:tcPr>
          <w:p w14:paraId="107FD72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2 000</w:t>
            </w:r>
          </w:p>
        </w:tc>
        <w:tc>
          <w:tcPr>
            <w:tcW w:w="1701" w:type="dxa"/>
            <w:tcBorders>
              <w:top w:val="nil"/>
              <w:left w:val="nil"/>
              <w:bottom w:val="single" w:sz="4" w:space="0" w:color="auto"/>
              <w:right w:val="single" w:sz="4" w:space="0" w:color="auto"/>
            </w:tcBorders>
            <w:shd w:val="clear" w:color="auto" w:fill="auto"/>
            <w:noWrap/>
            <w:vAlign w:val="center"/>
            <w:hideMark/>
          </w:tcPr>
          <w:p w14:paraId="136CD6A5" w14:textId="77777777" w:rsidR="00B065F3" w:rsidRPr="00953B54" w:rsidRDefault="00B065F3" w:rsidP="00AE3850">
            <w:pPr>
              <w:spacing w:line="360" w:lineRule="auto"/>
              <w:jc w:val="both"/>
              <w:rPr>
                <w:rFonts w:asciiTheme="majorBidi" w:eastAsia="Times New Roman" w:hAnsiTheme="majorBidi" w:cstheme="majorBidi"/>
                <w:lang w:eastAsia="fr-FR"/>
              </w:rPr>
            </w:pPr>
          </w:p>
        </w:tc>
        <w:tc>
          <w:tcPr>
            <w:tcW w:w="1042" w:type="dxa"/>
            <w:tcBorders>
              <w:top w:val="nil"/>
              <w:left w:val="nil"/>
              <w:bottom w:val="single" w:sz="4" w:space="0" w:color="auto"/>
              <w:right w:val="single" w:sz="4" w:space="0" w:color="auto"/>
            </w:tcBorders>
            <w:shd w:val="clear" w:color="auto" w:fill="auto"/>
            <w:noWrap/>
            <w:vAlign w:val="center"/>
            <w:hideMark/>
          </w:tcPr>
          <w:p w14:paraId="5173409F" w14:textId="77777777" w:rsidR="00B065F3" w:rsidRPr="00953B54" w:rsidRDefault="00B065F3" w:rsidP="00AE3850">
            <w:pPr>
              <w:spacing w:line="360" w:lineRule="auto"/>
              <w:jc w:val="both"/>
              <w:rPr>
                <w:rFonts w:asciiTheme="majorBidi" w:eastAsia="Times New Roman" w:hAnsiTheme="majorBidi" w:cstheme="majorBidi"/>
                <w:lang w:eastAsia="fr-FR"/>
              </w:rPr>
            </w:pPr>
          </w:p>
        </w:tc>
        <w:tc>
          <w:tcPr>
            <w:tcW w:w="992" w:type="dxa"/>
            <w:tcBorders>
              <w:top w:val="nil"/>
              <w:left w:val="nil"/>
              <w:bottom w:val="single" w:sz="4" w:space="0" w:color="auto"/>
              <w:right w:val="single" w:sz="4" w:space="0" w:color="auto"/>
            </w:tcBorders>
            <w:shd w:val="clear" w:color="auto" w:fill="auto"/>
            <w:noWrap/>
            <w:vAlign w:val="center"/>
            <w:hideMark/>
          </w:tcPr>
          <w:p w14:paraId="4D82F4F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0%</w:t>
            </w:r>
          </w:p>
        </w:tc>
        <w:tc>
          <w:tcPr>
            <w:tcW w:w="1134" w:type="dxa"/>
            <w:tcBorders>
              <w:top w:val="nil"/>
              <w:left w:val="nil"/>
              <w:bottom w:val="single" w:sz="4" w:space="0" w:color="auto"/>
              <w:right w:val="single" w:sz="4" w:space="0" w:color="auto"/>
            </w:tcBorders>
            <w:shd w:val="clear" w:color="auto" w:fill="auto"/>
            <w:noWrap/>
            <w:vAlign w:val="center"/>
            <w:hideMark/>
          </w:tcPr>
          <w:p w14:paraId="33FBB1F2"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0%</w:t>
            </w:r>
          </w:p>
        </w:tc>
      </w:tr>
      <w:tr w:rsidR="00B065F3" w:rsidRPr="00953B54" w14:paraId="625E4282"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7480E37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F607110</w:t>
            </w:r>
          </w:p>
        </w:tc>
        <w:tc>
          <w:tcPr>
            <w:tcW w:w="3544" w:type="dxa"/>
            <w:tcBorders>
              <w:top w:val="nil"/>
              <w:left w:val="nil"/>
              <w:bottom w:val="single" w:sz="4" w:space="0" w:color="auto"/>
              <w:right w:val="single" w:sz="4" w:space="0" w:color="auto"/>
            </w:tcBorders>
            <w:shd w:val="clear" w:color="auto" w:fill="auto"/>
            <w:noWrap/>
            <w:vAlign w:val="center"/>
            <w:hideMark/>
          </w:tcPr>
          <w:p w14:paraId="0FA3B19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Electricité et Gaz</w:t>
            </w:r>
          </w:p>
        </w:tc>
        <w:tc>
          <w:tcPr>
            <w:tcW w:w="1275" w:type="dxa"/>
            <w:tcBorders>
              <w:top w:val="nil"/>
              <w:left w:val="nil"/>
              <w:bottom w:val="single" w:sz="4" w:space="0" w:color="auto"/>
              <w:right w:val="single" w:sz="4" w:space="0" w:color="auto"/>
            </w:tcBorders>
            <w:shd w:val="clear" w:color="auto" w:fill="auto"/>
            <w:noWrap/>
            <w:vAlign w:val="center"/>
            <w:hideMark/>
          </w:tcPr>
          <w:p w14:paraId="15E0A17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50 000</w:t>
            </w:r>
          </w:p>
        </w:tc>
        <w:tc>
          <w:tcPr>
            <w:tcW w:w="1701" w:type="dxa"/>
            <w:tcBorders>
              <w:top w:val="nil"/>
              <w:left w:val="nil"/>
              <w:bottom w:val="single" w:sz="4" w:space="0" w:color="auto"/>
              <w:right w:val="single" w:sz="4" w:space="0" w:color="auto"/>
            </w:tcBorders>
            <w:shd w:val="clear" w:color="auto" w:fill="auto"/>
            <w:noWrap/>
            <w:vAlign w:val="center"/>
            <w:hideMark/>
          </w:tcPr>
          <w:p w14:paraId="659FCB4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40 500</w:t>
            </w:r>
          </w:p>
        </w:tc>
        <w:tc>
          <w:tcPr>
            <w:tcW w:w="1042" w:type="dxa"/>
            <w:tcBorders>
              <w:top w:val="nil"/>
              <w:left w:val="nil"/>
              <w:bottom w:val="single" w:sz="4" w:space="0" w:color="auto"/>
              <w:right w:val="single" w:sz="4" w:space="0" w:color="auto"/>
            </w:tcBorders>
            <w:shd w:val="clear" w:color="auto" w:fill="auto"/>
            <w:noWrap/>
            <w:vAlign w:val="center"/>
            <w:hideMark/>
          </w:tcPr>
          <w:p w14:paraId="3E46CD6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40 500</w:t>
            </w:r>
          </w:p>
        </w:tc>
        <w:tc>
          <w:tcPr>
            <w:tcW w:w="992" w:type="dxa"/>
            <w:tcBorders>
              <w:top w:val="nil"/>
              <w:left w:val="nil"/>
              <w:bottom w:val="single" w:sz="4" w:space="0" w:color="auto"/>
              <w:right w:val="single" w:sz="4" w:space="0" w:color="auto"/>
            </w:tcBorders>
            <w:shd w:val="clear" w:color="auto" w:fill="auto"/>
            <w:noWrap/>
            <w:vAlign w:val="center"/>
            <w:hideMark/>
          </w:tcPr>
          <w:p w14:paraId="3D426AAB"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81%</w:t>
            </w:r>
          </w:p>
        </w:tc>
        <w:tc>
          <w:tcPr>
            <w:tcW w:w="1134" w:type="dxa"/>
            <w:tcBorders>
              <w:top w:val="nil"/>
              <w:left w:val="nil"/>
              <w:bottom w:val="single" w:sz="4" w:space="0" w:color="auto"/>
              <w:right w:val="single" w:sz="4" w:space="0" w:color="auto"/>
            </w:tcBorders>
            <w:shd w:val="clear" w:color="auto" w:fill="auto"/>
            <w:noWrap/>
            <w:vAlign w:val="center"/>
            <w:hideMark/>
          </w:tcPr>
          <w:p w14:paraId="3802E6D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81%</w:t>
            </w:r>
          </w:p>
        </w:tc>
      </w:tr>
      <w:tr w:rsidR="00B065F3" w:rsidRPr="00953B54" w14:paraId="5F25ED78" w14:textId="77777777" w:rsidTr="005C262F">
        <w:trPr>
          <w:trHeight w:val="315"/>
          <w:jc w:val="center"/>
        </w:trPr>
        <w:tc>
          <w:tcPr>
            <w:tcW w:w="1135" w:type="dxa"/>
            <w:tcBorders>
              <w:top w:val="nil"/>
              <w:left w:val="single" w:sz="4" w:space="0" w:color="auto"/>
              <w:bottom w:val="single" w:sz="4" w:space="0" w:color="auto"/>
              <w:right w:val="single" w:sz="4" w:space="0" w:color="auto"/>
            </w:tcBorders>
            <w:shd w:val="clear" w:color="auto" w:fill="auto"/>
            <w:vAlign w:val="center"/>
            <w:hideMark/>
          </w:tcPr>
          <w:p w14:paraId="552A59DB"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F607130</w:t>
            </w:r>
          </w:p>
        </w:tc>
        <w:tc>
          <w:tcPr>
            <w:tcW w:w="3544" w:type="dxa"/>
            <w:tcBorders>
              <w:top w:val="nil"/>
              <w:left w:val="nil"/>
              <w:bottom w:val="single" w:sz="4" w:space="0" w:color="auto"/>
              <w:right w:val="single" w:sz="4" w:space="0" w:color="auto"/>
            </w:tcBorders>
            <w:shd w:val="clear" w:color="auto" w:fill="auto"/>
            <w:noWrap/>
            <w:vAlign w:val="center"/>
            <w:hideMark/>
          </w:tcPr>
          <w:p w14:paraId="54C5FE39"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Eau</w:t>
            </w:r>
          </w:p>
        </w:tc>
        <w:tc>
          <w:tcPr>
            <w:tcW w:w="1275" w:type="dxa"/>
            <w:tcBorders>
              <w:top w:val="nil"/>
              <w:left w:val="nil"/>
              <w:bottom w:val="single" w:sz="4" w:space="0" w:color="auto"/>
              <w:right w:val="single" w:sz="4" w:space="0" w:color="auto"/>
            </w:tcBorders>
            <w:shd w:val="clear" w:color="auto" w:fill="auto"/>
            <w:noWrap/>
            <w:vAlign w:val="center"/>
            <w:hideMark/>
          </w:tcPr>
          <w:p w14:paraId="4AB6BE7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2 000</w:t>
            </w:r>
          </w:p>
        </w:tc>
        <w:tc>
          <w:tcPr>
            <w:tcW w:w="1701" w:type="dxa"/>
            <w:tcBorders>
              <w:top w:val="nil"/>
              <w:left w:val="nil"/>
              <w:bottom w:val="single" w:sz="4" w:space="0" w:color="auto"/>
              <w:right w:val="single" w:sz="4" w:space="0" w:color="auto"/>
            </w:tcBorders>
            <w:shd w:val="clear" w:color="auto" w:fill="auto"/>
            <w:noWrap/>
            <w:vAlign w:val="center"/>
            <w:hideMark/>
          </w:tcPr>
          <w:p w14:paraId="5FB62C2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150</w:t>
            </w:r>
          </w:p>
        </w:tc>
        <w:tc>
          <w:tcPr>
            <w:tcW w:w="1042" w:type="dxa"/>
            <w:tcBorders>
              <w:top w:val="nil"/>
              <w:left w:val="nil"/>
              <w:bottom w:val="single" w:sz="4" w:space="0" w:color="auto"/>
              <w:right w:val="single" w:sz="4" w:space="0" w:color="auto"/>
            </w:tcBorders>
            <w:shd w:val="clear" w:color="auto" w:fill="auto"/>
            <w:noWrap/>
            <w:vAlign w:val="center"/>
            <w:hideMark/>
          </w:tcPr>
          <w:p w14:paraId="6AC7D7B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150</w:t>
            </w:r>
          </w:p>
        </w:tc>
        <w:tc>
          <w:tcPr>
            <w:tcW w:w="992" w:type="dxa"/>
            <w:tcBorders>
              <w:top w:val="nil"/>
              <w:left w:val="nil"/>
              <w:bottom w:val="single" w:sz="4" w:space="0" w:color="auto"/>
              <w:right w:val="single" w:sz="4" w:space="0" w:color="auto"/>
            </w:tcBorders>
            <w:shd w:val="clear" w:color="auto" w:fill="auto"/>
            <w:noWrap/>
            <w:vAlign w:val="center"/>
            <w:hideMark/>
          </w:tcPr>
          <w:p w14:paraId="0FAB464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w:t>
            </w:r>
          </w:p>
        </w:tc>
        <w:tc>
          <w:tcPr>
            <w:tcW w:w="1134" w:type="dxa"/>
            <w:tcBorders>
              <w:top w:val="nil"/>
              <w:left w:val="nil"/>
              <w:bottom w:val="single" w:sz="4" w:space="0" w:color="auto"/>
              <w:right w:val="single" w:sz="4" w:space="0" w:color="auto"/>
            </w:tcBorders>
            <w:shd w:val="clear" w:color="auto" w:fill="auto"/>
            <w:noWrap/>
            <w:vAlign w:val="center"/>
            <w:hideMark/>
          </w:tcPr>
          <w:p w14:paraId="38B3A74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w:t>
            </w:r>
          </w:p>
        </w:tc>
      </w:tr>
      <w:tr w:rsidR="00B065F3" w:rsidRPr="00953B54" w14:paraId="5E4E2134" w14:textId="77777777" w:rsidTr="005C262F">
        <w:trPr>
          <w:trHeight w:val="172"/>
          <w:jc w:val="center"/>
        </w:trPr>
        <w:tc>
          <w:tcPr>
            <w:tcW w:w="1135" w:type="dxa"/>
            <w:tcBorders>
              <w:top w:val="nil"/>
              <w:left w:val="single" w:sz="4" w:space="0" w:color="auto"/>
              <w:bottom w:val="single" w:sz="4" w:space="0" w:color="auto"/>
              <w:right w:val="single" w:sz="4" w:space="0" w:color="auto"/>
            </w:tcBorders>
            <w:shd w:val="clear" w:color="000000" w:fill="C6E0B4"/>
            <w:noWrap/>
            <w:vAlign w:val="center"/>
            <w:hideMark/>
          </w:tcPr>
          <w:p w14:paraId="4D13ECC9"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544" w:type="dxa"/>
            <w:tcBorders>
              <w:top w:val="nil"/>
              <w:left w:val="nil"/>
              <w:bottom w:val="single" w:sz="4" w:space="0" w:color="auto"/>
              <w:right w:val="single" w:sz="4" w:space="0" w:color="auto"/>
            </w:tcBorders>
            <w:shd w:val="clear" w:color="000000" w:fill="C6E0B4"/>
            <w:noWrap/>
            <w:vAlign w:val="center"/>
            <w:hideMark/>
          </w:tcPr>
          <w:p w14:paraId="106FACD8"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Total Achats Consommés (Compte 60)</w:t>
            </w:r>
          </w:p>
        </w:tc>
        <w:tc>
          <w:tcPr>
            <w:tcW w:w="1275" w:type="dxa"/>
            <w:tcBorders>
              <w:top w:val="nil"/>
              <w:left w:val="nil"/>
              <w:bottom w:val="single" w:sz="4" w:space="0" w:color="auto"/>
              <w:right w:val="single" w:sz="4" w:space="0" w:color="auto"/>
            </w:tcBorders>
            <w:shd w:val="clear" w:color="000000" w:fill="C6E0B4"/>
            <w:noWrap/>
            <w:vAlign w:val="center"/>
            <w:hideMark/>
          </w:tcPr>
          <w:p w14:paraId="27469B6F"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126 200</w:t>
            </w:r>
          </w:p>
        </w:tc>
        <w:tc>
          <w:tcPr>
            <w:tcW w:w="1701" w:type="dxa"/>
            <w:tcBorders>
              <w:top w:val="nil"/>
              <w:left w:val="nil"/>
              <w:bottom w:val="single" w:sz="4" w:space="0" w:color="auto"/>
              <w:right w:val="single" w:sz="4" w:space="0" w:color="auto"/>
            </w:tcBorders>
            <w:shd w:val="clear" w:color="000000" w:fill="C6E0B4"/>
            <w:noWrap/>
            <w:vAlign w:val="center"/>
            <w:hideMark/>
          </w:tcPr>
          <w:p w14:paraId="5AC5B74E"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106 571</w:t>
            </w:r>
          </w:p>
        </w:tc>
        <w:tc>
          <w:tcPr>
            <w:tcW w:w="1042" w:type="dxa"/>
            <w:tcBorders>
              <w:top w:val="nil"/>
              <w:left w:val="nil"/>
              <w:bottom w:val="single" w:sz="4" w:space="0" w:color="auto"/>
              <w:right w:val="single" w:sz="4" w:space="0" w:color="auto"/>
            </w:tcBorders>
            <w:shd w:val="clear" w:color="000000" w:fill="C6E0B4"/>
            <w:noWrap/>
            <w:vAlign w:val="center"/>
            <w:hideMark/>
          </w:tcPr>
          <w:p w14:paraId="6E161E33"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89 671</w:t>
            </w:r>
          </w:p>
        </w:tc>
        <w:tc>
          <w:tcPr>
            <w:tcW w:w="992" w:type="dxa"/>
            <w:tcBorders>
              <w:top w:val="nil"/>
              <w:left w:val="nil"/>
              <w:bottom w:val="single" w:sz="4" w:space="0" w:color="auto"/>
              <w:right w:val="single" w:sz="4" w:space="0" w:color="auto"/>
            </w:tcBorders>
            <w:shd w:val="clear" w:color="000000" w:fill="C6E0B4"/>
            <w:noWrap/>
            <w:vAlign w:val="center"/>
            <w:hideMark/>
          </w:tcPr>
          <w:p w14:paraId="619175D3"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84%</w:t>
            </w:r>
          </w:p>
        </w:tc>
        <w:tc>
          <w:tcPr>
            <w:tcW w:w="1134" w:type="dxa"/>
            <w:tcBorders>
              <w:top w:val="nil"/>
              <w:left w:val="nil"/>
              <w:bottom w:val="single" w:sz="4" w:space="0" w:color="auto"/>
              <w:right w:val="single" w:sz="4" w:space="0" w:color="auto"/>
            </w:tcBorders>
            <w:shd w:val="clear" w:color="000000" w:fill="C6E0B4"/>
            <w:noWrap/>
            <w:vAlign w:val="center"/>
            <w:hideMark/>
          </w:tcPr>
          <w:p w14:paraId="2461FDB0"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71%</w:t>
            </w:r>
          </w:p>
        </w:tc>
      </w:tr>
    </w:tbl>
    <w:p w14:paraId="765CA0AD" w14:textId="77777777" w:rsidR="00B065F3" w:rsidRPr="00470578" w:rsidRDefault="00B065F3" w:rsidP="00AE3850">
      <w:pPr>
        <w:spacing w:line="360" w:lineRule="auto"/>
        <w:jc w:val="both"/>
        <w:rPr>
          <w:rFonts w:asciiTheme="majorBidi" w:eastAsia="Times New Roman" w:hAnsiTheme="majorBidi" w:cstheme="majorBidi"/>
          <w:b/>
          <w:bCs/>
          <w:lang w:eastAsia="fr-FR"/>
        </w:rPr>
      </w:pPr>
      <w:r w:rsidRPr="00470578">
        <w:rPr>
          <w:rFonts w:asciiTheme="majorBidi" w:eastAsia="Times New Roman" w:hAnsiTheme="majorBidi" w:cstheme="majorBidi"/>
          <w:b/>
          <w:bCs/>
          <w:lang w:eastAsia="fr-FR"/>
        </w:rPr>
        <w:t>Source : DOT de Beni Messous – Département Finances et Comptabilité</w:t>
      </w:r>
    </w:p>
    <w:p w14:paraId="5A8D166A" w14:textId="115EAF60" w:rsidR="00B065F3" w:rsidRPr="00EA1079"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70" w:name="_Toc199314771"/>
      <w:r w:rsidRPr="00EA1079">
        <w:rPr>
          <w:rFonts w:asciiTheme="majorBidi" w:hAnsiTheme="majorBidi" w:cstheme="majorBidi"/>
          <w:b/>
          <w:bCs/>
          <w:i w:val="0"/>
          <w:iCs w:val="0"/>
          <w:color w:val="auto"/>
          <w:sz w:val="24"/>
          <w:szCs w:val="24"/>
        </w:rPr>
        <w:lastRenderedPageBreak/>
        <w:t xml:space="preserve">Figure N°2- </w:t>
      </w:r>
      <w:r w:rsidRPr="00EA1079">
        <w:rPr>
          <w:rFonts w:asciiTheme="majorBidi" w:hAnsiTheme="majorBidi" w:cstheme="majorBidi"/>
          <w:b/>
          <w:bCs/>
          <w:i w:val="0"/>
          <w:iCs w:val="0"/>
          <w:color w:val="auto"/>
          <w:sz w:val="24"/>
          <w:szCs w:val="24"/>
        </w:rPr>
        <w:fldChar w:fldCharType="begin"/>
      </w:r>
      <w:r w:rsidRPr="00EA1079">
        <w:rPr>
          <w:rFonts w:asciiTheme="majorBidi" w:hAnsiTheme="majorBidi" w:cstheme="majorBidi"/>
          <w:b/>
          <w:bCs/>
          <w:i w:val="0"/>
          <w:iCs w:val="0"/>
          <w:color w:val="auto"/>
          <w:sz w:val="24"/>
          <w:szCs w:val="24"/>
        </w:rPr>
        <w:instrText xml:space="preserve"> SEQ Figure_N°2- \* ARABIC </w:instrText>
      </w:r>
      <w:r w:rsidRPr="00EA1079">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5</w:t>
      </w:r>
      <w:r w:rsidRPr="00EA1079">
        <w:rPr>
          <w:rFonts w:asciiTheme="majorBidi" w:hAnsiTheme="majorBidi" w:cstheme="majorBidi"/>
          <w:b/>
          <w:bCs/>
          <w:i w:val="0"/>
          <w:iCs w:val="0"/>
          <w:color w:val="auto"/>
          <w:sz w:val="24"/>
          <w:szCs w:val="24"/>
        </w:rPr>
        <w:fldChar w:fldCharType="end"/>
      </w:r>
      <w:r w:rsidRPr="00EA1079">
        <w:rPr>
          <w:rFonts w:asciiTheme="majorBidi" w:hAnsiTheme="majorBidi" w:cstheme="majorBidi"/>
          <w:b/>
          <w:bCs/>
          <w:i w:val="0"/>
          <w:iCs w:val="0"/>
          <w:color w:val="auto"/>
          <w:sz w:val="24"/>
          <w:szCs w:val="24"/>
        </w:rPr>
        <w:t>: Histogramme des engagements et réalisations – Compte 60 : Achats consommés</w:t>
      </w:r>
      <w:bookmarkEnd w:id="170"/>
    </w:p>
    <w:p w14:paraId="71A1CD3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noProof/>
          <w:lang w:eastAsia="fr-FR"/>
        </w:rPr>
        <w:drawing>
          <wp:inline distT="0" distB="0" distL="0" distR="0" wp14:anchorId="62BDB951" wp14:editId="2389623C">
            <wp:extent cx="6298792" cy="2215919"/>
            <wp:effectExtent l="0" t="0" r="6985" b="0"/>
            <wp:docPr id="18" name="Image 18" descr="C:\Users\HP\Downloads\7E560416-EDC7-4282-AABD-620A0B396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7E560416-EDC7-4282-AABD-620A0B396E32.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326503" cy="2225668"/>
                    </a:xfrm>
                    <a:prstGeom prst="rect">
                      <a:avLst/>
                    </a:prstGeom>
                    <a:noFill/>
                    <a:ln>
                      <a:noFill/>
                    </a:ln>
                  </pic:spPr>
                </pic:pic>
              </a:graphicData>
            </a:graphic>
          </wp:inline>
        </w:drawing>
      </w:r>
    </w:p>
    <w:p w14:paraId="674B1969"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hAnsiTheme="majorBidi" w:cstheme="majorBidi"/>
          <w:b/>
          <w:bCs/>
        </w:rPr>
        <w:t>Source : Élaboré par les étudiants selon les données de la DFC de la DOT de Beni Messous</w:t>
      </w:r>
    </w:p>
    <w:p w14:paraId="471ACE59" w14:textId="77777777" w:rsidR="00B065F3"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Commentaire :</w:t>
      </w:r>
    </w:p>
    <w:p w14:paraId="6A6B1A2D" w14:textId="77777777" w:rsidR="00B065F3" w:rsidRPr="00953B54" w:rsidRDefault="00B065F3" w:rsidP="00AE3850">
      <w:pPr>
        <w:spacing w:line="360" w:lineRule="auto"/>
        <w:ind w:firstLine="708"/>
        <w:jc w:val="both"/>
        <w:rPr>
          <w:rFonts w:asciiTheme="majorBidi" w:eastAsia="Times New Roman" w:hAnsiTheme="majorBidi" w:cstheme="majorBidi"/>
          <w:b/>
          <w:bCs/>
          <w:lang w:eastAsia="fr-FR"/>
        </w:rPr>
      </w:pPr>
      <w:r w:rsidRPr="00953B54">
        <w:rPr>
          <w:rFonts w:asciiTheme="majorBidi" w:hAnsiTheme="majorBidi" w:cstheme="majorBidi"/>
        </w:rPr>
        <w:t>L’analyse du compte 60 révèle une sous-exécution globale avec un taux d’engagement de 84 % et un taux de réalisation de 71 %. Certains postes comme les fournitures informatiques (118 %) et les produits pharmaceutiques (145 %) ont largement dépassé les prévisions, traduisant des besoins imprévus ou mal évalués. À l’inverse, plusieurs postes restent très faiblement consommés, voire inexploités, comme les lubrifiants (5 %), l’eau (8 %) ou encore les appareils téléphoniques (0 %). Cela reflète soit une absence de besoin réel, soit des reports ou annulations d’achats. Cette situation met en lumière des écarts importants dans la planification, nécessitant un ajustement des prévisions pour une meilleure allocation des ressources</w:t>
      </w:r>
      <w:r w:rsidRPr="00953B54">
        <w:rPr>
          <w:rFonts w:asciiTheme="majorBidi" w:eastAsia="Times New Roman" w:hAnsiTheme="majorBidi" w:cstheme="majorBidi"/>
          <w:lang w:eastAsia="fr-FR"/>
        </w:rPr>
        <w:t>.</w:t>
      </w:r>
    </w:p>
    <w:p w14:paraId="29D81521" w14:textId="77777777" w:rsidR="00B065F3" w:rsidRPr="00953B54" w:rsidRDefault="00B065F3" w:rsidP="00AE3850">
      <w:pPr>
        <w:spacing w:line="360" w:lineRule="auto"/>
        <w:jc w:val="both"/>
        <w:rPr>
          <w:rFonts w:asciiTheme="majorBidi" w:eastAsia="Times New Roman" w:hAnsiTheme="majorBidi" w:cstheme="majorBidi"/>
          <w:b/>
          <w:bCs/>
          <w:lang w:eastAsia="fr-FR"/>
        </w:rPr>
      </w:pPr>
    </w:p>
    <w:p w14:paraId="64499155" w14:textId="77777777" w:rsidR="002F3A91" w:rsidRDefault="002F3A91" w:rsidP="00AE3850">
      <w:pPr>
        <w:spacing w:line="360" w:lineRule="auto"/>
        <w:jc w:val="both"/>
        <w:rPr>
          <w:rFonts w:asciiTheme="majorBidi" w:hAnsiTheme="majorBidi" w:cstheme="majorBidi"/>
          <w:b/>
          <w:bCs/>
        </w:rPr>
      </w:pPr>
      <w:r>
        <w:rPr>
          <w:rFonts w:asciiTheme="majorBidi" w:hAnsiTheme="majorBidi" w:cstheme="majorBidi"/>
          <w:b/>
          <w:bCs/>
          <w:i/>
          <w:iCs/>
        </w:rPr>
        <w:br w:type="page"/>
      </w:r>
    </w:p>
    <w:p w14:paraId="61AF523A" w14:textId="0F1F1C62" w:rsidR="00B065F3" w:rsidRPr="00493806" w:rsidRDefault="00B065F3" w:rsidP="00AE3850">
      <w:pPr>
        <w:pStyle w:val="Lgende"/>
        <w:keepNext/>
        <w:spacing w:line="360" w:lineRule="auto"/>
        <w:jc w:val="both"/>
        <w:rPr>
          <w:rFonts w:asciiTheme="majorBidi" w:hAnsiTheme="majorBidi" w:cstheme="majorBidi"/>
          <w:b/>
          <w:bCs/>
          <w:i w:val="0"/>
          <w:iCs w:val="0"/>
          <w:color w:val="auto"/>
          <w:sz w:val="24"/>
          <w:szCs w:val="24"/>
        </w:rPr>
      </w:pPr>
      <w:r w:rsidRPr="00493806">
        <w:rPr>
          <w:rFonts w:asciiTheme="majorBidi" w:hAnsiTheme="majorBidi" w:cstheme="majorBidi"/>
          <w:b/>
          <w:bCs/>
          <w:i w:val="0"/>
          <w:iCs w:val="0"/>
          <w:color w:val="auto"/>
          <w:sz w:val="24"/>
          <w:szCs w:val="24"/>
        </w:rPr>
        <w:lastRenderedPageBreak/>
        <w:t xml:space="preserve">Tableau N°3- </w:t>
      </w:r>
      <w:r w:rsidRPr="00493806">
        <w:rPr>
          <w:rFonts w:asciiTheme="majorBidi" w:hAnsiTheme="majorBidi" w:cstheme="majorBidi"/>
          <w:b/>
          <w:bCs/>
          <w:i w:val="0"/>
          <w:iCs w:val="0"/>
          <w:color w:val="auto"/>
          <w:sz w:val="24"/>
          <w:szCs w:val="24"/>
        </w:rPr>
        <w:fldChar w:fldCharType="begin"/>
      </w:r>
      <w:r w:rsidRPr="00493806">
        <w:rPr>
          <w:rFonts w:asciiTheme="majorBidi" w:hAnsiTheme="majorBidi" w:cstheme="majorBidi"/>
          <w:b/>
          <w:bCs/>
          <w:i w:val="0"/>
          <w:iCs w:val="0"/>
          <w:color w:val="auto"/>
          <w:sz w:val="24"/>
          <w:szCs w:val="24"/>
        </w:rPr>
        <w:instrText xml:space="preserve"> SEQ Tableau_N°3- \* ARABIC </w:instrText>
      </w:r>
      <w:r w:rsidRPr="00493806">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1</w:t>
      </w:r>
      <w:r w:rsidRPr="00493806">
        <w:rPr>
          <w:rFonts w:asciiTheme="majorBidi" w:hAnsiTheme="majorBidi" w:cstheme="majorBidi"/>
          <w:b/>
          <w:bCs/>
          <w:i w:val="0"/>
          <w:iCs w:val="0"/>
          <w:color w:val="auto"/>
          <w:sz w:val="24"/>
          <w:szCs w:val="24"/>
        </w:rPr>
        <w:fldChar w:fldCharType="end"/>
      </w:r>
      <w:r w:rsidRPr="00493806">
        <w:rPr>
          <w:rFonts w:asciiTheme="majorBidi" w:hAnsiTheme="majorBidi" w:cstheme="majorBidi"/>
          <w:b/>
          <w:bCs/>
          <w:i w:val="0"/>
          <w:iCs w:val="0"/>
          <w:color w:val="auto"/>
          <w:sz w:val="24"/>
          <w:szCs w:val="24"/>
        </w:rPr>
        <w:t>: Services extérieurs et autres prestations – Com</w:t>
      </w:r>
      <w:r w:rsidR="00470578">
        <w:rPr>
          <w:rFonts w:asciiTheme="majorBidi" w:hAnsiTheme="majorBidi" w:cstheme="majorBidi"/>
          <w:b/>
          <w:bCs/>
          <w:i w:val="0"/>
          <w:iCs w:val="0"/>
          <w:color w:val="auto"/>
          <w:sz w:val="24"/>
          <w:szCs w:val="24"/>
        </w:rPr>
        <w:t>ptes 61 et 62 (En KDA</w:t>
      </w:r>
      <w:r w:rsidRPr="00493806">
        <w:rPr>
          <w:rFonts w:asciiTheme="majorBidi" w:hAnsiTheme="majorBidi" w:cstheme="majorBidi"/>
          <w:b/>
          <w:bCs/>
          <w:i w:val="0"/>
          <w:iCs w:val="0"/>
          <w:color w:val="auto"/>
          <w:sz w:val="24"/>
          <w:szCs w:val="24"/>
        </w:rPr>
        <w:t>)</w:t>
      </w:r>
    </w:p>
    <w:tbl>
      <w:tblPr>
        <w:tblW w:w="10930" w:type="dxa"/>
        <w:jc w:val="center"/>
        <w:tblCellMar>
          <w:left w:w="70" w:type="dxa"/>
          <w:right w:w="70" w:type="dxa"/>
        </w:tblCellMar>
        <w:tblLook w:val="04A0" w:firstRow="1" w:lastRow="0" w:firstColumn="1" w:lastColumn="0" w:noHBand="0" w:noVBand="1"/>
      </w:tblPr>
      <w:tblGrid>
        <w:gridCol w:w="1149"/>
        <w:gridCol w:w="3828"/>
        <w:gridCol w:w="1275"/>
        <w:gridCol w:w="1276"/>
        <w:gridCol w:w="1418"/>
        <w:gridCol w:w="992"/>
        <w:gridCol w:w="992"/>
      </w:tblGrid>
      <w:tr w:rsidR="00B065F3" w:rsidRPr="00493806" w14:paraId="20B3430B" w14:textId="77777777" w:rsidTr="002F3A91">
        <w:trPr>
          <w:trHeight w:val="315"/>
          <w:jc w:val="center"/>
        </w:trPr>
        <w:tc>
          <w:tcPr>
            <w:tcW w:w="1149" w:type="dxa"/>
            <w:tcBorders>
              <w:top w:val="single" w:sz="4" w:space="0" w:color="auto"/>
              <w:left w:val="single" w:sz="4" w:space="0" w:color="auto"/>
              <w:bottom w:val="single" w:sz="4" w:space="0" w:color="auto"/>
              <w:right w:val="single" w:sz="4" w:space="0" w:color="auto"/>
            </w:tcBorders>
            <w:shd w:val="clear" w:color="000000" w:fill="D9E1F2"/>
            <w:noWrap/>
            <w:vAlign w:val="center"/>
          </w:tcPr>
          <w:p w14:paraId="1DF2609A" w14:textId="77777777" w:rsidR="00B065F3" w:rsidRPr="00493806" w:rsidRDefault="00B065F3" w:rsidP="00AE3850">
            <w:pPr>
              <w:spacing w:line="360" w:lineRule="auto"/>
              <w:jc w:val="both"/>
              <w:rPr>
                <w:rFonts w:asciiTheme="majorBidi" w:eastAsia="Times New Roman" w:hAnsiTheme="majorBidi" w:cstheme="majorBidi"/>
                <w:b/>
                <w:bCs/>
                <w:lang w:eastAsia="fr-FR"/>
              </w:rPr>
            </w:pPr>
            <w:r w:rsidRPr="00493806">
              <w:rPr>
                <w:rFonts w:asciiTheme="majorBidi" w:eastAsia="Times New Roman" w:hAnsiTheme="majorBidi" w:cstheme="majorBidi"/>
                <w:b/>
                <w:bCs/>
                <w:lang w:eastAsia="fr-FR"/>
              </w:rPr>
              <w:t>Code</w:t>
            </w:r>
          </w:p>
        </w:tc>
        <w:tc>
          <w:tcPr>
            <w:tcW w:w="3828" w:type="dxa"/>
            <w:tcBorders>
              <w:top w:val="single" w:sz="4" w:space="0" w:color="auto"/>
              <w:left w:val="nil"/>
              <w:bottom w:val="single" w:sz="4" w:space="0" w:color="auto"/>
              <w:right w:val="single" w:sz="4" w:space="0" w:color="auto"/>
            </w:tcBorders>
            <w:shd w:val="clear" w:color="000000" w:fill="D9E1F2"/>
            <w:noWrap/>
            <w:vAlign w:val="center"/>
          </w:tcPr>
          <w:p w14:paraId="7670AC23" w14:textId="77777777" w:rsidR="00B065F3" w:rsidRPr="00493806" w:rsidRDefault="00B065F3" w:rsidP="00AE3850">
            <w:pPr>
              <w:spacing w:line="360" w:lineRule="auto"/>
              <w:jc w:val="both"/>
              <w:rPr>
                <w:rFonts w:asciiTheme="majorBidi" w:eastAsia="Times New Roman" w:hAnsiTheme="majorBidi" w:cstheme="majorBidi"/>
                <w:b/>
                <w:bCs/>
                <w:lang w:eastAsia="fr-FR"/>
              </w:rPr>
            </w:pPr>
            <w:r w:rsidRPr="00493806">
              <w:rPr>
                <w:rFonts w:asciiTheme="majorBidi" w:eastAsia="Times New Roman" w:hAnsiTheme="majorBidi" w:cstheme="majorBidi"/>
                <w:b/>
                <w:bCs/>
                <w:lang w:eastAsia="fr-FR"/>
              </w:rPr>
              <w:t>Désignation</w:t>
            </w:r>
          </w:p>
        </w:tc>
        <w:tc>
          <w:tcPr>
            <w:tcW w:w="1275" w:type="dxa"/>
            <w:tcBorders>
              <w:top w:val="single" w:sz="4" w:space="0" w:color="auto"/>
              <w:left w:val="nil"/>
              <w:bottom w:val="single" w:sz="4" w:space="0" w:color="auto"/>
              <w:right w:val="single" w:sz="4" w:space="0" w:color="auto"/>
            </w:tcBorders>
            <w:shd w:val="clear" w:color="000000" w:fill="D9E1F2"/>
            <w:noWrap/>
            <w:vAlign w:val="center"/>
          </w:tcPr>
          <w:p w14:paraId="5B88C3C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b/>
                <w:bCs/>
                <w:lang w:eastAsia="fr-FR"/>
              </w:rPr>
              <w:t>Budget 2023 (1)</w:t>
            </w:r>
          </w:p>
        </w:tc>
        <w:tc>
          <w:tcPr>
            <w:tcW w:w="1276" w:type="dxa"/>
            <w:tcBorders>
              <w:top w:val="single" w:sz="4" w:space="0" w:color="auto"/>
              <w:left w:val="nil"/>
              <w:bottom w:val="single" w:sz="4" w:space="0" w:color="auto"/>
              <w:right w:val="single" w:sz="4" w:space="0" w:color="auto"/>
            </w:tcBorders>
            <w:shd w:val="clear" w:color="000000" w:fill="D9E1F2"/>
            <w:noWrap/>
            <w:vAlign w:val="center"/>
          </w:tcPr>
          <w:p w14:paraId="28CACBDC"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b/>
                <w:bCs/>
                <w:lang w:eastAsia="fr-FR"/>
              </w:rPr>
              <w:t>cumul Engag au,,, (2)</w:t>
            </w:r>
          </w:p>
        </w:tc>
        <w:tc>
          <w:tcPr>
            <w:tcW w:w="1418" w:type="dxa"/>
            <w:tcBorders>
              <w:top w:val="single" w:sz="4" w:space="0" w:color="auto"/>
              <w:left w:val="nil"/>
              <w:bottom w:val="single" w:sz="4" w:space="0" w:color="auto"/>
              <w:right w:val="single" w:sz="4" w:space="0" w:color="auto"/>
            </w:tcBorders>
            <w:shd w:val="clear" w:color="000000" w:fill="D9E1F2"/>
            <w:noWrap/>
            <w:vAlign w:val="center"/>
          </w:tcPr>
          <w:p w14:paraId="06FB7D5C"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b/>
                <w:bCs/>
                <w:lang w:eastAsia="fr-FR"/>
              </w:rPr>
              <w:t>cumul Réal au,,,,, (3)</w:t>
            </w:r>
          </w:p>
        </w:tc>
        <w:tc>
          <w:tcPr>
            <w:tcW w:w="992" w:type="dxa"/>
            <w:tcBorders>
              <w:top w:val="single" w:sz="4" w:space="0" w:color="auto"/>
              <w:left w:val="nil"/>
              <w:bottom w:val="single" w:sz="4" w:space="0" w:color="auto"/>
              <w:right w:val="single" w:sz="4" w:space="0" w:color="auto"/>
            </w:tcBorders>
            <w:shd w:val="clear" w:color="000000" w:fill="D9E1F2"/>
            <w:noWrap/>
            <w:vAlign w:val="center"/>
          </w:tcPr>
          <w:p w14:paraId="7904DC0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b/>
                <w:bCs/>
                <w:lang w:eastAsia="fr-FR"/>
              </w:rPr>
              <w:t>Taux d'engag  (2)/(1)</w:t>
            </w:r>
          </w:p>
        </w:tc>
        <w:tc>
          <w:tcPr>
            <w:tcW w:w="992" w:type="dxa"/>
            <w:tcBorders>
              <w:top w:val="single" w:sz="4" w:space="0" w:color="auto"/>
              <w:left w:val="nil"/>
              <w:bottom w:val="single" w:sz="4" w:space="0" w:color="auto"/>
              <w:right w:val="single" w:sz="4" w:space="0" w:color="auto"/>
            </w:tcBorders>
            <w:shd w:val="clear" w:color="000000" w:fill="D9E1F2"/>
            <w:noWrap/>
            <w:vAlign w:val="center"/>
          </w:tcPr>
          <w:p w14:paraId="4A790B4C"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b/>
                <w:bCs/>
                <w:lang w:eastAsia="fr-FR"/>
              </w:rPr>
              <w:t>Taux de Réal (3)/(1)</w:t>
            </w:r>
          </w:p>
        </w:tc>
      </w:tr>
      <w:tr w:rsidR="00B065F3" w:rsidRPr="00493806" w14:paraId="0AB1AED5" w14:textId="77777777" w:rsidTr="002F3A91">
        <w:trPr>
          <w:trHeight w:val="315"/>
          <w:jc w:val="center"/>
        </w:trPr>
        <w:tc>
          <w:tcPr>
            <w:tcW w:w="1149"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181FCE12" w14:textId="77777777" w:rsidR="00B065F3" w:rsidRPr="00493806" w:rsidRDefault="00B065F3" w:rsidP="00AE3850">
            <w:pPr>
              <w:spacing w:line="360" w:lineRule="auto"/>
              <w:jc w:val="both"/>
              <w:rPr>
                <w:rFonts w:asciiTheme="majorBidi" w:eastAsia="Times New Roman" w:hAnsiTheme="majorBidi" w:cstheme="majorBidi"/>
                <w:b/>
                <w:bCs/>
                <w:lang w:eastAsia="fr-FR"/>
              </w:rPr>
            </w:pPr>
            <w:bookmarkStart w:id="171" w:name="_MON_1807268595"/>
            <w:bookmarkEnd w:id="171"/>
          </w:p>
        </w:tc>
        <w:tc>
          <w:tcPr>
            <w:tcW w:w="3828" w:type="dxa"/>
            <w:tcBorders>
              <w:top w:val="single" w:sz="4" w:space="0" w:color="auto"/>
              <w:left w:val="nil"/>
              <w:bottom w:val="single" w:sz="4" w:space="0" w:color="auto"/>
              <w:right w:val="single" w:sz="4" w:space="0" w:color="auto"/>
            </w:tcBorders>
            <w:shd w:val="clear" w:color="000000" w:fill="D9E1F2"/>
            <w:noWrap/>
            <w:vAlign w:val="center"/>
            <w:hideMark/>
          </w:tcPr>
          <w:p w14:paraId="1731508C" w14:textId="77777777" w:rsidR="00B065F3" w:rsidRPr="00493806" w:rsidRDefault="00B065F3" w:rsidP="00AE3850">
            <w:pPr>
              <w:spacing w:line="360" w:lineRule="auto"/>
              <w:jc w:val="both"/>
              <w:rPr>
                <w:rFonts w:asciiTheme="majorBidi" w:eastAsia="Times New Roman" w:hAnsiTheme="majorBidi" w:cstheme="majorBidi"/>
                <w:b/>
                <w:bCs/>
                <w:lang w:eastAsia="fr-FR"/>
              </w:rPr>
            </w:pPr>
            <w:r w:rsidRPr="00493806">
              <w:rPr>
                <w:rFonts w:asciiTheme="majorBidi" w:eastAsia="Times New Roman" w:hAnsiTheme="majorBidi" w:cstheme="majorBidi"/>
                <w:b/>
                <w:bCs/>
                <w:lang w:eastAsia="fr-FR"/>
              </w:rPr>
              <w:t>Services Exterieurs et Autres Services (Compte 61-62)</w:t>
            </w:r>
          </w:p>
        </w:tc>
        <w:tc>
          <w:tcPr>
            <w:tcW w:w="1275" w:type="dxa"/>
            <w:tcBorders>
              <w:top w:val="single" w:sz="4" w:space="0" w:color="auto"/>
              <w:left w:val="nil"/>
              <w:bottom w:val="single" w:sz="4" w:space="0" w:color="auto"/>
              <w:right w:val="single" w:sz="4" w:space="0" w:color="auto"/>
            </w:tcBorders>
            <w:shd w:val="clear" w:color="000000" w:fill="D9E1F2"/>
            <w:noWrap/>
            <w:vAlign w:val="center"/>
            <w:hideMark/>
          </w:tcPr>
          <w:p w14:paraId="59EBD3B0"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 </w:t>
            </w:r>
          </w:p>
        </w:tc>
        <w:tc>
          <w:tcPr>
            <w:tcW w:w="1276" w:type="dxa"/>
            <w:tcBorders>
              <w:top w:val="single" w:sz="4" w:space="0" w:color="auto"/>
              <w:left w:val="nil"/>
              <w:bottom w:val="single" w:sz="4" w:space="0" w:color="auto"/>
              <w:right w:val="single" w:sz="4" w:space="0" w:color="auto"/>
            </w:tcBorders>
            <w:shd w:val="clear" w:color="000000" w:fill="D9E1F2"/>
            <w:noWrap/>
            <w:vAlign w:val="center"/>
            <w:hideMark/>
          </w:tcPr>
          <w:p w14:paraId="4724F60E"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 </w:t>
            </w:r>
          </w:p>
        </w:tc>
        <w:tc>
          <w:tcPr>
            <w:tcW w:w="1418" w:type="dxa"/>
            <w:tcBorders>
              <w:top w:val="single" w:sz="4" w:space="0" w:color="auto"/>
              <w:left w:val="nil"/>
              <w:bottom w:val="single" w:sz="4" w:space="0" w:color="auto"/>
              <w:right w:val="single" w:sz="4" w:space="0" w:color="auto"/>
            </w:tcBorders>
            <w:shd w:val="clear" w:color="000000" w:fill="D9E1F2"/>
            <w:noWrap/>
            <w:vAlign w:val="center"/>
            <w:hideMark/>
          </w:tcPr>
          <w:p w14:paraId="70005F3C"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 </w:t>
            </w:r>
          </w:p>
        </w:tc>
        <w:tc>
          <w:tcPr>
            <w:tcW w:w="992" w:type="dxa"/>
            <w:tcBorders>
              <w:top w:val="single" w:sz="4" w:space="0" w:color="auto"/>
              <w:left w:val="nil"/>
              <w:bottom w:val="single" w:sz="4" w:space="0" w:color="auto"/>
              <w:right w:val="single" w:sz="4" w:space="0" w:color="auto"/>
            </w:tcBorders>
            <w:shd w:val="clear" w:color="000000" w:fill="D9E1F2"/>
            <w:noWrap/>
            <w:vAlign w:val="center"/>
            <w:hideMark/>
          </w:tcPr>
          <w:p w14:paraId="59526D1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 </w:t>
            </w:r>
          </w:p>
        </w:tc>
        <w:tc>
          <w:tcPr>
            <w:tcW w:w="992" w:type="dxa"/>
            <w:tcBorders>
              <w:top w:val="single" w:sz="4" w:space="0" w:color="auto"/>
              <w:left w:val="nil"/>
              <w:bottom w:val="single" w:sz="4" w:space="0" w:color="auto"/>
              <w:right w:val="single" w:sz="4" w:space="0" w:color="auto"/>
            </w:tcBorders>
            <w:shd w:val="clear" w:color="000000" w:fill="D9E1F2"/>
            <w:noWrap/>
            <w:vAlign w:val="center"/>
            <w:hideMark/>
          </w:tcPr>
          <w:p w14:paraId="4A2F1126"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 </w:t>
            </w:r>
          </w:p>
        </w:tc>
      </w:tr>
      <w:tr w:rsidR="00B065F3" w:rsidRPr="00493806" w14:paraId="570F5C32"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5D8CD48E"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F613222</w:t>
            </w:r>
          </w:p>
        </w:tc>
        <w:tc>
          <w:tcPr>
            <w:tcW w:w="3828" w:type="dxa"/>
            <w:tcBorders>
              <w:top w:val="nil"/>
              <w:left w:val="nil"/>
              <w:bottom w:val="single" w:sz="4" w:space="0" w:color="auto"/>
              <w:right w:val="single" w:sz="4" w:space="0" w:color="auto"/>
            </w:tcBorders>
            <w:shd w:val="clear" w:color="auto" w:fill="auto"/>
            <w:noWrap/>
            <w:vAlign w:val="center"/>
            <w:hideMark/>
          </w:tcPr>
          <w:p w14:paraId="7EC327BF"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Location des Bâtiments Administratifs</w:t>
            </w:r>
          </w:p>
        </w:tc>
        <w:tc>
          <w:tcPr>
            <w:tcW w:w="1275" w:type="dxa"/>
            <w:tcBorders>
              <w:top w:val="nil"/>
              <w:left w:val="nil"/>
              <w:bottom w:val="single" w:sz="4" w:space="0" w:color="auto"/>
              <w:right w:val="single" w:sz="4" w:space="0" w:color="auto"/>
            </w:tcBorders>
            <w:shd w:val="clear" w:color="auto" w:fill="auto"/>
            <w:noWrap/>
            <w:vAlign w:val="center"/>
            <w:hideMark/>
          </w:tcPr>
          <w:p w14:paraId="1FD8B44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2 500</w:t>
            </w:r>
          </w:p>
        </w:tc>
        <w:tc>
          <w:tcPr>
            <w:tcW w:w="1276" w:type="dxa"/>
            <w:tcBorders>
              <w:top w:val="nil"/>
              <w:left w:val="nil"/>
              <w:bottom w:val="single" w:sz="4" w:space="0" w:color="auto"/>
              <w:right w:val="single" w:sz="4" w:space="0" w:color="auto"/>
            </w:tcBorders>
            <w:shd w:val="clear" w:color="auto" w:fill="auto"/>
            <w:noWrap/>
            <w:vAlign w:val="center"/>
            <w:hideMark/>
          </w:tcPr>
          <w:p w14:paraId="57883B24"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1 000</w:t>
            </w:r>
          </w:p>
        </w:tc>
        <w:tc>
          <w:tcPr>
            <w:tcW w:w="1418" w:type="dxa"/>
            <w:tcBorders>
              <w:top w:val="nil"/>
              <w:left w:val="nil"/>
              <w:bottom w:val="single" w:sz="4" w:space="0" w:color="auto"/>
              <w:right w:val="single" w:sz="4" w:space="0" w:color="auto"/>
            </w:tcBorders>
            <w:shd w:val="clear" w:color="auto" w:fill="auto"/>
            <w:noWrap/>
            <w:vAlign w:val="center"/>
            <w:hideMark/>
          </w:tcPr>
          <w:p w14:paraId="2051B4E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1 000</w:t>
            </w:r>
          </w:p>
        </w:tc>
        <w:tc>
          <w:tcPr>
            <w:tcW w:w="992" w:type="dxa"/>
            <w:tcBorders>
              <w:top w:val="nil"/>
              <w:left w:val="nil"/>
              <w:bottom w:val="single" w:sz="4" w:space="0" w:color="auto"/>
              <w:right w:val="single" w:sz="4" w:space="0" w:color="auto"/>
            </w:tcBorders>
            <w:shd w:val="clear" w:color="auto" w:fill="auto"/>
            <w:noWrap/>
            <w:vAlign w:val="center"/>
            <w:hideMark/>
          </w:tcPr>
          <w:p w14:paraId="7995360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40%</w:t>
            </w:r>
          </w:p>
        </w:tc>
        <w:tc>
          <w:tcPr>
            <w:tcW w:w="992" w:type="dxa"/>
            <w:tcBorders>
              <w:top w:val="nil"/>
              <w:left w:val="nil"/>
              <w:bottom w:val="single" w:sz="4" w:space="0" w:color="auto"/>
              <w:right w:val="single" w:sz="4" w:space="0" w:color="auto"/>
            </w:tcBorders>
            <w:shd w:val="clear" w:color="auto" w:fill="auto"/>
            <w:noWrap/>
            <w:vAlign w:val="center"/>
            <w:hideMark/>
          </w:tcPr>
          <w:p w14:paraId="6C46113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40%</w:t>
            </w:r>
          </w:p>
        </w:tc>
      </w:tr>
      <w:tr w:rsidR="00B065F3" w:rsidRPr="00493806" w14:paraId="5E2E90D3"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0350D5B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F613223</w:t>
            </w:r>
          </w:p>
        </w:tc>
        <w:tc>
          <w:tcPr>
            <w:tcW w:w="3828" w:type="dxa"/>
            <w:tcBorders>
              <w:top w:val="nil"/>
              <w:left w:val="nil"/>
              <w:bottom w:val="single" w:sz="4" w:space="0" w:color="auto"/>
              <w:right w:val="single" w:sz="4" w:space="0" w:color="auto"/>
            </w:tcBorders>
            <w:shd w:val="clear" w:color="auto" w:fill="auto"/>
            <w:noWrap/>
            <w:vAlign w:val="center"/>
            <w:hideMark/>
          </w:tcPr>
          <w:p w14:paraId="4F228D8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Location des Bâtiments Commerciaux</w:t>
            </w:r>
          </w:p>
        </w:tc>
        <w:tc>
          <w:tcPr>
            <w:tcW w:w="1275" w:type="dxa"/>
            <w:tcBorders>
              <w:top w:val="nil"/>
              <w:left w:val="nil"/>
              <w:bottom w:val="single" w:sz="4" w:space="0" w:color="auto"/>
              <w:right w:val="single" w:sz="4" w:space="0" w:color="auto"/>
            </w:tcBorders>
            <w:shd w:val="clear" w:color="auto" w:fill="auto"/>
            <w:noWrap/>
            <w:vAlign w:val="center"/>
            <w:hideMark/>
          </w:tcPr>
          <w:p w14:paraId="7B9BCCD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4 000</w:t>
            </w:r>
          </w:p>
        </w:tc>
        <w:tc>
          <w:tcPr>
            <w:tcW w:w="1276" w:type="dxa"/>
            <w:tcBorders>
              <w:top w:val="nil"/>
              <w:left w:val="nil"/>
              <w:bottom w:val="single" w:sz="4" w:space="0" w:color="auto"/>
              <w:right w:val="single" w:sz="4" w:space="0" w:color="auto"/>
            </w:tcBorders>
            <w:shd w:val="clear" w:color="auto" w:fill="auto"/>
            <w:noWrap/>
            <w:vAlign w:val="center"/>
            <w:hideMark/>
          </w:tcPr>
          <w:p w14:paraId="230EDE7A"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2 000</w:t>
            </w:r>
          </w:p>
        </w:tc>
        <w:tc>
          <w:tcPr>
            <w:tcW w:w="1418" w:type="dxa"/>
            <w:tcBorders>
              <w:top w:val="nil"/>
              <w:left w:val="nil"/>
              <w:bottom w:val="single" w:sz="4" w:space="0" w:color="auto"/>
              <w:right w:val="single" w:sz="4" w:space="0" w:color="auto"/>
            </w:tcBorders>
            <w:shd w:val="clear" w:color="auto" w:fill="auto"/>
            <w:noWrap/>
            <w:vAlign w:val="center"/>
            <w:hideMark/>
          </w:tcPr>
          <w:p w14:paraId="0C79BDF9"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2 000</w:t>
            </w:r>
          </w:p>
        </w:tc>
        <w:tc>
          <w:tcPr>
            <w:tcW w:w="992" w:type="dxa"/>
            <w:tcBorders>
              <w:top w:val="nil"/>
              <w:left w:val="nil"/>
              <w:bottom w:val="single" w:sz="4" w:space="0" w:color="auto"/>
              <w:right w:val="single" w:sz="4" w:space="0" w:color="auto"/>
            </w:tcBorders>
            <w:shd w:val="clear" w:color="auto" w:fill="auto"/>
            <w:noWrap/>
            <w:vAlign w:val="center"/>
            <w:hideMark/>
          </w:tcPr>
          <w:p w14:paraId="3579B028"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w:t>
            </w:r>
          </w:p>
        </w:tc>
        <w:tc>
          <w:tcPr>
            <w:tcW w:w="992" w:type="dxa"/>
            <w:tcBorders>
              <w:top w:val="nil"/>
              <w:left w:val="nil"/>
              <w:bottom w:val="single" w:sz="4" w:space="0" w:color="auto"/>
              <w:right w:val="single" w:sz="4" w:space="0" w:color="auto"/>
            </w:tcBorders>
            <w:shd w:val="clear" w:color="auto" w:fill="auto"/>
            <w:noWrap/>
            <w:vAlign w:val="center"/>
            <w:hideMark/>
          </w:tcPr>
          <w:p w14:paraId="1867B8F0"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w:t>
            </w:r>
          </w:p>
        </w:tc>
      </w:tr>
      <w:tr w:rsidR="00B065F3" w:rsidRPr="00493806" w14:paraId="673A0920"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3B76CCFD"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F613320</w:t>
            </w:r>
          </w:p>
        </w:tc>
        <w:tc>
          <w:tcPr>
            <w:tcW w:w="3828" w:type="dxa"/>
            <w:tcBorders>
              <w:top w:val="nil"/>
              <w:left w:val="nil"/>
              <w:bottom w:val="single" w:sz="4" w:space="0" w:color="auto"/>
              <w:right w:val="single" w:sz="4" w:space="0" w:color="auto"/>
            </w:tcBorders>
            <w:shd w:val="clear" w:color="auto" w:fill="auto"/>
            <w:noWrap/>
            <w:vAlign w:val="center"/>
            <w:hideMark/>
          </w:tcPr>
          <w:p w14:paraId="57A2D3AF"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Location Matériels de Transport</w:t>
            </w:r>
          </w:p>
        </w:tc>
        <w:tc>
          <w:tcPr>
            <w:tcW w:w="1275" w:type="dxa"/>
            <w:tcBorders>
              <w:top w:val="nil"/>
              <w:left w:val="nil"/>
              <w:bottom w:val="single" w:sz="4" w:space="0" w:color="auto"/>
              <w:right w:val="single" w:sz="4" w:space="0" w:color="auto"/>
            </w:tcBorders>
            <w:shd w:val="clear" w:color="auto" w:fill="auto"/>
            <w:noWrap/>
            <w:vAlign w:val="center"/>
            <w:hideMark/>
          </w:tcPr>
          <w:p w14:paraId="1C9FCF3F"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6 000</w:t>
            </w:r>
          </w:p>
        </w:tc>
        <w:tc>
          <w:tcPr>
            <w:tcW w:w="1276" w:type="dxa"/>
            <w:tcBorders>
              <w:top w:val="nil"/>
              <w:left w:val="nil"/>
              <w:bottom w:val="single" w:sz="4" w:space="0" w:color="auto"/>
              <w:right w:val="single" w:sz="4" w:space="0" w:color="auto"/>
            </w:tcBorders>
            <w:shd w:val="clear" w:color="auto" w:fill="auto"/>
            <w:noWrap/>
            <w:vAlign w:val="center"/>
            <w:hideMark/>
          </w:tcPr>
          <w:p w14:paraId="39DE623A"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5 800</w:t>
            </w:r>
          </w:p>
        </w:tc>
        <w:tc>
          <w:tcPr>
            <w:tcW w:w="1418" w:type="dxa"/>
            <w:tcBorders>
              <w:top w:val="nil"/>
              <w:left w:val="nil"/>
              <w:bottom w:val="single" w:sz="4" w:space="0" w:color="auto"/>
              <w:right w:val="single" w:sz="4" w:space="0" w:color="auto"/>
            </w:tcBorders>
            <w:shd w:val="clear" w:color="auto" w:fill="auto"/>
            <w:noWrap/>
            <w:vAlign w:val="center"/>
            <w:hideMark/>
          </w:tcPr>
          <w:p w14:paraId="236B29B5"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5 200</w:t>
            </w:r>
          </w:p>
        </w:tc>
        <w:tc>
          <w:tcPr>
            <w:tcW w:w="992" w:type="dxa"/>
            <w:tcBorders>
              <w:top w:val="nil"/>
              <w:left w:val="nil"/>
              <w:bottom w:val="single" w:sz="4" w:space="0" w:color="auto"/>
              <w:right w:val="single" w:sz="4" w:space="0" w:color="auto"/>
            </w:tcBorders>
            <w:shd w:val="clear" w:color="auto" w:fill="auto"/>
            <w:noWrap/>
            <w:vAlign w:val="center"/>
            <w:hideMark/>
          </w:tcPr>
          <w:p w14:paraId="612BC80A"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97%</w:t>
            </w:r>
          </w:p>
        </w:tc>
        <w:tc>
          <w:tcPr>
            <w:tcW w:w="992" w:type="dxa"/>
            <w:tcBorders>
              <w:top w:val="nil"/>
              <w:left w:val="nil"/>
              <w:bottom w:val="single" w:sz="4" w:space="0" w:color="auto"/>
              <w:right w:val="single" w:sz="4" w:space="0" w:color="auto"/>
            </w:tcBorders>
            <w:shd w:val="clear" w:color="auto" w:fill="auto"/>
            <w:noWrap/>
            <w:vAlign w:val="center"/>
            <w:hideMark/>
          </w:tcPr>
          <w:p w14:paraId="67A605D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87%</w:t>
            </w:r>
          </w:p>
        </w:tc>
      </w:tr>
      <w:tr w:rsidR="00B065F3" w:rsidRPr="00493806" w14:paraId="16CC3856"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387D0789"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F615121</w:t>
            </w:r>
          </w:p>
        </w:tc>
        <w:tc>
          <w:tcPr>
            <w:tcW w:w="3828" w:type="dxa"/>
            <w:tcBorders>
              <w:top w:val="nil"/>
              <w:left w:val="nil"/>
              <w:bottom w:val="single" w:sz="4" w:space="0" w:color="auto"/>
              <w:right w:val="single" w:sz="4" w:space="0" w:color="auto"/>
            </w:tcBorders>
            <w:shd w:val="clear" w:color="auto" w:fill="auto"/>
            <w:noWrap/>
            <w:vAlign w:val="center"/>
            <w:hideMark/>
          </w:tcPr>
          <w:p w14:paraId="2F96F6BA"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Entretien, Réparations et Maintenance des Bâtiments</w:t>
            </w:r>
          </w:p>
        </w:tc>
        <w:tc>
          <w:tcPr>
            <w:tcW w:w="1275" w:type="dxa"/>
            <w:tcBorders>
              <w:top w:val="nil"/>
              <w:left w:val="nil"/>
              <w:bottom w:val="single" w:sz="4" w:space="0" w:color="auto"/>
              <w:right w:val="single" w:sz="4" w:space="0" w:color="auto"/>
            </w:tcBorders>
            <w:shd w:val="clear" w:color="auto" w:fill="auto"/>
            <w:noWrap/>
            <w:vAlign w:val="center"/>
            <w:hideMark/>
          </w:tcPr>
          <w:p w14:paraId="4D83FCE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60 000</w:t>
            </w:r>
          </w:p>
        </w:tc>
        <w:tc>
          <w:tcPr>
            <w:tcW w:w="1276" w:type="dxa"/>
            <w:tcBorders>
              <w:top w:val="nil"/>
              <w:left w:val="nil"/>
              <w:bottom w:val="single" w:sz="4" w:space="0" w:color="auto"/>
              <w:right w:val="single" w:sz="4" w:space="0" w:color="auto"/>
            </w:tcBorders>
            <w:shd w:val="clear" w:color="auto" w:fill="auto"/>
            <w:noWrap/>
            <w:vAlign w:val="center"/>
            <w:hideMark/>
          </w:tcPr>
          <w:p w14:paraId="5B895699"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58 000</w:t>
            </w:r>
          </w:p>
        </w:tc>
        <w:tc>
          <w:tcPr>
            <w:tcW w:w="1418" w:type="dxa"/>
            <w:tcBorders>
              <w:top w:val="nil"/>
              <w:left w:val="nil"/>
              <w:bottom w:val="single" w:sz="4" w:space="0" w:color="auto"/>
              <w:right w:val="single" w:sz="4" w:space="0" w:color="auto"/>
            </w:tcBorders>
            <w:shd w:val="clear" w:color="auto" w:fill="auto"/>
            <w:noWrap/>
            <w:vAlign w:val="center"/>
            <w:hideMark/>
          </w:tcPr>
          <w:p w14:paraId="3ECC0605"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40 600</w:t>
            </w:r>
          </w:p>
        </w:tc>
        <w:tc>
          <w:tcPr>
            <w:tcW w:w="992" w:type="dxa"/>
            <w:tcBorders>
              <w:top w:val="nil"/>
              <w:left w:val="nil"/>
              <w:bottom w:val="single" w:sz="4" w:space="0" w:color="auto"/>
              <w:right w:val="single" w:sz="4" w:space="0" w:color="auto"/>
            </w:tcBorders>
            <w:shd w:val="clear" w:color="auto" w:fill="auto"/>
            <w:noWrap/>
            <w:vAlign w:val="center"/>
            <w:hideMark/>
          </w:tcPr>
          <w:p w14:paraId="340FD0DF"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97%</w:t>
            </w:r>
          </w:p>
        </w:tc>
        <w:tc>
          <w:tcPr>
            <w:tcW w:w="992" w:type="dxa"/>
            <w:tcBorders>
              <w:top w:val="nil"/>
              <w:left w:val="nil"/>
              <w:bottom w:val="single" w:sz="4" w:space="0" w:color="auto"/>
              <w:right w:val="single" w:sz="4" w:space="0" w:color="auto"/>
            </w:tcBorders>
            <w:shd w:val="clear" w:color="auto" w:fill="auto"/>
            <w:noWrap/>
            <w:vAlign w:val="center"/>
            <w:hideMark/>
          </w:tcPr>
          <w:p w14:paraId="5DCCD9C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68%</w:t>
            </w:r>
          </w:p>
        </w:tc>
      </w:tr>
      <w:tr w:rsidR="00B065F3" w:rsidRPr="00493806" w14:paraId="2B0C6A93"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3399EAD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F615122</w:t>
            </w:r>
          </w:p>
        </w:tc>
        <w:tc>
          <w:tcPr>
            <w:tcW w:w="3828" w:type="dxa"/>
            <w:tcBorders>
              <w:top w:val="nil"/>
              <w:left w:val="nil"/>
              <w:bottom w:val="single" w:sz="4" w:space="0" w:color="auto"/>
              <w:right w:val="single" w:sz="4" w:space="0" w:color="auto"/>
            </w:tcBorders>
            <w:shd w:val="clear" w:color="auto" w:fill="auto"/>
            <w:noWrap/>
            <w:vAlign w:val="center"/>
            <w:hideMark/>
          </w:tcPr>
          <w:p w14:paraId="32D2613E"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ENTRETIEN, RÉPARATIONS ET MAINTENANCE DES EQUIPEMENTS D'ENERGIE</w:t>
            </w:r>
          </w:p>
        </w:tc>
        <w:tc>
          <w:tcPr>
            <w:tcW w:w="1275" w:type="dxa"/>
            <w:tcBorders>
              <w:top w:val="nil"/>
              <w:left w:val="nil"/>
              <w:bottom w:val="single" w:sz="4" w:space="0" w:color="auto"/>
              <w:right w:val="single" w:sz="4" w:space="0" w:color="auto"/>
            </w:tcBorders>
            <w:shd w:val="clear" w:color="auto" w:fill="auto"/>
            <w:noWrap/>
            <w:vAlign w:val="center"/>
            <w:hideMark/>
          </w:tcPr>
          <w:p w14:paraId="4BE9510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3 000</w:t>
            </w:r>
          </w:p>
        </w:tc>
        <w:tc>
          <w:tcPr>
            <w:tcW w:w="1276" w:type="dxa"/>
            <w:tcBorders>
              <w:top w:val="nil"/>
              <w:left w:val="nil"/>
              <w:bottom w:val="single" w:sz="4" w:space="0" w:color="auto"/>
              <w:right w:val="single" w:sz="4" w:space="0" w:color="auto"/>
            </w:tcBorders>
            <w:shd w:val="clear" w:color="auto" w:fill="auto"/>
            <w:noWrap/>
            <w:vAlign w:val="center"/>
            <w:hideMark/>
          </w:tcPr>
          <w:p w14:paraId="50D65AA6" w14:textId="77777777" w:rsidR="00B065F3" w:rsidRPr="00493806" w:rsidRDefault="00B065F3" w:rsidP="00AE3850">
            <w:pPr>
              <w:spacing w:line="360" w:lineRule="auto"/>
              <w:jc w:val="both"/>
              <w:rPr>
                <w:rFonts w:asciiTheme="majorBidi" w:eastAsia="Times New Roman" w:hAnsiTheme="majorBidi" w:cstheme="majorBidi"/>
                <w:lang w:eastAsia="fr-FR"/>
              </w:rPr>
            </w:pPr>
          </w:p>
        </w:tc>
        <w:tc>
          <w:tcPr>
            <w:tcW w:w="1418" w:type="dxa"/>
            <w:tcBorders>
              <w:top w:val="nil"/>
              <w:left w:val="nil"/>
              <w:bottom w:val="single" w:sz="4" w:space="0" w:color="auto"/>
              <w:right w:val="single" w:sz="4" w:space="0" w:color="auto"/>
            </w:tcBorders>
            <w:shd w:val="clear" w:color="auto" w:fill="auto"/>
            <w:noWrap/>
            <w:vAlign w:val="center"/>
            <w:hideMark/>
          </w:tcPr>
          <w:p w14:paraId="4A607BBA" w14:textId="77777777" w:rsidR="00B065F3" w:rsidRPr="00493806" w:rsidRDefault="00B065F3" w:rsidP="00AE3850">
            <w:pPr>
              <w:spacing w:line="360" w:lineRule="auto"/>
              <w:jc w:val="both"/>
              <w:rPr>
                <w:rFonts w:asciiTheme="majorBidi" w:eastAsia="Times New Roman" w:hAnsiTheme="majorBidi" w:cstheme="majorBidi"/>
                <w:lang w:eastAsia="fr-FR"/>
              </w:rPr>
            </w:pPr>
          </w:p>
        </w:tc>
        <w:tc>
          <w:tcPr>
            <w:tcW w:w="992" w:type="dxa"/>
            <w:tcBorders>
              <w:top w:val="nil"/>
              <w:left w:val="nil"/>
              <w:bottom w:val="single" w:sz="4" w:space="0" w:color="auto"/>
              <w:right w:val="single" w:sz="4" w:space="0" w:color="auto"/>
            </w:tcBorders>
            <w:shd w:val="clear" w:color="auto" w:fill="auto"/>
            <w:noWrap/>
            <w:vAlign w:val="center"/>
            <w:hideMark/>
          </w:tcPr>
          <w:p w14:paraId="72777E36"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0%</w:t>
            </w:r>
          </w:p>
        </w:tc>
        <w:tc>
          <w:tcPr>
            <w:tcW w:w="992" w:type="dxa"/>
            <w:tcBorders>
              <w:top w:val="nil"/>
              <w:left w:val="nil"/>
              <w:bottom w:val="single" w:sz="4" w:space="0" w:color="auto"/>
              <w:right w:val="single" w:sz="4" w:space="0" w:color="auto"/>
            </w:tcBorders>
            <w:shd w:val="clear" w:color="auto" w:fill="auto"/>
            <w:noWrap/>
            <w:vAlign w:val="center"/>
            <w:hideMark/>
          </w:tcPr>
          <w:p w14:paraId="6D31D02E"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0%</w:t>
            </w:r>
          </w:p>
        </w:tc>
      </w:tr>
      <w:tr w:rsidR="00B065F3" w:rsidRPr="00493806" w14:paraId="27DB886A"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1661589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F615123</w:t>
            </w:r>
          </w:p>
        </w:tc>
        <w:tc>
          <w:tcPr>
            <w:tcW w:w="3828" w:type="dxa"/>
            <w:tcBorders>
              <w:top w:val="nil"/>
              <w:left w:val="nil"/>
              <w:bottom w:val="single" w:sz="4" w:space="0" w:color="auto"/>
              <w:right w:val="single" w:sz="4" w:space="0" w:color="auto"/>
            </w:tcBorders>
            <w:shd w:val="clear" w:color="auto" w:fill="auto"/>
            <w:noWrap/>
            <w:vAlign w:val="center"/>
            <w:hideMark/>
          </w:tcPr>
          <w:p w14:paraId="2F90E590"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Entretien, Réparations et Maintenance des Ouvrages d'Infrastructure</w:t>
            </w:r>
          </w:p>
        </w:tc>
        <w:tc>
          <w:tcPr>
            <w:tcW w:w="1275" w:type="dxa"/>
            <w:tcBorders>
              <w:top w:val="nil"/>
              <w:left w:val="nil"/>
              <w:bottom w:val="single" w:sz="4" w:space="0" w:color="auto"/>
              <w:right w:val="single" w:sz="4" w:space="0" w:color="auto"/>
            </w:tcBorders>
            <w:shd w:val="clear" w:color="auto" w:fill="auto"/>
            <w:noWrap/>
            <w:vAlign w:val="center"/>
            <w:hideMark/>
          </w:tcPr>
          <w:p w14:paraId="64C38214"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50 000</w:t>
            </w:r>
          </w:p>
        </w:tc>
        <w:tc>
          <w:tcPr>
            <w:tcW w:w="1276" w:type="dxa"/>
            <w:tcBorders>
              <w:top w:val="nil"/>
              <w:left w:val="nil"/>
              <w:bottom w:val="single" w:sz="4" w:space="0" w:color="auto"/>
              <w:right w:val="single" w:sz="4" w:space="0" w:color="auto"/>
            </w:tcBorders>
            <w:shd w:val="clear" w:color="auto" w:fill="auto"/>
            <w:noWrap/>
            <w:vAlign w:val="center"/>
            <w:hideMark/>
          </w:tcPr>
          <w:p w14:paraId="3B621F05"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49 500</w:t>
            </w:r>
          </w:p>
        </w:tc>
        <w:tc>
          <w:tcPr>
            <w:tcW w:w="1418" w:type="dxa"/>
            <w:tcBorders>
              <w:top w:val="nil"/>
              <w:left w:val="nil"/>
              <w:bottom w:val="single" w:sz="4" w:space="0" w:color="auto"/>
              <w:right w:val="single" w:sz="4" w:space="0" w:color="auto"/>
            </w:tcBorders>
            <w:shd w:val="clear" w:color="auto" w:fill="auto"/>
            <w:noWrap/>
            <w:vAlign w:val="center"/>
            <w:hideMark/>
          </w:tcPr>
          <w:p w14:paraId="3E4CCFE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20 000</w:t>
            </w:r>
          </w:p>
        </w:tc>
        <w:tc>
          <w:tcPr>
            <w:tcW w:w="992" w:type="dxa"/>
            <w:tcBorders>
              <w:top w:val="nil"/>
              <w:left w:val="nil"/>
              <w:bottom w:val="single" w:sz="4" w:space="0" w:color="auto"/>
              <w:right w:val="single" w:sz="4" w:space="0" w:color="auto"/>
            </w:tcBorders>
            <w:shd w:val="clear" w:color="auto" w:fill="auto"/>
            <w:noWrap/>
            <w:vAlign w:val="center"/>
            <w:hideMark/>
          </w:tcPr>
          <w:p w14:paraId="23D140B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99%</w:t>
            </w:r>
          </w:p>
        </w:tc>
        <w:tc>
          <w:tcPr>
            <w:tcW w:w="992" w:type="dxa"/>
            <w:tcBorders>
              <w:top w:val="nil"/>
              <w:left w:val="nil"/>
              <w:bottom w:val="single" w:sz="4" w:space="0" w:color="auto"/>
              <w:right w:val="single" w:sz="4" w:space="0" w:color="auto"/>
            </w:tcBorders>
            <w:shd w:val="clear" w:color="auto" w:fill="auto"/>
            <w:noWrap/>
            <w:vAlign w:val="center"/>
            <w:hideMark/>
          </w:tcPr>
          <w:p w14:paraId="2DAB835E"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40%</w:t>
            </w:r>
          </w:p>
        </w:tc>
      </w:tr>
      <w:tr w:rsidR="00B065F3" w:rsidRPr="00493806" w14:paraId="1F72D01B"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2C0D0720"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F615126</w:t>
            </w:r>
          </w:p>
        </w:tc>
        <w:tc>
          <w:tcPr>
            <w:tcW w:w="3828" w:type="dxa"/>
            <w:tcBorders>
              <w:top w:val="nil"/>
              <w:left w:val="nil"/>
              <w:bottom w:val="single" w:sz="4" w:space="0" w:color="auto"/>
              <w:right w:val="single" w:sz="4" w:space="0" w:color="auto"/>
            </w:tcBorders>
            <w:shd w:val="clear" w:color="auto" w:fill="auto"/>
            <w:noWrap/>
            <w:vAlign w:val="center"/>
            <w:hideMark/>
          </w:tcPr>
          <w:p w14:paraId="0AD72E7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Entretien, Réparations et Maintenance des Câbles et Lignes</w:t>
            </w:r>
          </w:p>
        </w:tc>
        <w:tc>
          <w:tcPr>
            <w:tcW w:w="1275" w:type="dxa"/>
            <w:tcBorders>
              <w:top w:val="nil"/>
              <w:left w:val="nil"/>
              <w:bottom w:val="single" w:sz="4" w:space="0" w:color="auto"/>
              <w:right w:val="single" w:sz="4" w:space="0" w:color="auto"/>
            </w:tcBorders>
            <w:shd w:val="clear" w:color="auto" w:fill="auto"/>
            <w:noWrap/>
            <w:vAlign w:val="center"/>
            <w:hideMark/>
          </w:tcPr>
          <w:p w14:paraId="7C1D7A64"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60 000</w:t>
            </w:r>
          </w:p>
        </w:tc>
        <w:tc>
          <w:tcPr>
            <w:tcW w:w="1276" w:type="dxa"/>
            <w:tcBorders>
              <w:top w:val="nil"/>
              <w:left w:val="nil"/>
              <w:bottom w:val="single" w:sz="4" w:space="0" w:color="auto"/>
              <w:right w:val="single" w:sz="4" w:space="0" w:color="auto"/>
            </w:tcBorders>
            <w:shd w:val="clear" w:color="auto" w:fill="auto"/>
            <w:noWrap/>
            <w:vAlign w:val="center"/>
            <w:hideMark/>
          </w:tcPr>
          <w:p w14:paraId="11ED4A4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53 541</w:t>
            </w:r>
          </w:p>
        </w:tc>
        <w:tc>
          <w:tcPr>
            <w:tcW w:w="1418" w:type="dxa"/>
            <w:tcBorders>
              <w:top w:val="nil"/>
              <w:left w:val="nil"/>
              <w:bottom w:val="single" w:sz="4" w:space="0" w:color="auto"/>
              <w:right w:val="single" w:sz="4" w:space="0" w:color="auto"/>
            </w:tcBorders>
            <w:shd w:val="clear" w:color="auto" w:fill="auto"/>
            <w:noWrap/>
            <w:vAlign w:val="center"/>
            <w:hideMark/>
          </w:tcPr>
          <w:p w14:paraId="5746B099"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34 678</w:t>
            </w:r>
          </w:p>
        </w:tc>
        <w:tc>
          <w:tcPr>
            <w:tcW w:w="992" w:type="dxa"/>
            <w:tcBorders>
              <w:top w:val="nil"/>
              <w:left w:val="nil"/>
              <w:bottom w:val="single" w:sz="4" w:space="0" w:color="auto"/>
              <w:right w:val="single" w:sz="4" w:space="0" w:color="auto"/>
            </w:tcBorders>
            <w:shd w:val="clear" w:color="auto" w:fill="auto"/>
            <w:noWrap/>
            <w:vAlign w:val="center"/>
            <w:hideMark/>
          </w:tcPr>
          <w:p w14:paraId="4DF1C9A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89%</w:t>
            </w:r>
          </w:p>
        </w:tc>
        <w:tc>
          <w:tcPr>
            <w:tcW w:w="992" w:type="dxa"/>
            <w:tcBorders>
              <w:top w:val="nil"/>
              <w:left w:val="nil"/>
              <w:bottom w:val="single" w:sz="4" w:space="0" w:color="auto"/>
              <w:right w:val="single" w:sz="4" w:space="0" w:color="auto"/>
            </w:tcBorders>
            <w:shd w:val="clear" w:color="auto" w:fill="auto"/>
            <w:noWrap/>
            <w:vAlign w:val="center"/>
            <w:hideMark/>
          </w:tcPr>
          <w:p w14:paraId="4FD0FC7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58%</w:t>
            </w:r>
          </w:p>
        </w:tc>
      </w:tr>
      <w:tr w:rsidR="00B065F3" w:rsidRPr="00493806" w14:paraId="17C086A1"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12A651FC"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F615127</w:t>
            </w:r>
          </w:p>
        </w:tc>
        <w:tc>
          <w:tcPr>
            <w:tcW w:w="3828" w:type="dxa"/>
            <w:tcBorders>
              <w:top w:val="nil"/>
              <w:left w:val="nil"/>
              <w:bottom w:val="single" w:sz="4" w:space="0" w:color="auto"/>
              <w:right w:val="single" w:sz="4" w:space="0" w:color="auto"/>
            </w:tcBorders>
            <w:shd w:val="clear" w:color="auto" w:fill="auto"/>
            <w:noWrap/>
            <w:vAlign w:val="center"/>
            <w:hideMark/>
          </w:tcPr>
          <w:p w14:paraId="11A3F08A"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Entretien, Réparations et Maintenance des Matériels et Outillages</w:t>
            </w:r>
          </w:p>
        </w:tc>
        <w:tc>
          <w:tcPr>
            <w:tcW w:w="1275" w:type="dxa"/>
            <w:tcBorders>
              <w:top w:val="nil"/>
              <w:left w:val="nil"/>
              <w:bottom w:val="single" w:sz="4" w:space="0" w:color="auto"/>
              <w:right w:val="single" w:sz="4" w:space="0" w:color="auto"/>
            </w:tcBorders>
            <w:shd w:val="clear" w:color="auto" w:fill="auto"/>
            <w:noWrap/>
            <w:vAlign w:val="center"/>
            <w:hideMark/>
          </w:tcPr>
          <w:p w14:paraId="594F964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15 000</w:t>
            </w:r>
          </w:p>
        </w:tc>
        <w:tc>
          <w:tcPr>
            <w:tcW w:w="1276" w:type="dxa"/>
            <w:tcBorders>
              <w:top w:val="nil"/>
              <w:left w:val="nil"/>
              <w:bottom w:val="single" w:sz="4" w:space="0" w:color="auto"/>
              <w:right w:val="single" w:sz="4" w:space="0" w:color="auto"/>
            </w:tcBorders>
            <w:shd w:val="clear" w:color="auto" w:fill="auto"/>
            <w:noWrap/>
            <w:vAlign w:val="center"/>
            <w:hideMark/>
          </w:tcPr>
          <w:p w14:paraId="5D44175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14 953</w:t>
            </w:r>
          </w:p>
        </w:tc>
        <w:tc>
          <w:tcPr>
            <w:tcW w:w="1418" w:type="dxa"/>
            <w:tcBorders>
              <w:top w:val="nil"/>
              <w:left w:val="nil"/>
              <w:bottom w:val="single" w:sz="4" w:space="0" w:color="auto"/>
              <w:right w:val="single" w:sz="4" w:space="0" w:color="auto"/>
            </w:tcBorders>
            <w:shd w:val="clear" w:color="auto" w:fill="auto"/>
            <w:noWrap/>
            <w:vAlign w:val="center"/>
            <w:hideMark/>
          </w:tcPr>
          <w:p w14:paraId="183FB195"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8 853</w:t>
            </w:r>
          </w:p>
        </w:tc>
        <w:tc>
          <w:tcPr>
            <w:tcW w:w="992" w:type="dxa"/>
            <w:tcBorders>
              <w:top w:val="nil"/>
              <w:left w:val="nil"/>
              <w:bottom w:val="single" w:sz="4" w:space="0" w:color="auto"/>
              <w:right w:val="single" w:sz="4" w:space="0" w:color="auto"/>
            </w:tcBorders>
            <w:shd w:val="clear" w:color="auto" w:fill="auto"/>
            <w:noWrap/>
            <w:vAlign w:val="center"/>
            <w:hideMark/>
          </w:tcPr>
          <w:p w14:paraId="5E8C6038"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4A541BEF"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59%</w:t>
            </w:r>
          </w:p>
        </w:tc>
      </w:tr>
      <w:tr w:rsidR="00B065F3" w:rsidRPr="00493806" w14:paraId="1DA5C31B"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4FF98A0E"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F615800</w:t>
            </w:r>
          </w:p>
        </w:tc>
        <w:tc>
          <w:tcPr>
            <w:tcW w:w="3828" w:type="dxa"/>
            <w:tcBorders>
              <w:top w:val="nil"/>
              <w:left w:val="nil"/>
              <w:bottom w:val="single" w:sz="4" w:space="0" w:color="auto"/>
              <w:right w:val="single" w:sz="4" w:space="0" w:color="auto"/>
            </w:tcBorders>
            <w:shd w:val="clear" w:color="auto" w:fill="auto"/>
            <w:noWrap/>
            <w:vAlign w:val="center"/>
            <w:hideMark/>
          </w:tcPr>
          <w:p w14:paraId="33322470"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Autres Entretiens et Réparations</w:t>
            </w:r>
          </w:p>
        </w:tc>
        <w:tc>
          <w:tcPr>
            <w:tcW w:w="1275" w:type="dxa"/>
            <w:tcBorders>
              <w:top w:val="nil"/>
              <w:left w:val="nil"/>
              <w:bottom w:val="single" w:sz="4" w:space="0" w:color="auto"/>
              <w:right w:val="single" w:sz="4" w:space="0" w:color="auto"/>
            </w:tcBorders>
            <w:shd w:val="clear" w:color="auto" w:fill="auto"/>
            <w:noWrap/>
            <w:vAlign w:val="center"/>
            <w:hideMark/>
          </w:tcPr>
          <w:p w14:paraId="25AC9F00"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5 000</w:t>
            </w:r>
          </w:p>
        </w:tc>
        <w:tc>
          <w:tcPr>
            <w:tcW w:w="1276" w:type="dxa"/>
            <w:tcBorders>
              <w:top w:val="nil"/>
              <w:left w:val="nil"/>
              <w:bottom w:val="single" w:sz="4" w:space="0" w:color="auto"/>
              <w:right w:val="single" w:sz="4" w:space="0" w:color="auto"/>
            </w:tcBorders>
            <w:shd w:val="clear" w:color="auto" w:fill="auto"/>
            <w:noWrap/>
            <w:vAlign w:val="center"/>
            <w:hideMark/>
          </w:tcPr>
          <w:p w14:paraId="6A5C935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1 000</w:t>
            </w:r>
          </w:p>
        </w:tc>
        <w:tc>
          <w:tcPr>
            <w:tcW w:w="1418" w:type="dxa"/>
            <w:tcBorders>
              <w:top w:val="nil"/>
              <w:left w:val="nil"/>
              <w:bottom w:val="single" w:sz="4" w:space="0" w:color="auto"/>
              <w:right w:val="single" w:sz="4" w:space="0" w:color="auto"/>
            </w:tcBorders>
            <w:shd w:val="clear" w:color="auto" w:fill="auto"/>
            <w:noWrap/>
            <w:vAlign w:val="center"/>
            <w:hideMark/>
          </w:tcPr>
          <w:p w14:paraId="7C8CA63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950</w:t>
            </w:r>
          </w:p>
        </w:tc>
        <w:tc>
          <w:tcPr>
            <w:tcW w:w="992" w:type="dxa"/>
            <w:tcBorders>
              <w:top w:val="nil"/>
              <w:left w:val="nil"/>
              <w:bottom w:val="single" w:sz="4" w:space="0" w:color="auto"/>
              <w:right w:val="single" w:sz="4" w:space="0" w:color="auto"/>
            </w:tcBorders>
            <w:shd w:val="clear" w:color="auto" w:fill="auto"/>
            <w:noWrap/>
            <w:vAlign w:val="center"/>
            <w:hideMark/>
          </w:tcPr>
          <w:p w14:paraId="3AD0E49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20%</w:t>
            </w:r>
          </w:p>
        </w:tc>
        <w:tc>
          <w:tcPr>
            <w:tcW w:w="992" w:type="dxa"/>
            <w:tcBorders>
              <w:top w:val="nil"/>
              <w:left w:val="nil"/>
              <w:bottom w:val="single" w:sz="4" w:space="0" w:color="auto"/>
              <w:right w:val="single" w:sz="4" w:space="0" w:color="auto"/>
            </w:tcBorders>
            <w:shd w:val="clear" w:color="auto" w:fill="auto"/>
            <w:noWrap/>
            <w:vAlign w:val="center"/>
            <w:hideMark/>
          </w:tcPr>
          <w:p w14:paraId="7ADD7A3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19%</w:t>
            </w:r>
          </w:p>
        </w:tc>
      </w:tr>
      <w:tr w:rsidR="00B065F3" w:rsidRPr="00493806" w14:paraId="1C811D10"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7B3AAEDC"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F622200</w:t>
            </w:r>
          </w:p>
        </w:tc>
        <w:tc>
          <w:tcPr>
            <w:tcW w:w="3828" w:type="dxa"/>
            <w:tcBorders>
              <w:top w:val="nil"/>
              <w:left w:val="nil"/>
              <w:bottom w:val="single" w:sz="4" w:space="0" w:color="auto"/>
              <w:right w:val="single" w:sz="4" w:space="0" w:color="auto"/>
            </w:tcBorders>
            <w:shd w:val="clear" w:color="auto" w:fill="auto"/>
            <w:noWrap/>
            <w:vAlign w:val="center"/>
            <w:hideMark/>
          </w:tcPr>
          <w:p w14:paraId="155315C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Honoraires</w:t>
            </w:r>
          </w:p>
        </w:tc>
        <w:tc>
          <w:tcPr>
            <w:tcW w:w="1275" w:type="dxa"/>
            <w:tcBorders>
              <w:top w:val="nil"/>
              <w:left w:val="nil"/>
              <w:bottom w:val="single" w:sz="4" w:space="0" w:color="auto"/>
              <w:right w:val="single" w:sz="4" w:space="0" w:color="auto"/>
            </w:tcBorders>
            <w:shd w:val="clear" w:color="auto" w:fill="auto"/>
            <w:noWrap/>
            <w:vAlign w:val="center"/>
            <w:hideMark/>
          </w:tcPr>
          <w:p w14:paraId="2F771D7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10 000</w:t>
            </w:r>
          </w:p>
        </w:tc>
        <w:tc>
          <w:tcPr>
            <w:tcW w:w="1276" w:type="dxa"/>
            <w:tcBorders>
              <w:top w:val="nil"/>
              <w:left w:val="nil"/>
              <w:bottom w:val="single" w:sz="4" w:space="0" w:color="auto"/>
              <w:right w:val="single" w:sz="4" w:space="0" w:color="auto"/>
            </w:tcBorders>
            <w:shd w:val="clear" w:color="auto" w:fill="auto"/>
            <w:noWrap/>
            <w:vAlign w:val="center"/>
            <w:hideMark/>
          </w:tcPr>
          <w:p w14:paraId="07B2B54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9 837</w:t>
            </w:r>
          </w:p>
        </w:tc>
        <w:tc>
          <w:tcPr>
            <w:tcW w:w="1418" w:type="dxa"/>
            <w:tcBorders>
              <w:top w:val="nil"/>
              <w:left w:val="nil"/>
              <w:bottom w:val="single" w:sz="4" w:space="0" w:color="auto"/>
              <w:right w:val="single" w:sz="4" w:space="0" w:color="auto"/>
            </w:tcBorders>
            <w:shd w:val="clear" w:color="auto" w:fill="auto"/>
            <w:noWrap/>
            <w:vAlign w:val="center"/>
            <w:hideMark/>
          </w:tcPr>
          <w:p w14:paraId="6DE1241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8 100</w:t>
            </w:r>
          </w:p>
        </w:tc>
        <w:tc>
          <w:tcPr>
            <w:tcW w:w="992" w:type="dxa"/>
            <w:tcBorders>
              <w:top w:val="nil"/>
              <w:left w:val="nil"/>
              <w:bottom w:val="single" w:sz="4" w:space="0" w:color="auto"/>
              <w:right w:val="single" w:sz="4" w:space="0" w:color="auto"/>
            </w:tcBorders>
            <w:shd w:val="clear" w:color="auto" w:fill="auto"/>
            <w:noWrap/>
            <w:vAlign w:val="center"/>
            <w:hideMark/>
          </w:tcPr>
          <w:p w14:paraId="71330C4D"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98%</w:t>
            </w:r>
          </w:p>
        </w:tc>
        <w:tc>
          <w:tcPr>
            <w:tcW w:w="992" w:type="dxa"/>
            <w:tcBorders>
              <w:top w:val="nil"/>
              <w:left w:val="nil"/>
              <w:bottom w:val="single" w:sz="4" w:space="0" w:color="auto"/>
              <w:right w:val="single" w:sz="4" w:space="0" w:color="auto"/>
            </w:tcBorders>
            <w:shd w:val="clear" w:color="auto" w:fill="auto"/>
            <w:noWrap/>
            <w:vAlign w:val="center"/>
            <w:hideMark/>
          </w:tcPr>
          <w:p w14:paraId="4E6BE6C6"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81%</w:t>
            </w:r>
          </w:p>
        </w:tc>
      </w:tr>
      <w:tr w:rsidR="00B065F3" w:rsidRPr="00493806" w14:paraId="4B62BA40"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2044AE34"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F622400</w:t>
            </w:r>
          </w:p>
        </w:tc>
        <w:tc>
          <w:tcPr>
            <w:tcW w:w="3828" w:type="dxa"/>
            <w:tcBorders>
              <w:top w:val="nil"/>
              <w:left w:val="nil"/>
              <w:bottom w:val="single" w:sz="4" w:space="0" w:color="auto"/>
              <w:right w:val="single" w:sz="4" w:space="0" w:color="auto"/>
            </w:tcBorders>
            <w:shd w:val="clear" w:color="auto" w:fill="auto"/>
            <w:noWrap/>
            <w:vAlign w:val="center"/>
            <w:hideMark/>
          </w:tcPr>
          <w:p w14:paraId="05DBCDFF"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Frais d'Actes et de Contentieux</w:t>
            </w:r>
          </w:p>
        </w:tc>
        <w:tc>
          <w:tcPr>
            <w:tcW w:w="1275" w:type="dxa"/>
            <w:tcBorders>
              <w:top w:val="nil"/>
              <w:left w:val="nil"/>
              <w:bottom w:val="single" w:sz="4" w:space="0" w:color="auto"/>
              <w:right w:val="single" w:sz="4" w:space="0" w:color="auto"/>
            </w:tcBorders>
            <w:shd w:val="clear" w:color="auto" w:fill="auto"/>
            <w:noWrap/>
            <w:vAlign w:val="center"/>
            <w:hideMark/>
          </w:tcPr>
          <w:p w14:paraId="5C7A5F9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5 000</w:t>
            </w:r>
          </w:p>
        </w:tc>
        <w:tc>
          <w:tcPr>
            <w:tcW w:w="1276" w:type="dxa"/>
            <w:tcBorders>
              <w:top w:val="nil"/>
              <w:left w:val="nil"/>
              <w:bottom w:val="single" w:sz="4" w:space="0" w:color="auto"/>
              <w:right w:val="single" w:sz="4" w:space="0" w:color="auto"/>
            </w:tcBorders>
            <w:shd w:val="clear" w:color="auto" w:fill="auto"/>
            <w:noWrap/>
            <w:vAlign w:val="center"/>
            <w:hideMark/>
          </w:tcPr>
          <w:p w14:paraId="5DB20749"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4 700</w:t>
            </w:r>
          </w:p>
        </w:tc>
        <w:tc>
          <w:tcPr>
            <w:tcW w:w="1418" w:type="dxa"/>
            <w:tcBorders>
              <w:top w:val="nil"/>
              <w:left w:val="nil"/>
              <w:bottom w:val="single" w:sz="4" w:space="0" w:color="auto"/>
              <w:right w:val="single" w:sz="4" w:space="0" w:color="auto"/>
            </w:tcBorders>
            <w:shd w:val="clear" w:color="auto" w:fill="auto"/>
            <w:noWrap/>
            <w:vAlign w:val="center"/>
            <w:hideMark/>
          </w:tcPr>
          <w:p w14:paraId="11CE56C9"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2 610</w:t>
            </w:r>
          </w:p>
        </w:tc>
        <w:tc>
          <w:tcPr>
            <w:tcW w:w="992" w:type="dxa"/>
            <w:tcBorders>
              <w:top w:val="nil"/>
              <w:left w:val="nil"/>
              <w:bottom w:val="single" w:sz="4" w:space="0" w:color="auto"/>
              <w:right w:val="single" w:sz="4" w:space="0" w:color="auto"/>
            </w:tcBorders>
            <w:shd w:val="clear" w:color="auto" w:fill="auto"/>
            <w:noWrap/>
            <w:vAlign w:val="center"/>
            <w:hideMark/>
          </w:tcPr>
          <w:p w14:paraId="33E419A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94%</w:t>
            </w:r>
          </w:p>
        </w:tc>
        <w:tc>
          <w:tcPr>
            <w:tcW w:w="992" w:type="dxa"/>
            <w:tcBorders>
              <w:top w:val="nil"/>
              <w:left w:val="nil"/>
              <w:bottom w:val="single" w:sz="4" w:space="0" w:color="auto"/>
              <w:right w:val="single" w:sz="4" w:space="0" w:color="auto"/>
            </w:tcBorders>
            <w:shd w:val="clear" w:color="auto" w:fill="auto"/>
            <w:noWrap/>
            <w:vAlign w:val="center"/>
            <w:hideMark/>
          </w:tcPr>
          <w:p w14:paraId="50B85A08"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52%</w:t>
            </w:r>
          </w:p>
        </w:tc>
      </w:tr>
      <w:tr w:rsidR="00B065F3" w:rsidRPr="00493806" w14:paraId="4043DA75"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258FFED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F622810</w:t>
            </w:r>
          </w:p>
        </w:tc>
        <w:tc>
          <w:tcPr>
            <w:tcW w:w="3828" w:type="dxa"/>
            <w:tcBorders>
              <w:top w:val="nil"/>
              <w:left w:val="nil"/>
              <w:bottom w:val="single" w:sz="4" w:space="0" w:color="auto"/>
              <w:right w:val="single" w:sz="4" w:space="0" w:color="auto"/>
            </w:tcBorders>
            <w:shd w:val="clear" w:color="auto" w:fill="auto"/>
            <w:noWrap/>
            <w:vAlign w:val="center"/>
            <w:hideMark/>
          </w:tcPr>
          <w:p w14:paraId="202F826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Prestations de Gardiennage</w:t>
            </w:r>
          </w:p>
        </w:tc>
        <w:tc>
          <w:tcPr>
            <w:tcW w:w="1275" w:type="dxa"/>
            <w:tcBorders>
              <w:top w:val="nil"/>
              <w:left w:val="nil"/>
              <w:bottom w:val="single" w:sz="4" w:space="0" w:color="auto"/>
              <w:right w:val="single" w:sz="4" w:space="0" w:color="auto"/>
            </w:tcBorders>
            <w:shd w:val="clear" w:color="auto" w:fill="auto"/>
            <w:noWrap/>
            <w:vAlign w:val="center"/>
            <w:hideMark/>
          </w:tcPr>
          <w:p w14:paraId="59AA612A"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50 000</w:t>
            </w:r>
          </w:p>
        </w:tc>
        <w:tc>
          <w:tcPr>
            <w:tcW w:w="1276" w:type="dxa"/>
            <w:tcBorders>
              <w:top w:val="nil"/>
              <w:left w:val="nil"/>
              <w:bottom w:val="single" w:sz="4" w:space="0" w:color="auto"/>
              <w:right w:val="single" w:sz="4" w:space="0" w:color="auto"/>
            </w:tcBorders>
            <w:shd w:val="clear" w:color="auto" w:fill="auto"/>
            <w:noWrap/>
            <w:vAlign w:val="center"/>
            <w:hideMark/>
          </w:tcPr>
          <w:p w14:paraId="785E677D"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50 000</w:t>
            </w:r>
          </w:p>
        </w:tc>
        <w:tc>
          <w:tcPr>
            <w:tcW w:w="1418" w:type="dxa"/>
            <w:tcBorders>
              <w:top w:val="nil"/>
              <w:left w:val="nil"/>
              <w:bottom w:val="single" w:sz="4" w:space="0" w:color="auto"/>
              <w:right w:val="single" w:sz="4" w:space="0" w:color="auto"/>
            </w:tcBorders>
            <w:shd w:val="clear" w:color="auto" w:fill="auto"/>
            <w:noWrap/>
            <w:vAlign w:val="center"/>
            <w:hideMark/>
          </w:tcPr>
          <w:p w14:paraId="58B5217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50 000</w:t>
            </w:r>
          </w:p>
        </w:tc>
        <w:tc>
          <w:tcPr>
            <w:tcW w:w="992" w:type="dxa"/>
            <w:tcBorders>
              <w:top w:val="nil"/>
              <w:left w:val="nil"/>
              <w:bottom w:val="single" w:sz="4" w:space="0" w:color="auto"/>
              <w:right w:val="single" w:sz="4" w:space="0" w:color="auto"/>
            </w:tcBorders>
            <w:shd w:val="clear" w:color="auto" w:fill="auto"/>
            <w:noWrap/>
            <w:vAlign w:val="center"/>
            <w:hideMark/>
          </w:tcPr>
          <w:p w14:paraId="37D0CFC8"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60BFFC6D"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100%</w:t>
            </w:r>
          </w:p>
        </w:tc>
      </w:tr>
      <w:tr w:rsidR="00B065F3" w:rsidRPr="00493806" w14:paraId="1EF5C62A"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062093D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lastRenderedPageBreak/>
              <w:t>F623400</w:t>
            </w:r>
          </w:p>
        </w:tc>
        <w:tc>
          <w:tcPr>
            <w:tcW w:w="3828" w:type="dxa"/>
            <w:tcBorders>
              <w:top w:val="nil"/>
              <w:left w:val="nil"/>
              <w:bottom w:val="single" w:sz="4" w:space="0" w:color="auto"/>
              <w:right w:val="single" w:sz="4" w:space="0" w:color="auto"/>
            </w:tcBorders>
            <w:shd w:val="clear" w:color="auto" w:fill="auto"/>
            <w:noWrap/>
            <w:vAlign w:val="center"/>
            <w:hideMark/>
          </w:tcPr>
          <w:p w14:paraId="2AD3A68C"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Cadeaux</w:t>
            </w:r>
          </w:p>
        </w:tc>
        <w:tc>
          <w:tcPr>
            <w:tcW w:w="1275" w:type="dxa"/>
            <w:tcBorders>
              <w:top w:val="nil"/>
              <w:left w:val="nil"/>
              <w:bottom w:val="single" w:sz="4" w:space="0" w:color="auto"/>
              <w:right w:val="single" w:sz="4" w:space="0" w:color="auto"/>
            </w:tcBorders>
            <w:shd w:val="clear" w:color="auto" w:fill="auto"/>
            <w:noWrap/>
            <w:vAlign w:val="center"/>
            <w:hideMark/>
          </w:tcPr>
          <w:p w14:paraId="14A918BC"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300</w:t>
            </w:r>
          </w:p>
        </w:tc>
        <w:tc>
          <w:tcPr>
            <w:tcW w:w="1276" w:type="dxa"/>
            <w:tcBorders>
              <w:top w:val="nil"/>
              <w:left w:val="nil"/>
              <w:bottom w:val="single" w:sz="4" w:space="0" w:color="auto"/>
              <w:right w:val="single" w:sz="4" w:space="0" w:color="auto"/>
            </w:tcBorders>
            <w:shd w:val="clear" w:color="auto" w:fill="auto"/>
            <w:noWrap/>
            <w:vAlign w:val="center"/>
            <w:hideMark/>
          </w:tcPr>
          <w:p w14:paraId="3626AFE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250</w:t>
            </w:r>
          </w:p>
        </w:tc>
        <w:tc>
          <w:tcPr>
            <w:tcW w:w="1418" w:type="dxa"/>
            <w:tcBorders>
              <w:top w:val="nil"/>
              <w:left w:val="nil"/>
              <w:bottom w:val="single" w:sz="4" w:space="0" w:color="auto"/>
              <w:right w:val="single" w:sz="4" w:space="0" w:color="auto"/>
            </w:tcBorders>
            <w:shd w:val="clear" w:color="auto" w:fill="auto"/>
            <w:noWrap/>
            <w:vAlign w:val="center"/>
            <w:hideMark/>
          </w:tcPr>
          <w:p w14:paraId="0536EEF6"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250</w:t>
            </w:r>
          </w:p>
        </w:tc>
        <w:tc>
          <w:tcPr>
            <w:tcW w:w="992" w:type="dxa"/>
            <w:tcBorders>
              <w:top w:val="nil"/>
              <w:left w:val="nil"/>
              <w:bottom w:val="single" w:sz="4" w:space="0" w:color="auto"/>
              <w:right w:val="single" w:sz="4" w:space="0" w:color="auto"/>
            </w:tcBorders>
            <w:shd w:val="clear" w:color="auto" w:fill="auto"/>
            <w:noWrap/>
            <w:vAlign w:val="center"/>
            <w:hideMark/>
          </w:tcPr>
          <w:p w14:paraId="277A162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83%</w:t>
            </w:r>
          </w:p>
        </w:tc>
        <w:tc>
          <w:tcPr>
            <w:tcW w:w="992" w:type="dxa"/>
            <w:tcBorders>
              <w:top w:val="nil"/>
              <w:left w:val="nil"/>
              <w:bottom w:val="single" w:sz="4" w:space="0" w:color="auto"/>
              <w:right w:val="single" w:sz="4" w:space="0" w:color="auto"/>
            </w:tcBorders>
            <w:shd w:val="clear" w:color="auto" w:fill="auto"/>
            <w:noWrap/>
            <w:vAlign w:val="center"/>
            <w:hideMark/>
          </w:tcPr>
          <w:p w14:paraId="11AFC3C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83%</w:t>
            </w:r>
          </w:p>
        </w:tc>
      </w:tr>
      <w:tr w:rsidR="00B065F3" w:rsidRPr="00493806" w14:paraId="175A0EB0"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55C0072F"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F625100</w:t>
            </w:r>
          </w:p>
        </w:tc>
        <w:tc>
          <w:tcPr>
            <w:tcW w:w="3828" w:type="dxa"/>
            <w:tcBorders>
              <w:top w:val="nil"/>
              <w:left w:val="nil"/>
              <w:bottom w:val="single" w:sz="4" w:space="0" w:color="auto"/>
              <w:right w:val="single" w:sz="4" w:space="0" w:color="auto"/>
            </w:tcBorders>
            <w:shd w:val="clear" w:color="auto" w:fill="auto"/>
            <w:noWrap/>
            <w:vAlign w:val="center"/>
            <w:hideMark/>
          </w:tcPr>
          <w:p w14:paraId="42E06C5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Déplacements</w:t>
            </w:r>
          </w:p>
        </w:tc>
        <w:tc>
          <w:tcPr>
            <w:tcW w:w="1275" w:type="dxa"/>
            <w:tcBorders>
              <w:top w:val="nil"/>
              <w:left w:val="nil"/>
              <w:bottom w:val="single" w:sz="4" w:space="0" w:color="auto"/>
              <w:right w:val="single" w:sz="4" w:space="0" w:color="auto"/>
            </w:tcBorders>
            <w:shd w:val="clear" w:color="auto" w:fill="auto"/>
            <w:noWrap/>
            <w:vAlign w:val="center"/>
            <w:hideMark/>
          </w:tcPr>
          <w:p w14:paraId="36A83BE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2 000</w:t>
            </w:r>
          </w:p>
        </w:tc>
        <w:tc>
          <w:tcPr>
            <w:tcW w:w="1276" w:type="dxa"/>
            <w:tcBorders>
              <w:top w:val="nil"/>
              <w:left w:val="nil"/>
              <w:bottom w:val="single" w:sz="4" w:space="0" w:color="auto"/>
              <w:right w:val="single" w:sz="4" w:space="0" w:color="auto"/>
            </w:tcBorders>
            <w:shd w:val="clear" w:color="auto" w:fill="auto"/>
            <w:noWrap/>
            <w:vAlign w:val="center"/>
            <w:hideMark/>
          </w:tcPr>
          <w:p w14:paraId="6F0E52D9"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1 000</w:t>
            </w:r>
          </w:p>
        </w:tc>
        <w:tc>
          <w:tcPr>
            <w:tcW w:w="1418" w:type="dxa"/>
            <w:tcBorders>
              <w:top w:val="nil"/>
              <w:left w:val="nil"/>
              <w:bottom w:val="single" w:sz="4" w:space="0" w:color="auto"/>
              <w:right w:val="single" w:sz="4" w:space="0" w:color="auto"/>
            </w:tcBorders>
            <w:shd w:val="clear" w:color="auto" w:fill="auto"/>
            <w:noWrap/>
            <w:vAlign w:val="center"/>
            <w:hideMark/>
          </w:tcPr>
          <w:p w14:paraId="138D317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1 000</w:t>
            </w:r>
          </w:p>
        </w:tc>
        <w:tc>
          <w:tcPr>
            <w:tcW w:w="992" w:type="dxa"/>
            <w:tcBorders>
              <w:top w:val="nil"/>
              <w:left w:val="nil"/>
              <w:bottom w:val="single" w:sz="4" w:space="0" w:color="auto"/>
              <w:right w:val="single" w:sz="4" w:space="0" w:color="auto"/>
            </w:tcBorders>
            <w:shd w:val="clear" w:color="auto" w:fill="auto"/>
            <w:noWrap/>
            <w:vAlign w:val="center"/>
            <w:hideMark/>
          </w:tcPr>
          <w:p w14:paraId="2AAE710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w:t>
            </w:r>
          </w:p>
        </w:tc>
        <w:tc>
          <w:tcPr>
            <w:tcW w:w="992" w:type="dxa"/>
            <w:tcBorders>
              <w:top w:val="nil"/>
              <w:left w:val="nil"/>
              <w:bottom w:val="single" w:sz="4" w:space="0" w:color="auto"/>
              <w:right w:val="single" w:sz="4" w:space="0" w:color="auto"/>
            </w:tcBorders>
            <w:shd w:val="clear" w:color="auto" w:fill="auto"/>
            <w:noWrap/>
            <w:vAlign w:val="center"/>
            <w:hideMark/>
          </w:tcPr>
          <w:p w14:paraId="0132DD2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w:t>
            </w:r>
          </w:p>
        </w:tc>
      </w:tr>
      <w:tr w:rsidR="00B065F3" w:rsidRPr="00493806" w14:paraId="74C1BE65"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74F2254A"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F625500</w:t>
            </w:r>
          </w:p>
        </w:tc>
        <w:tc>
          <w:tcPr>
            <w:tcW w:w="3828" w:type="dxa"/>
            <w:tcBorders>
              <w:top w:val="nil"/>
              <w:left w:val="nil"/>
              <w:bottom w:val="single" w:sz="4" w:space="0" w:color="auto"/>
              <w:right w:val="single" w:sz="4" w:space="0" w:color="auto"/>
            </w:tcBorders>
            <w:shd w:val="clear" w:color="auto" w:fill="auto"/>
            <w:noWrap/>
            <w:vAlign w:val="center"/>
            <w:hideMark/>
          </w:tcPr>
          <w:p w14:paraId="088D8BCC"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Réceptions</w:t>
            </w:r>
          </w:p>
        </w:tc>
        <w:tc>
          <w:tcPr>
            <w:tcW w:w="1275" w:type="dxa"/>
            <w:tcBorders>
              <w:top w:val="nil"/>
              <w:left w:val="nil"/>
              <w:bottom w:val="single" w:sz="4" w:space="0" w:color="auto"/>
              <w:right w:val="single" w:sz="4" w:space="0" w:color="auto"/>
            </w:tcBorders>
            <w:shd w:val="clear" w:color="auto" w:fill="auto"/>
            <w:noWrap/>
            <w:vAlign w:val="center"/>
            <w:hideMark/>
          </w:tcPr>
          <w:p w14:paraId="3938CF60"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4 000</w:t>
            </w:r>
          </w:p>
        </w:tc>
        <w:tc>
          <w:tcPr>
            <w:tcW w:w="1276" w:type="dxa"/>
            <w:tcBorders>
              <w:top w:val="nil"/>
              <w:left w:val="nil"/>
              <w:bottom w:val="single" w:sz="4" w:space="0" w:color="auto"/>
              <w:right w:val="single" w:sz="4" w:space="0" w:color="auto"/>
            </w:tcBorders>
            <w:shd w:val="clear" w:color="auto" w:fill="auto"/>
            <w:noWrap/>
            <w:vAlign w:val="center"/>
            <w:hideMark/>
          </w:tcPr>
          <w:p w14:paraId="53786D8A"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2 938</w:t>
            </w:r>
          </w:p>
        </w:tc>
        <w:tc>
          <w:tcPr>
            <w:tcW w:w="1418" w:type="dxa"/>
            <w:tcBorders>
              <w:top w:val="nil"/>
              <w:left w:val="nil"/>
              <w:bottom w:val="single" w:sz="4" w:space="0" w:color="auto"/>
              <w:right w:val="single" w:sz="4" w:space="0" w:color="auto"/>
            </w:tcBorders>
            <w:shd w:val="clear" w:color="auto" w:fill="auto"/>
            <w:noWrap/>
            <w:vAlign w:val="center"/>
            <w:hideMark/>
          </w:tcPr>
          <w:p w14:paraId="4E0F34E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2 938</w:t>
            </w:r>
          </w:p>
        </w:tc>
        <w:tc>
          <w:tcPr>
            <w:tcW w:w="992" w:type="dxa"/>
            <w:tcBorders>
              <w:top w:val="nil"/>
              <w:left w:val="nil"/>
              <w:bottom w:val="single" w:sz="4" w:space="0" w:color="auto"/>
              <w:right w:val="single" w:sz="4" w:space="0" w:color="auto"/>
            </w:tcBorders>
            <w:shd w:val="clear" w:color="auto" w:fill="auto"/>
            <w:noWrap/>
            <w:vAlign w:val="center"/>
            <w:hideMark/>
          </w:tcPr>
          <w:p w14:paraId="386D5FB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73%</w:t>
            </w:r>
          </w:p>
        </w:tc>
        <w:tc>
          <w:tcPr>
            <w:tcW w:w="992" w:type="dxa"/>
            <w:tcBorders>
              <w:top w:val="nil"/>
              <w:left w:val="nil"/>
              <w:bottom w:val="single" w:sz="4" w:space="0" w:color="auto"/>
              <w:right w:val="single" w:sz="4" w:space="0" w:color="auto"/>
            </w:tcBorders>
            <w:shd w:val="clear" w:color="auto" w:fill="auto"/>
            <w:noWrap/>
            <w:vAlign w:val="center"/>
            <w:hideMark/>
          </w:tcPr>
          <w:p w14:paraId="56FE4C4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73%</w:t>
            </w:r>
          </w:p>
        </w:tc>
      </w:tr>
      <w:tr w:rsidR="00B065F3" w:rsidRPr="00493806" w14:paraId="117D40E4"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47B2312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F626000</w:t>
            </w:r>
          </w:p>
        </w:tc>
        <w:tc>
          <w:tcPr>
            <w:tcW w:w="3828" w:type="dxa"/>
            <w:tcBorders>
              <w:top w:val="nil"/>
              <w:left w:val="nil"/>
              <w:bottom w:val="single" w:sz="4" w:space="0" w:color="auto"/>
              <w:right w:val="single" w:sz="4" w:space="0" w:color="auto"/>
            </w:tcBorders>
            <w:shd w:val="clear" w:color="auto" w:fill="auto"/>
            <w:noWrap/>
            <w:vAlign w:val="center"/>
            <w:hideMark/>
          </w:tcPr>
          <w:p w14:paraId="1A13DCB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Frais Postaux et de Télécommunications</w:t>
            </w:r>
          </w:p>
        </w:tc>
        <w:tc>
          <w:tcPr>
            <w:tcW w:w="1275" w:type="dxa"/>
            <w:tcBorders>
              <w:top w:val="nil"/>
              <w:left w:val="nil"/>
              <w:bottom w:val="single" w:sz="4" w:space="0" w:color="auto"/>
              <w:right w:val="single" w:sz="4" w:space="0" w:color="auto"/>
            </w:tcBorders>
            <w:shd w:val="clear" w:color="auto" w:fill="auto"/>
            <w:noWrap/>
            <w:vAlign w:val="center"/>
            <w:hideMark/>
          </w:tcPr>
          <w:p w14:paraId="07071986"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500</w:t>
            </w:r>
          </w:p>
        </w:tc>
        <w:tc>
          <w:tcPr>
            <w:tcW w:w="1276" w:type="dxa"/>
            <w:tcBorders>
              <w:top w:val="nil"/>
              <w:left w:val="nil"/>
              <w:bottom w:val="single" w:sz="4" w:space="0" w:color="auto"/>
              <w:right w:val="single" w:sz="4" w:space="0" w:color="auto"/>
            </w:tcBorders>
            <w:shd w:val="clear" w:color="auto" w:fill="auto"/>
            <w:noWrap/>
            <w:vAlign w:val="center"/>
            <w:hideMark/>
          </w:tcPr>
          <w:p w14:paraId="366AD045" w14:textId="77777777" w:rsidR="00B065F3" w:rsidRPr="00493806" w:rsidRDefault="00B065F3" w:rsidP="00AE3850">
            <w:pPr>
              <w:spacing w:line="360" w:lineRule="auto"/>
              <w:jc w:val="both"/>
              <w:rPr>
                <w:rFonts w:asciiTheme="majorBidi" w:eastAsia="Times New Roman" w:hAnsiTheme="majorBidi" w:cstheme="majorBidi"/>
                <w:lang w:eastAsia="fr-FR"/>
              </w:rPr>
            </w:pPr>
          </w:p>
        </w:tc>
        <w:tc>
          <w:tcPr>
            <w:tcW w:w="1418" w:type="dxa"/>
            <w:tcBorders>
              <w:top w:val="nil"/>
              <w:left w:val="nil"/>
              <w:bottom w:val="single" w:sz="4" w:space="0" w:color="auto"/>
              <w:right w:val="single" w:sz="4" w:space="0" w:color="auto"/>
            </w:tcBorders>
            <w:shd w:val="clear" w:color="auto" w:fill="auto"/>
            <w:noWrap/>
            <w:vAlign w:val="center"/>
            <w:hideMark/>
          </w:tcPr>
          <w:p w14:paraId="3AC4AF73" w14:textId="77777777" w:rsidR="00B065F3" w:rsidRPr="00493806" w:rsidRDefault="00B065F3" w:rsidP="00AE3850">
            <w:pPr>
              <w:spacing w:line="360" w:lineRule="auto"/>
              <w:jc w:val="both"/>
              <w:rPr>
                <w:rFonts w:asciiTheme="majorBidi" w:eastAsia="Times New Roman" w:hAnsiTheme="majorBidi" w:cstheme="majorBidi"/>
                <w:lang w:eastAsia="fr-FR"/>
              </w:rPr>
            </w:pPr>
          </w:p>
        </w:tc>
        <w:tc>
          <w:tcPr>
            <w:tcW w:w="992" w:type="dxa"/>
            <w:tcBorders>
              <w:top w:val="nil"/>
              <w:left w:val="nil"/>
              <w:bottom w:val="single" w:sz="4" w:space="0" w:color="auto"/>
              <w:right w:val="single" w:sz="4" w:space="0" w:color="auto"/>
            </w:tcBorders>
            <w:shd w:val="clear" w:color="auto" w:fill="auto"/>
            <w:noWrap/>
            <w:vAlign w:val="center"/>
            <w:hideMark/>
          </w:tcPr>
          <w:p w14:paraId="268B9417"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0%</w:t>
            </w:r>
          </w:p>
        </w:tc>
        <w:tc>
          <w:tcPr>
            <w:tcW w:w="992" w:type="dxa"/>
            <w:tcBorders>
              <w:top w:val="nil"/>
              <w:left w:val="nil"/>
              <w:bottom w:val="single" w:sz="4" w:space="0" w:color="auto"/>
              <w:right w:val="single" w:sz="4" w:space="0" w:color="auto"/>
            </w:tcBorders>
            <w:shd w:val="clear" w:color="auto" w:fill="auto"/>
            <w:noWrap/>
            <w:vAlign w:val="center"/>
            <w:hideMark/>
          </w:tcPr>
          <w:p w14:paraId="53BCEA81"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0%</w:t>
            </w:r>
          </w:p>
        </w:tc>
      </w:tr>
      <w:tr w:rsidR="00B065F3" w:rsidRPr="00493806" w14:paraId="57D429F5"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0D2F1F2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F627000</w:t>
            </w:r>
          </w:p>
        </w:tc>
        <w:tc>
          <w:tcPr>
            <w:tcW w:w="3828" w:type="dxa"/>
            <w:tcBorders>
              <w:top w:val="nil"/>
              <w:left w:val="nil"/>
              <w:bottom w:val="single" w:sz="4" w:space="0" w:color="auto"/>
              <w:right w:val="single" w:sz="4" w:space="0" w:color="auto"/>
            </w:tcBorders>
            <w:shd w:val="clear" w:color="auto" w:fill="auto"/>
            <w:noWrap/>
            <w:vAlign w:val="center"/>
            <w:hideMark/>
          </w:tcPr>
          <w:p w14:paraId="63CA0695"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Services Bancaires et Assimilés (Frais et Commissions Diverses)</w:t>
            </w:r>
          </w:p>
        </w:tc>
        <w:tc>
          <w:tcPr>
            <w:tcW w:w="1275" w:type="dxa"/>
            <w:tcBorders>
              <w:top w:val="nil"/>
              <w:left w:val="nil"/>
              <w:bottom w:val="single" w:sz="4" w:space="0" w:color="auto"/>
              <w:right w:val="single" w:sz="4" w:space="0" w:color="auto"/>
            </w:tcBorders>
            <w:shd w:val="clear" w:color="auto" w:fill="auto"/>
            <w:noWrap/>
            <w:vAlign w:val="center"/>
            <w:hideMark/>
          </w:tcPr>
          <w:p w14:paraId="586B7AEA"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500</w:t>
            </w:r>
          </w:p>
        </w:tc>
        <w:tc>
          <w:tcPr>
            <w:tcW w:w="1276" w:type="dxa"/>
            <w:tcBorders>
              <w:top w:val="nil"/>
              <w:left w:val="nil"/>
              <w:bottom w:val="single" w:sz="4" w:space="0" w:color="auto"/>
              <w:right w:val="single" w:sz="4" w:space="0" w:color="auto"/>
            </w:tcBorders>
            <w:shd w:val="clear" w:color="auto" w:fill="auto"/>
            <w:noWrap/>
            <w:vAlign w:val="center"/>
            <w:hideMark/>
          </w:tcPr>
          <w:p w14:paraId="2E57355B" w14:textId="77777777" w:rsidR="00B065F3" w:rsidRPr="00493806" w:rsidRDefault="00B065F3" w:rsidP="00AE3850">
            <w:pPr>
              <w:spacing w:line="360" w:lineRule="auto"/>
              <w:jc w:val="both"/>
              <w:rPr>
                <w:rFonts w:asciiTheme="majorBidi" w:eastAsia="Times New Roman" w:hAnsiTheme="majorBidi" w:cstheme="majorBidi"/>
                <w:lang w:eastAsia="fr-FR"/>
              </w:rPr>
            </w:pPr>
          </w:p>
        </w:tc>
        <w:tc>
          <w:tcPr>
            <w:tcW w:w="1418" w:type="dxa"/>
            <w:tcBorders>
              <w:top w:val="nil"/>
              <w:left w:val="nil"/>
              <w:bottom w:val="single" w:sz="4" w:space="0" w:color="auto"/>
              <w:right w:val="single" w:sz="4" w:space="0" w:color="auto"/>
            </w:tcBorders>
            <w:shd w:val="clear" w:color="auto" w:fill="auto"/>
            <w:noWrap/>
            <w:vAlign w:val="center"/>
            <w:hideMark/>
          </w:tcPr>
          <w:p w14:paraId="62A6AF6F" w14:textId="77777777" w:rsidR="00B065F3" w:rsidRPr="00493806" w:rsidRDefault="00B065F3" w:rsidP="00AE3850">
            <w:pPr>
              <w:spacing w:line="360" w:lineRule="auto"/>
              <w:jc w:val="both"/>
              <w:rPr>
                <w:rFonts w:asciiTheme="majorBidi" w:eastAsia="Times New Roman" w:hAnsiTheme="majorBidi" w:cstheme="majorBidi"/>
                <w:lang w:eastAsia="fr-FR"/>
              </w:rPr>
            </w:pPr>
          </w:p>
        </w:tc>
        <w:tc>
          <w:tcPr>
            <w:tcW w:w="992" w:type="dxa"/>
            <w:tcBorders>
              <w:top w:val="nil"/>
              <w:left w:val="nil"/>
              <w:bottom w:val="single" w:sz="4" w:space="0" w:color="auto"/>
              <w:right w:val="single" w:sz="4" w:space="0" w:color="auto"/>
            </w:tcBorders>
            <w:shd w:val="clear" w:color="auto" w:fill="auto"/>
            <w:noWrap/>
            <w:vAlign w:val="center"/>
            <w:hideMark/>
          </w:tcPr>
          <w:p w14:paraId="2FA52B30"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0%</w:t>
            </w:r>
          </w:p>
        </w:tc>
        <w:tc>
          <w:tcPr>
            <w:tcW w:w="992" w:type="dxa"/>
            <w:tcBorders>
              <w:top w:val="nil"/>
              <w:left w:val="nil"/>
              <w:bottom w:val="single" w:sz="4" w:space="0" w:color="auto"/>
              <w:right w:val="single" w:sz="4" w:space="0" w:color="auto"/>
            </w:tcBorders>
            <w:shd w:val="clear" w:color="auto" w:fill="auto"/>
            <w:noWrap/>
            <w:vAlign w:val="center"/>
            <w:hideMark/>
          </w:tcPr>
          <w:p w14:paraId="6E769F8F"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0%</w:t>
            </w:r>
          </w:p>
        </w:tc>
      </w:tr>
      <w:tr w:rsidR="00B065F3" w:rsidRPr="00493806" w14:paraId="638A1152" w14:textId="77777777" w:rsidTr="002F3A91">
        <w:trPr>
          <w:trHeight w:val="315"/>
          <w:jc w:val="center"/>
        </w:trPr>
        <w:tc>
          <w:tcPr>
            <w:tcW w:w="1149" w:type="dxa"/>
            <w:tcBorders>
              <w:top w:val="nil"/>
              <w:left w:val="single" w:sz="4" w:space="0" w:color="auto"/>
              <w:bottom w:val="single" w:sz="4" w:space="0" w:color="auto"/>
              <w:right w:val="single" w:sz="4" w:space="0" w:color="auto"/>
            </w:tcBorders>
            <w:shd w:val="clear" w:color="auto" w:fill="auto"/>
            <w:vAlign w:val="center"/>
            <w:hideMark/>
          </w:tcPr>
          <w:p w14:paraId="015A8356"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F611000</w:t>
            </w:r>
          </w:p>
        </w:tc>
        <w:tc>
          <w:tcPr>
            <w:tcW w:w="3828" w:type="dxa"/>
            <w:tcBorders>
              <w:top w:val="nil"/>
              <w:left w:val="nil"/>
              <w:bottom w:val="single" w:sz="4" w:space="0" w:color="auto"/>
              <w:right w:val="single" w:sz="4" w:space="0" w:color="auto"/>
            </w:tcBorders>
            <w:shd w:val="clear" w:color="auto" w:fill="auto"/>
            <w:noWrap/>
            <w:vAlign w:val="center"/>
            <w:hideMark/>
          </w:tcPr>
          <w:p w14:paraId="086D19DE"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Sous Traitances VDS</w:t>
            </w:r>
          </w:p>
        </w:tc>
        <w:tc>
          <w:tcPr>
            <w:tcW w:w="1275" w:type="dxa"/>
            <w:tcBorders>
              <w:top w:val="nil"/>
              <w:left w:val="nil"/>
              <w:bottom w:val="single" w:sz="4" w:space="0" w:color="auto"/>
              <w:right w:val="single" w:sz="4" w:space="0" w:color="auto"/>
            </w:tcBorders>
            <w:shd w:val="clear" w:color="auto" w:fill="auto"/>
            <w:noWrap/>
            <w:vAlign w:val="center"/>
            <w:hideMark/>
          </w:tcPr>
          <w:p w14:paraId="5C85FFC9"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300 000</w:t>
            </w:r>
          </w:p>
        </w:tc>
        <w:tc>
          <w:tcPr>
            <w:tcW w:w="1276" w:type="dxa"/>
            <w:tcBorders>
              <w:top w:val="nil"/>
              <w:left w:val="nil"/>
              <w:bottom w:val="single" w:sz="4" w:space="0" w:color="auto"/>
              <w:right w:val="single" w:sz="4" w:space="0" w:color="auto"/>
            </w:tcBorders>
            <w:shd w:val="clear" w:color="auto" w:fill="auto"/>
            <w:noWrap/>
            <w:vAlign w:val="center"/>
            <w:hideMark/>
          </w:tcPr>
          <w:p w14:paraId="1BB2B8D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104 000</w:t>
            </w:r>
          </w:p>
        </w:tc>
        <w:tc>
          <w:tcPr>
            <w:tcW w:w="1418" w:type="dxa"/>
            <w:tcBorders>
              <w:top w:val="nil"/>
              <w:left w:val="nil"/>
              <w:bottom w:val="single" w:sz="4" w:space="0" w:color="auto"/>
              <w:right w:val="single" w:sz="4" w:space="0" w:color="auto"/>
            </w:tcBorders>
            <w:shd w:val="clear" w:color="auto" w:fill="auto"/>
            <w:noWrap/>
            <w:vAlign w:val="center"/>
            <w:hideMark/>
          </w:tcPr>
          <w:p w14:paraId="32691693"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40 000</w:t>
            </w:r>
          </w:p>
        </w:tc>
        <w:tc>
          <w:tcPr>
            <w:tcW w:w="992" w:type="dxa"/>
            <w:tcBorders>
              <w:top w:val="nil"/>
              <w:left w:val="nil"/>
              <w:bottom w:val="single" w:sz="4" w:space="0" w:color="auto"/>
              <w:right w:val="single" w:sz="4" w:space="0" w:color="auto"/>
            </w:tcBorders>
            <w:shd w:val="clear" w:color="auto" w:fill="auto"/>
            <w:noWrap/>
            <w:vAlign w:val="center"/>
            <w:hideMark/>
          </w:tcPr>
          <w:p w14:paraId="0493C76B"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35%</w:t>
            </w:r>
          </w:p>
        </w:tc>
        <w:tc>
          <w:tcPr>
            <w:tcW w:w="992" w:type="dxa"/>
            <w:tcBorders>
              <w:top w:val="nil"/>
              <w:left w:val="nil"/>
              <w:bottom w:val="single" w:sz="4" w:space="0" w:color="auto"/>
              <w:right w:val="single" w:sz="4" w:space="0" w:color="auto"/>
            </w:tcBorders>
            <w:shd w:val="clear" w:color="auto" w:fill="auto"/>
            <w:noWrap/>
            <w:vAlign w:val="center"/>
            <w:hideMark/>
          </w:tcPr>
          <w:p w14:paraId="34560852" w14:textId="77777777" w:rsidR="00B065F3" w:rsidRPr="00493806" w:rsidRDefault="00B065F3" w:rsidP="00AE3850">
            <w:pPr>
              <w:spacing w:line="360" w:lineRule="auto"/>
              <w:jc w:val="both"/>
              <w:rPr>
                <w:rFonts w:asciiTheme="majorBidi" w:eastAsia="Times New Roman" w:hAnsiTheme="majorBidi" w:cstheme="majorBidi"/>
                <w:lang w:eastAsia="fr-FR"/>
              </w:rPr>
            </w:pPr>
            <w:r w:rsidRPr="00493806">
              <w:rPr>
                <w:rFonts w:asciiTheme="majorBidi" w:eastAsia="Times New Roman" w:hAnsiTheme="majorBidi" w:cstheme="majorBidi"/>
                <w:lang w:eastAsia="fr-FR"/>
              </w:rPr>
              <w:t>13%</w:t>
            </w:r>
          </w:p>
        </w:tc>
      </w:tr>
      <w:tr w:rsidR="00B065F3" w:rsidRPr="00493806" w14:paraId="47392550" w14:textId="77777777" w:rsidTr="002F3A91">
        <w:trPr>
          <w:trHeight w:val="412"/>
          <w:jc w:val="center"/>
        </w:trPr>
        <w:tc>
          <w:tcPr>
            <w:tcW w:w="1149" w:type="dxa"/>
            <w:tcBorders>
              <w:top w:val="nil"/>
              <w:left w:val="single" w:sz="4" w:space="0" w:color="auto"/>
              <w:bottom w:val="single" w:sz="4" w:space="0" w:color="auto"/>
              <w:right w:val="single" w:sz="4" w:space="0" w:color="auto"/>
            </w:tcBorders>
            <w:shd w:val="clear" w:color="000000" w:fill="C6E0B4"/>
            <w:noWrap/>
            <w:vAlign w:val="center"/>
            <w:hideMark/>
          </w:tcPr>
          <w:p w14:paraId="42C76755" w14:textId="77777777" w:rsidR="00B065F3" w:rsidRPr="00493806" w:rsidRDefault="00B065F3" w:rsidP="00AE3850">
            <w:pPr>
              <w:spacing w:line="360" w:lineRule="auto"/>
              <w:jc w:val="both"/>
              <w:rPr>
                <w:rFonts w:asciiTheme="majorBidi" w:eastAsia="Times New Roman" w:hAnsiTheme="majorBidi" w:cstheme="majorBidi"/>
                <w:b/>
                <w:bCs/>
                <w:lang w:eastAsia="fr-FR"/>
              </w:rPr>
            </w:pPr>
          </w:p>
        </w:tc>
        <w:tc>
          <w:tcPr>
            <w:tcW w:w="3828" w:type="dxa"/>
            <w:tcBorders>
              <w:top w:val="nil"/>
              <w:left w:val="nil"/>
              <w:bottom w:val="single" w:sz="4" w:space="0" w:color="auto"/>
              <w:right w:val="single" w:sz="4" w:space="0" w:color="auto"/>
            </w:tcBorders>
            <w:shd w:val="clear" w:color="000000" w:fill="C6E0B4"/>
            <w:noWrap/>
            <w:vAlign w:val="center"/>
            <w:hideMark/>
          </w:tcPr>
          <w:p w14:paraId="76D3FAF9" w14:textId="77777777" w:rsidR="00B065F3" w:rsidRPr="00493806" w:rsidRDefault="00B065F3" w:rsidP="00AE3850">
            <w:pPr>
              <w:spacing w:line="360" w:lineRule="auto"/>
              <w:jc w:val="both"/>
              <w:rPr>
                <w:rFonts w:asciiTheme="majorBidi" w:eastAsia="Times New Roman" w:hAnsiTheme="majorBidi" w:cstheme="majorBidi"/>
                <w:b/>
                <w:bCs/>
                <w:lang w:eastAsia="fr-FR"/>
              </w:rPr>
            </w:pPr>
            <w:r w:rsidRPr="00493806">
              <w:rPr>
                <w:rFonts w:asciiTheme="majorBidi" w:eastAsia="Times New Roman" w:hAnsiTheme="majorBidi" w:cstheme="majorBidi"/>
                <w:b/>
                <w:bCs/>
                <w:lang w:eastAsia="fr-FR"/>
              </w:rPr>
              <w:t>Total Services Exterieus et Autres Services (Compte 61-62)</w:t>
            </w:r>
          </w:p>
        </w:tc>
        <w:tc>
          <w:tcPr>
            <w:tcW w:w="1275" w:type="dxa"/>
            <w:tcBorders>
              <w:top w:val="nil"/>
              <w:left w:val="nil"/>
              <w:bottom w:val="single" w:sz="4" w:space="0" w:color="auto"/>
              <w:right w:val="single" w:sz="4" w:space="0" w:color="auto"/>
            </w:tcBorders>
            <w:shd w:val="clear" w:color="000000" w:fill="C6E0B4"/>
            <w:noWrap/>
            <w:vAlign w:val="center"/>
            <w:hideMark/>
          </w:tcPr>
          <w:p w14:paraId="3D500D28" w14:textId="77777777" w:rsidR="00B065F3" w:rsidRPr="00493806" w:rsidRDefault="00B065F3" w:rsidP="00AE3850">
            <w:pPr>
              <w:spacing w:line="360" w:lineRule="auto"/>
              <w:jc w:val="both"/>
              <w:rPr>
                <w:rFonts w:asciiTheme="majorBidi" w:eastAsia="Times New Roman" w:hAnsiTheme="majorBidi" w:cstheme="majorBidi"/>
                <w:b/>
                <w:bCs/>
                <w:lang w:eastAsia="fr-FR"/>
              </w:rPr>
            </w:pPr>
            <w:r w:rsidRPr="00493806">
              <w:rPr>
                <w:rFonts w:asciiTheme="majorBidi" w:eastAsia="Times New Roman" w:hAnsiTheme="majorBidi" w:cstheme="majorBidi"/>
                <w:b/>
                <w:bCs/>
                <w:lang w:eastAsia="fr-FR"/>
              </w:rPr>
              <w:t>577 800</w:t>
            </w:r>
          </w:p>
        </w:tc>
        <w:tc>
          <w:tcPr>
            <w:tcW w:w="1276" w:type="dxa"/>
            <w:tcBorders>
              <w:top w:val="nil"/>
              <w:left w:val="nil"/>
              <w:bottom w:val="single" w:sz="4" w:space="0" w:color="auto"/>
              <w:right w:val="single" w:sz="4" w:space="0" w:color="auto"/>
            </w:tcBorders>
            <w:shd w:val="clear" w:color="000000" w:fill="C6E0B4"/>
            <w:noWrap/>
            <w:vAlign w:val="center"/>
            <w:hideMark/>
          </w:tcPr>
          <w:p w14:paraId="4315842F" w14:textId="77777777" w:rsidR="00B065F3" w:rsidRPr="00493806" w:rsidRDefault="00B065F3" w:rsidP="00AE3850">
            <w:pPr>
              <w:spacing w:line="360" w:lineRule="auto"/>
              <w:jc w:val="both"/>
              <w:rPr>
                <w:rFonts w:asciiTheme="majorBidi" w:eastAsia="Times New Roman" w:hAnsiTheme="majorBidi" w:cstheme="majorBidi"/>
                <w:b/>
                <w:bCs/>
                <w:lang w:eastAsia="fr-FR"/>
              </w:rPr>
            </w:pPr>
            <w:r w:rsidRPr="00493806">
              <w:rPr>
                <w:rFonts w:asciiTheme="majorBidi" w:eastAsia="Times New Roman" w:hAnsiTheme="majorBidi" w:cstheme="majorBidi"/>
                <w:b/>
                <w:bCs/>
                <w:lang w:eastAsia="fr-FR"/>
              </w:rPr>
              <w:t>358 519</w:t>
            </w:r>
          </w:p>
        </w:tc>
        <w:tc>
          <w:tcPr>
            <w:tcW w:w="1418" w:type="dxa"/>
            <w:tcBorders>
              <w:top w:val="nil"/>
              <w:left w:val="nil"/>
              <w:bottom w:val="single" w:sz="4" w:space="0" w:color="auto"/>
              <w:right w:val="single" w:sz="4" w:space="0" w:color="auto"/>
            </w:tcBorders>
            <w:shd w:val="clear" w:color="000000" w:fill="C6E0B4"/>
            <w:noWrap/>
            <w:vAlign w:val="center"/>
            <w:hideMark/>
          </w:tcPr>
          <w:p w14:paraId="2B7CD1F2" w14:textId="77777777" w:rsidR="00B065F3" w:rsidRPr="00493806" w:rsidRDefault="00B065F3" w:rsidP="00AE3850">
            <w:pPr>
              <w:spacing w:line="360" w:lineRule="auto"/>
              <w:jc w:val="both"/>
              <w:rPr>
                <w:rFonts w:asciiTheme="majorBidi" w:eastAsia="Times New Roman" w:hAnsiTheme="majorBidi" w:cstheme="majorBidi"/>
                <w:b/>
                <w:bCs/>
                <w:lang w:eastAsia="fr-FR"/>
              </w:rPr>
            </w:pPr>
            <w:r w:rsidRPr="00493806">
              <w:rPr>
                <w:rFonts w:asciiTheme="majorBidi" w:eastAsia="Times New Roman" w:hAnsiTheme="majorBidi" w:cstheme="majorBidi"/>
                <w:b/>
                <w:bCs/>
                <w:lang w:eastAsia="fr-FR"/>
              </w:rPr>
              <w:t>218 179</w:t>
            </w:r>
          </w:p>
        </w:tc>
        <w:tc>
          <w:tcPr>
            <w:tcW w:w="992" w:type="dxa"/>
            <w:tcBorders>
              <w:top w:val="nil"/>
              <w:left w:val="nil"/>
              <w:bottom w:val="single" w:sz="4" w:space="0" w:color="auto"/>
              <w:right w:val="single" w:sz="4" w:space="0" w:color="auto"/>
            </w:tcBorders>
            <w:shd w:val="clear" w:color="000000" w:fill="C6E0B4"/>
            <w:noWrap/>
            <w:vAlign w:val="center"/>
            <w:hideMark/>
          </w:tcPr>
          <w:p w14:paraId="6E8F06B4" w14:textId="77777777" w:rsidR="00B065F3" w:rsidRPr="00493806" w:rsidRDefault="00B065F3" w:rsidP="00AE3850">
            <w:pPr>
              <w:spacing w:line="360" w:lineRule="auto"/>
              <w:jc w:val="both"/>
              <w:rPr>
                <w:rFonts w:asciiTheme="majorBidi" w:eastAsia="Times New Roman" w:hAnsiTheme="majorBidi" w:cstheme="majorBidi"/>
                <w:b/>
                <w:bCs/>
                <w:lang w:eastAsia="fr-FR"/>
              </w:rPr>
            </w:pPr>
            <w:r w:rsidRPr="00493806">
              <w:rPr>
                <w:rFonts w:asciiTheme="majorBidi" w:eastAsia="Times New Roman" w:hAnsiTheme="majorBidi" w:cstheme="majorBidi"/>
                <w:b/>
                <w:bCs/>
                <w:lang w:eastAsia="fr-FR"/>
              </w:rPr>
              <w:t>62%</w:t>
            </w:r>
          </w:p>
        </w:tc>
        <w:tc>
          <w:tcPr>
            <w:tcW w:w="992" w:type="dxa"/>
            <w:tcBorders>
              <w:top w:val="nil"/>
              <w:left w:val="nil"/>
              <w:bottom w:val="single" w:sz="4" w:space="0" w:color="auto"/>
              <w:right w:val="single" w:sz="4" w:space="0" w:color="auto"/>
            </w:tcBorders>
            <w:shd w:val="clear" w:color="000000" w:fill="C6E0B4"/>
            <w:noWrap/>
            <w:vAlign w:val="center"/>
            <w:hideMark/>
          </w:tcPr>
          <w:p w14:paraId="000126C6" w14:textId="77777777" w:rsidR="00B065F3" w:rsidRPr="00493806" w:rsidRDefault="00B065F3" w:rsidP="00AE3850">
            <w:pPr>
              <w:spacing w:line="360" w:lineRule="auto"/>
              <w:jc w:val="both"/>
              <w:rPr>
                <w:rFonts w:asciiTheme="majorBidi" w:eastAsia="Times New Roman" w:hAnsiTheme="majorBidi" w:cstheme="majorBidi"/>
                <w:b/>
                <w:bCs/>
                <w:lang w:eastAsia="fr-FR"/>
              </w:rPr>
            </w:pPr>
            <w:r w:rsidRPr="00493806">
              <w:rPr>
                <w:rFonts w:asciiTheme="majorBidi" w:eastAsia="Times New Roman" w:hAnsiTheme="majorBidi" w:cstheme="majorBidi"/>
                <w:b/>
                <w:bCs/>
                <w:lang w:eastAsia="fr-FR"/>
              </w:rPr>
              <w:t>38%</w:t>
            </w:r>
          </w:p>
        </w:tc>
      </w:tr>
    </w:tbl>
    <w:p w14:paraId="5B225D33" w14:textId="1F9E52A0" w:rsidR="00B065F3" w:rsidRPr="002F3A91" w:rsidRDefault="00B065F3" w:rsidP="00AE3850">
      <w:pPr>
        <w:spacing w:line="360" w:lineRule="auto"/>
        <w:jc w:val="both"/>
        <w:rPr>
          <w:rFonts w:asciiTheme="majorBidi" w:eastAsia="Times New Roman" w:hAnsiTheme="majorBidi" w:cstheme="majorBidi"/>
          <w:b/>
          <w:bCs/>
          <w:lang w:eastAsia="fr-FR"/>
        </w:rPr>
      </w:pPr>
      <w:r w:rsidRPr="002F3A91">
        <w:rPr>
          <w:rFonts w:asciiTheme="majorBidi" w:eastAsia="Times New Roman" w:hAnsiTheme="majorBidi" w:cstheme="majorBidi"/>
          <w:b/>
          <w:bCs/>
          <w:lang w:eastAsia="fr-FR"/>
        </w:rPr>
        <w:t>Source : DOT de Beni Messous – Département Budget</w:t>
      </w:r>
    </w:p>
    <w:p w14:paraId="505E50F5" w14:textId="77777777" w:rsidR="00B065F3" w:rsidRPr="00953B54" w:rsidRDefault="00B065F3" w:rsidP="00AE3850">
      <w:pPr>
        <w:spacing w:line="360" w:lineRule="auto"/>
        <w:jc w:val="both"/>
        <w:rPr>
          <w:rFonts w:asciiTheme="majorBidi" w:hAnsiTheme="majorBidi" w:cstheme="majorBidi"/>
          <w:b/>
          <w:bCs/>
        </w:rPr>
      </w:pPr>
    </w:p>
    <w:p w14:paraId="4D54A244" w14:textId="1EB5ECB5" w:rsidR="00B065F3" w:rsidRPr="007D594C"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72" w:name="_Toc199314772"/>
      <w:r w:rsidRPr="007D594C">
        <w:rPr>
          <w:rFonts w:asciiTheme="majorBidi" w:hAnsiTheme="majorBidi" w:cstheme="majorBidi"/>
          <w:b/>
          <w:bCs/>
          <w:i w:val="0"/>
          <w:iCs w:val="0"/>
          <w:color w:val="auto"/>
          <w:sz w:val="24"/>
          <w:szCs w:val="24"/>
        </w:rPr>
        <w:t xml:space="preserve">Figure N°2- </w:t>
      </w:r>
      <w:r w:rsidRPr="007D594C">
        <w:rPr>
          <w:rFonts w:asciiTheme="majorBidi" w:hAnsiTheme="majorBidi" w:cstheme="majorBidi"/>
          <w:b/>
          <w:bCs/>
          <w:i w:val="0"/>
          <w:iCs w:val="0"/>
          <w:color w:val="auto"/>
          <w:sz w:val="24"/>
          <w:szCs w:val="24"/>
        </w:rPr>
        <w:fldChar w:fldCharType="begin"/>
      </w:r>
      <w:r w:rsidRPr="007D594C">
        <w:rPr>
          <w:rFonts w:asciiTheme="majorBidi" w:hAnsiTheme="majorBidi" w:cstheme="majorBidi"/>
          <w:b/>
          <w:bCs/>
          <w:i w:val="0"/>
          <w:iCs w:val="0"/>
          <w:color w:val="auto"/>
          <w:sz w:val="24"/>
          <w:szCs w:val="24"/>
        </w:rPr>
        <w:instrText xml:space="preserve"> SEQ Figure_N°2- \* ARABIC </w:instrText>
      </w:r>
      <w:r w:rsidRPr="007D594C">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6</w:t>
      </w:r>
      <w:r w:rsidRPr="007D594C">
        <w:rPr>
          <w:rFonts w:asciiTheme="majorBidi" w:hAnsiTheme="majorBidi" w:cstheme="majorBidi"/>
          <w:b/>
          <w:bCs/>
          <w:i w:val="0"/>
          <w:iCs w:val="0"/>
          <w:color w:val="auto"/>
          <w:sz w:val="24"/>
          <w:szCs w:val="24"/>
        </w:rPr>
        <w:fldChar w:fldCharType="end"/>
      </w:r>
      <w:r w:rsidRPr="007D594C">
        <w:rPr>
          <w:rFonts w:asciiTheme="majorBidi" w:hAnsiTheme="majorBidi" w:cstheme="majorBidi"/>
          <w:b/>
          <w:bCs/>
          <w:i w:val="0"/>
          <w:iCs w:val="0"/>
          <w:color w:val="auto"/>
          <w:sz w:val="24"/>
          <w:szCs w:val="24"/>
        </w:rPr>
        <w:t>: Histogramme des engagements et réalisations – Comptes 61 et 62 : Services extérieurs et autres prestations</w:t>
      </w:r>
      <w:bookmarkEnd w:id="172"/>
    </w:p>
    <w:p w14:paraId="42E1EDAF" w14:textId="77777777" w:rsidR="00B065F3" w:rsidRPr="00953B54" w:rsidRDefault="00B065F3" w:rsidP="00AE3850">
      <w:pPr>
        <w:spacing w:line="360" w:lineRule="auto"/>
        <w:jc w:val="both"/>
        <w:rPr>
          <w:rFonts w:asciiTheme="majorBidi" w:eastAsia="Times New Roman" w:hAnsiTheme="majorBidi" w:cstheme="majorBidi"/>
          <w:b/>
          <w:bCs/>
          <w:noProof/>
          <w:lang w:eastAsia="fr-FR"/>
        </w:rPr>
      </w:pPr>
      <w:r w:rsidRPr="00953B54">
        <w:rPr>
          <w:rFonts w:asciiTheme="majorBidi" w:eastAsia="Times New Roman" w:hAnsiTheme="majorBidi" w:cstheme="majorBidi"/>
          <w:b/>
          <w:bCs/>
          <w:noProof/>
          <w:lang w:eastAsia="fr-FR"/>
        </w:rPr>
        <w:drawing>
          <wp:inline distT="0" distB="0" distL="0" distR="0" wp14:anchorId="4CD8F79C" wp14:editId="06CA885D">
            <wp:extent cx="6289675" cy="2648738"/>
            <wp:effectExtent l="0" t="0" r="0" b="0"/>
            <wp:docPr id="19" name="Image 19" descr="C:\Users\HP\Downloads\673FB92F-019E-4CF5-BD51-B33403398C4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ownloads\673FB92F-019E-4CF5-BD51-B33403398C4C.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334339" cy="2667547"/>
                    </a:xfrm>
                    <a:prstGeom prst="rect">
                      <a:avLst/>
                    </a:prstGeom>
                    <a:noFill/>
                    <a:ln>
                      <a:noFill/>
                    </a:ln>
                  </pic:spPr>
                </pic:pic>
              </a:graphicData>
            </a:graphic>
          </wp:inline>
        </w:drawing>
      </w:r>
    </w:p>
    <w:p w14:paraId="70682A63"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Source : Élaboré par les étudiants selon les données de la DFC de la DOT de Beni Messous</w:t>
      </w:r>
    </w:p>
    <w:p w14:paraId="54995303" w14:textId="77777777" w:rsidR="00CB47FD" w:rsidRDefault="00CB47FD"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br w:type="page"/>
      </w:r>
    </w:p>
    <w:p w14:paraId="672F13AB" w14:textId="6E552C81" w:rsidR="00B065F3"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lastRenderedPageBreak/>
        <w:t>Commentaire :</w:t>
      </w:r>
    </w:p>
    <w:p w14:paraId="68FA2CDD" w14:textId="5C7058C0" w:rsidR="00B065F3" w:rsidRPr="002F3A91" w:rsidRDefault="00B065F3" w:rsidP="00AE3850">
      <w:pPr>
        <w:spacing w:line="360" w:lineRule="auto"/>
        <w:ind w:firstLine="708"/>
        <w:jc w:val="both"/>
        <w:rPr>
          <w:rFonts w:asciiTheme="majorBidi" w:hAnsiTheme="majorBidi" w:cstheme="majorBidi"/>
        </w:rPr>
      </w:pPr>
      <w:r w:rsidRPr="00953B54">
        <w:rPr>
          <w:rFonts w:asciiTheme="majorBidi" w:hAnsiTheme="majorBidi" w:cstheme="majorBidi"/>
        </w:rPr>
        <w:t>Ce tableau montre une exécution globalement faible des crédits alloués aux services extérieurs, avec un taux d’engagement de 62 % et un taux de réalisation limité à 38 %. Plusieurs postes affichent une bonne performance, comme la prestation de gardiennage (100 %), la location de matériels de transport (87 %) ou les honoraires (81 %). En revanche, d'autres postes essentiels sont peu ou pas exécutés, notamment la sous-traitance VDS (13 %), les entretiens d’infrastructure (40 %), ou encore les frais postaux et bancaires (0 %). Ces écarts révèlent des difficultés d’exécution liées probablement à des retards de prestation, des procédures de passation de marchés, ou une surévaluation initiale des besoins. Une meilleure planification et un suivi rigoureux s’imposent pour améliorer l’efficacité de ce poste budgétaire stratégique.</w:t>
      </w:r>
    </w:p>
    <w:p w14:paraId="573F688A" w14:textId="77777777" w:rsidR="002F3A91" w:rsidRDefault="002F3A91" w:rsidP="00AE3850">
      <w:pPr>
        <w:spacing w:line="360" w:lineRule="auto"/>
        <w:jc w:val="both"/>
        <w:rPr>
          <w:rFonts w:asciiTheme="majorBidi" w:hAnsiTheme="majorBidi" w:cstheme="majorBidi"/>
          <w:b/>
          <w:bCs/>
        </w:rPr>
      </w:pPr>
      <w:r>
        <w:rPr>
          <w:rFonts w:asciiTheme="majorBidi" w:hAnsiTheme="majorBidi" w:cstheme="majorBidi"/>
          <w:b/>
          <w:bCs/>
          <w:i/>
          <w:iCs/>
        </w:rPr>
        <w:br w:type="page"/>
      </w:r>
    </w:p>
    <w:p w14:paraId="609811CB" w14:textId="49650212" w:rsidR="00B065F3" w:rsidRPr="007D594C"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73" w:name="_Toc199314992"/>
      <w:r w:rsidRPr="007D594C">
        <w:rPr>
          <w:rFonts w:asciiTheme="majorBidi" w:hAnsiTheme="majorBidi" w:cstheme="majorBidi"/>
          <w:b/>
          <w:bCs/>
          <w:i w:val="0"/>
          <w:iCs w:val="0"/>
          <w:color w:val="auto"/>
          <w:sz w:val="24"/>
          <w:szCs w:val="24"/>
        </w:rPr>
        <w:lastRenderedPageBreak/>
        <w:t xml:space="preserve">Tableau N°2- </w:t>
      </w:r>
      <w:r w:rsidRPr="007D594C">
        <w:rPr>
          <w:rFonts w:asciiTheme="majorBidi" w:hAnsiTheme="majorBidi" w:cstheme="majorBidi"/>
          <w:b/>
          <w:bCs/>
          <w:i w:val="0"/>
          <w:iCs w:val="0"/>
          <w:color w:val="auto"/>
          <w:sz w:val="24"/>
          <w:szCs w:val="24"/>
        </w:rPr>
        <w:fldChar w:fldCharType="begin"/>
      </w:r>
      <w:r w:rsidRPr="007D594C">
        <w:rPr>
          <w:rFonts w:asciiTheme="majorBidi" w:hAnsiTheme="majorBidi" w:cstheme="majorBidi"/>
          <w:b/>
          <w:bCs/>
          <w:i w:val="0"/>
          <w:iCs w:val="0"/>
          <w:color w:val="auto"/>
          <w:sz w:val="24"/>
          <w:szCs w:val="24"/>
        </w:rPr>
        <w:instrText xml:space="preserve"> SEQ Tableau_N°2- \* ARABIC </w:instrText>
      </w:r>
      <w:r w:rsidRPr="007D594C">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4</w:t>
      </w:r>
      <w:r w:rsidRPr="007D594C">
        <w:rPr>
          <w:rFonts w:asciiTheme="majorBidi" w:hAnsiTheme="majorBidi" w:cstheme="majorBidi"/>
          <w:b/>
          <w:bCs/>
          <w:i w:val="0"/>
          <w:iCs w:val="0"/>
          <w:color w:val="auto"/>
          <w:sz w:val="24"/>
          <w:szCs w:val="24"/>
        </w:rPr>
        <w:fldChar w:fldCharType="end"/>
      </w:r>
      <w:r w:rsidRPr="007D594C">
        <w:rPr>
          <w:rFonts w:asciiTheme="majorBidi" w:hAnsiTheme="majorBidi" w:cstheme="majorBidi"/>
          <w:b/>
          <w:bCs/>
          <w:i w:val="0"/>
          <w:iCs w:val="0"/>
          <w:color w:val="auto"/>
          <w:sz w:val="24"/>
          <w:szCs w:val="24"/>
        </w:rPr>
        <w:t>: Détail des ch</w:t>
      </w:r>
      <w:r w:rsidR="000630FE">
        <w:rPr>
          <w:rFonts w:asciiTheme="majorBidi" w:hAnsiTheme="majorBidi" w:cstheme="majorBidi"/>
          <w:b/>
          <w:bCs/>
          <w:i w:val="0"/>
          <w:iCs w:val="0"/>
          <w:color w:val="auto"/>
          <w:sz w:val="24"/>
          <w:szCs w:val="24"/>
        </w:rPr>
        <w:t xml:space="preserve">arges de personnel Compte 63 </w:t>
      </w:r>
      <w:r w:rsidR="00470578">
        <w:rPr>
          <w:rFonts w:asciiTheme="majorBidi" w:hAnsiTheme="majorBidi" w:cstheme="majorBidi"/>
          <w:b/>
          <w:bCs/>
          <w:i w:val="0"/>
          <w:iCs w:val="0"/>
          <w:color w:val="auto"/>
          <w:sz w:val="24"/>
          <w:szCs w:val="24"/>
        </w:rPr>
        <w:t xml:space="preserve">(en </w:t>
      </w:r>
      <w:r w:rsidRPr="007D594C">
        <w:rPr>
          <w:rFonts w:asciiTheme="majorBidi" w:hAnsiTheme="majorBidi" w:cstheme="majorBidi"/>
          <w:b/>
          <w:bCs/>
          <w:i w:val="0"/>
          <w:iCs w:val="0"/>
          <w:color w:val="auto"/>
          <w:sz w:val="24"/>
          <w:szCs w:val="24"/>
        </w:rPr>
        <w:t>KDA</w:t>
      </w:r>
      <w:bookmarkEnd w:id="173"/>
      <w:r w:rsidR="00470578">
        <w:rPr>
          <w:rFonts w:asciiTheme="majorBidi" w:hAnsiTheme="majorBidi" w:cstheme="majorBidi"/>
          <w:b/>
          <w:bCs/>
          <w:i w:val="0"/>
          <w:iCs w:val="0"/>
          <w:color w:val="auto"/>
          <w:sz w:val="24"/>
          <w:szCs w:val="24"/>
        </w:rPr>
        <w:t>)</w:t>
      </w:r>
    </w:p>
    <w:tbl>
      <w:tblPr>
        <w:tblW w:w="11088" w:type="dxa"/>
        <w:jc w:val="center"/>
        <w:tblCellMar>
          <w:left w:w="70" w:type="dxa"/>
          <w:right w:w="70" w:type="dxa"/>
        </w:tblCellMar>
        <w:tblLook w:val="04A0" w:firstRow="1" w:lastRow="0" w:firstColumn="1" w:lastColumn="0" w:noHBand="0" w:noVBand="1"/>
      </w:tblPr>
      <w:tblGrid>
        <w:gridCol w:w="1136"/>
        <w:gridCol w:w="3982"/>
        <w:gridCol w:w="1418"/>
        <w:gridCol w:w="1134"/>
        <w:gridCol w:w="1277"/>
        <w:gridCol w:w="941"/>
        <w:gridCol w:w="1200"/>
      </w:tblGrid>
      <w:tr w:rsidR="00B065F3" w:rsidRPr="00953B54" w14:paraId="3382DF03" w14:textId="77777777" w:rsidTr="005C262F">
        <w:trPr>
          <w:trHeight w:val="754"/>
          <w:jc w:val="center"/>
        </w:trPr>
        <w:tc>
          <w:tcPr>
            <w:tcW w:w="1136" w:type="dxa"/>
            <w:tcBorders>
              <w:top w:val="single" w:sz="4" w:space="0" w:color="auto"/>
              <w:left w:val="single" w:sz="4" w:space="0" w:color="auto"/>
              <w:bottom w:val="single" w:sz="4" w:space="0" w:color="auto"/>
              <w:right w:val="single" w:sz="4" w:space="0" w:color="auto"/>
            </w:tcBorders>
            <w:shd w:val="clear" w:color="000000" w:fill="D9E1F2"/>
            <w:noWrap/>
            <w:vAlign w:val="center"/>
          </w:tcPr>
          <w:p w14:paraId="44EF8E15"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Code</w:t>
            </w:r>
          </w:p>
        </w:tc>
        <w:tc>
          <w:tcPr>
            <w:tcW w:w="3982" w:type="dxa"/>
            <w:tcBorders>
              <w:top w:val="single" w:sz="4" w:space="0" w:color="auto"/>
              <w:left w:val="nil"/>
              <w:bottom w:val="single" w:sz="4" w:space="0" w:color="auto"/>
              <w:right w:val="single" w:sz="4" w:space="0" w:color="auto"/>
            </w:tcBorders>
            <w:shd w:val="clear" w:color="000000" w:fill="D9E1F2"/>
            <w:noWrap/>
            <w:vAlign w:val="center"/>
          </w:tcPr>
          <w:p w14:paraId="352AA6B4"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xml:space="preserve">Désignation                                              </w:t>
            </w:r>
          </w:p>
        </w:tc>
        <w:tc>
          <w:tcPr>
            <w:tcW w:w="1418" w:type="dxa"/>
            <w:tcBorders>
              <w:top w:val="single" w:sz="4" w:space="0" w:color="auto"/>
              <w:left w:val="nil"/>
              <w:bottom w:val="single" w:sz="4" w:space="0" w:color="auto"/>
              <w:right w:val="single" w:sz="4" w:space="0" w:color="auto"/>
            </w:tcBorders>
            <w:shd w:val="clear" w:color="000000" w:fill="D9E1F2"/>
            <w:noWrap/>
            <w:vAlign w:val="center"/>
          </w:tcPr>
          <w:p w14:paraId="404A1085"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xml:space="preserve">   Budget</w:t>
            </w:r>
          </w:p>
          <w:p w14:paraId="7468A2F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2023 B     2023 (1) (1)</w:t>
            </w:r>
          </w:p>
        </w:tc>
        <w:tc>
          <w:tcPr>
            <w:tcW w:w="1134" w:type="dxa"/>
            <w:tcBorders>
              <w:top w:val="single" w:sz="4" w:space="0" w:color="auto"/>
              <w:left w:val="nil"/>
              <w:bottom w:val="single" w:sz="4" w:space="0" w:color="auto"/>
              <w:right w:val="single" w:sz="4" w:space="0" w:color="auto"/>
            </w:tcBorders>
            <w:shd w:val="clear" w:color="000000" w:fill="D9E1F2"/>
            <w:noWrap/>
            <w:vAlign w:val="center"/>
          </w:tcPr>
          <w:p w14:paraId="6D3FF594"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cumul Engag au,,, (2)</w:t>
            </w:r>
          </w:p>
        </w:tc>
        <w:tc>
          <w:tcPr>
            <w:tcW w:w="1277" w:type="dxa"/>
            <w:tcBorders>
              <w:top w:val="single" w:sz="4" w:space="0" w:color="auto"/>
              <w:left w:val="nil"/>
              <w:bottom w:val="single" w:sz="4" w:space="0" w:color="auto"/>
              <w:right w:val="single" w:sz="4" w:space="0" w:color="auto"/>
            </w:tcBorders>
            <w:shd w:val="clear" w:color="000000" w:fill="D9E1F2"/>
            <w:noWrap/>
            <w:vAlign w:val="center"/>
          </w:tcPr>
          <w:p w14:paraId="49BD1CA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cumul Réal au,,,,, (3)</w:t>
            </w:r>
          </w:p>
        </w:tc>
        <w:tc>
          <w:tcPr>
            <w:tcW w:w="941" w:type="dxa"/>
            <w:tcBorders>
              <w:top w:val="single" w:sz="4" w:space="0" w:color="auto"/>
              <w:left w:val="nil"/>
              <w:bottom w:val="single" w:sz="4" w:space="0" w:color="auto"/>
              <w:right w:val="single" w:sz="4" w:space="0" w:color="auto"/>
            </w:tcBorders>
            <w:shd w:val="clear" w:color="000000" w:fill="D9E1F2"/>
            <w:noWrap/>
            <w:vAlign w:val="center"/>
          </w:tcPr>
          <w:p w14:paraId="7702516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Taux d'engag  (2)/(1)</w:t>
            </w:r>
          </w:p>
        </w:tc>
        <w:tc>
          <w:tcPr>
            <w:tcW w:w="1200" w:type="dxa"/>
            <w:tcBorders>
              <w:top w:val="single" w:sz="4" w:space="0" w:color="auto"/>
              <w:left w:val="nil"/>
              <w:bottom w:val="single" w:sz="4" w:space="0" w:color="auto"/>
              <w:right w:val="single" w:sz="4" w:space="0" w:color="auto"/>
            </w:tcBorders>
            <w:shd w:val="clear" w:color="000000" w:fill="D9E1F2"/>
            <w:noWrap/>
            <w:vAlign w:val="center"/>
          </w:tcPr>
          <w:p w14:paraId="2EF9782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Taux de Réal (3)/(1)</w:t>
            </w:r>
          </w:p>
        </w:tc>
      </w:tr>
      <w:tr w:rsidR="00B065F3" w:rsidRPr="00953B54" w14:paraId="091DDC0A" w14:textId="77777777" w:rsidTr="005C262F">
        <w:trPr>
          <w:trHeight w:val="315"/>
          <w:jc w:val="center"/>
        </w:trPr>
        <w:tc>
          <w:tcPr>
            <w:tcW w:w="1136"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3EB23913"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982" w:type="dxa"/>
            <w:tcBorders>
              <w:top w:val="single" w:sz="4" w:space="0" w:color="auto"/>
              <w:left w:val="nil"/>
              <w:bottom w:val="single" w:sz="4" w:space="0" w:color="auto"/>
              <w:right w:val="single" w:sz="4" w:space="0" w:color="auto"/>
            </w:tcBorders>
            <w:shd w:val="clear" w:color="000000" w:fill="D9E1F2"/>
            <w:noWrap/>
            <w:vAlign w:val="center"/>
            <w:hideMark/>
          </w:tcPr>
          <w:p w14:paraId="56447693"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Charges du Personnel (Compte 63)</w:t>
            </w:r>
          </w:p>
        </w:tc>
        <w:tc>
          <w:tcPr>
            <w:tcW w:w="1418" w:type="dxa"/>
            <w:tcBorders>
              <w:top w:val="single" w:sz="4" w:space="0" w:color="auto"/>
              <w:left w:val="nil"/>
              <w:bottom w:val="single" w:sz="4" w:space="0" w:color="auto"/>
              <w:right w:val="single" w:sz="4" w:space="0" w:color="auto"/>
            </w:tcBorders>
            <w:shd w:val="clear" w:color="000000" w:fill="D9E1F2"/>
            <w:noWrap/>
            <w:vAlign w:val="center"/>
            <w:hideMark/>
          </w:tcPr>
          <w:p w14:paraId="1B85DC1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1134" w:type="dxa"/>
            <w:tcBorders>
              <w:top w:val="single" w:sz="4" w:space="0" w:color="auto"/>
              <w:left w:val="nil"/>
              <w:bottom w:val="single" w:sz="4" w:space="0" w:color="auto"/>
              <w:right w:val="single" w:sz="4" w:space="0" w:color="auto"/>
            </w:tcBorders>
            <w:shd w:val="clear" w:color="000000" w:fill="D9E1F2"/>
            <w:noWrap/>
            <w:vAlign w:val="center"/>
            <w:hideMark/>
          </w:tcPr>
          <w:p w14:paraId="79592D6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1277" w:type="dxa"/>
            <w:tcBorders>
              <w:top w:val="single" w:sz="4" w:space="0" w:color="auto"/>
              <w:left w:val="nil"/>
              <w:bottom w:val="single" w:sz="4" w:space="0" w:color="auto"/>
              <w:right w:val="single" w:sz="4" w:space="0" w:color="auto"/>
            </w:tcBorders>
            <w:shd w:val="clear" w:color="000000" w:fill="D9E1F2"/>
            <w:noWrap/>
            <w:vAlign w:val="center"/>
            <w:hideMark/>
          </w:tcPr>
          <w:p w14:paraId="6D2FBA7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41" w:type="dxa"/>
            <w:tcBorders>
              <w:top w:val="single" w:sz="4" w:space="0" w:color="auto"/>
              <w:left w:val="nil"/>
              <w:bottom w:val="single" w:sz="4" w:space="0" w:color="auto"/>
              <w:right w:val="single" w:sz="4" w:space="0" w:color="auto"/>
            </w:tcBorders>
            <w:shd w:val="clear" w:color="000000" w:fill="D9E1F2"/>
            <w:noWrap/>
            <w:vAlign w:val="center"/>
            <w:hideMark/>
          </w:tcPr>
          <w:p w14:paraId="5B11060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1200" w:type="dxa"/>
            <w:tcBorders>
              <w:top w:val="single" w:sz="4" w:space="0" w:color="auto"/>
              <w:left w:val="nil"/>
              <w:bottom w:val="single" w:sz="4" w:space="0" w:color="auto"/>
              <w:right w:val="single" w:sz="4" w:space="0" w:color="auto"/>
            </w:tcBorders>
            <w:shd w:val="clear" w:color="000000" w:fill="D9E1F2"/>
            <w:noWrap/>
            <w:vAlign w:val="center"/>
            <w:hideMark/>
          </w:tcPr>
          <w:p w14:paraId="37210732"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r>
      <w:tr w:rsidR="00B065F3" w:rsidRPr="00953B54" w14:paraId="11F8E4DC"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598F1B10"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F638000</w:t>
            </w:r>
          </w:p>
        </w:tc>
        <w:tc>
          <w:tcPr>
            <w:tcW w:w="3982" w:type="dxa"/>
            <w:tcBorders>
              <w:top w:val="nil"/>
              <w:left w:val="nil"/>
              <w:bottom w:val="single" w:sz="4" w:space="0" w:color="auto"/>
              <w:right w:val="single" w:sz="4" w:space="0" w:color="auto"/>
            </w:tcBorders>
            <w:shd w:val="clear" w:color="auto" w:fill="auto"/>
            <w:noWrap/>
            <w:vAlign w:val="center"/>
            <w:hideMark/>
          </w:tcPr>
          <w:p w14:paraId="620E0DD3"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Habillement</w:t>
            </w:r>
          </w:p>
        </w:tc>
        <w:tc>
          <w:tcPr>
            <w:tcW w:w="1418" w:type="dxa"/>
            <w:tcBorders>
              <w:top w:val="nil"/>
              <w:left w:val="nil"/>
              <w:bottom w:val="single" w:sz="4" w:space="0" w:color="auto"/>
              <w:right w:val="single" w:sz="4" w:space="0" w:color="auto"/>
            </w:tcBorders>
            <w:shd w:val="clear" w:color="auto" w:fill="auto"/>
            <w:noWrap/>
            <w:vAlign w:val="center"/>
            <w:hideMark/>
          </w:tcPr>
          <w:p w14:paraId="50354FC3"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2 864</w:t>
            </w:r>
          </w:p>
        </w:tc>
        <w:tc>
          <w:tcPr>
            <w:tcW w:w="1134" w:type="dxa"/>
            <w:tcBorders>
              <w:top w:val="nil"/>
              <w:left w:val="nil"/>
              <w:bottom w:val="single" w:sz="4" w:space="0" w:color="auto"/>
              <w:right w:val="single" w:sz="4" w:space="0" w:color="auto"/>
            </w:tcBorders>
            <w:shd w:val="clear" w:color="auto" w:fill="auto"/>
            <w:noWrap/>
            <w:vAlign w:val="center"/>
            <w:hideMark/>
          </w:tcPr>
          <w:p w14:paraId="2841CC33"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2 000</w:t>
            </w:r>
          </w:p>
        </w:tc>
        <w:tc>
          <w:tcPr>
            <w:tcW w:w="1277" w:type="dxa"/>
            <w:tcBorders>
              <w:top w:val="nil"/>
              <w:left w:val="nil"/>
              <w:bottom w:val="single" w:sz="4" w:space="0" w:color="auto"/>
              <w:right w:val="single" w:sz="4" w:space="0" w:color="auto"/>
            </w:tcBorders>
            <w:shd w:val="clear" w:color="auto" w:fill="auto"/>
            <w:noWrap/>
            <w:vAlign w:val="center"/>
            <w:hideMark/>
          </w:tcPr>
          <w:p w14:paraId="7F438AA1"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2 000</w:t>
            </w:r>
          </w:p>
        </w:tc>
        <w:tc>
          <w:tcPr>
            <w:tcW w:w="941" w:type="dxa"/>
            <w:tcBorders>
              <w:top w:val="nil"/>
              <w:left w:val="nil"/>
              <w:bottom w:val="single" w:sz="4" w:space="0" w:color="auto"/>
              <w:right w:val="single" w:sz="4" w:space="0" w:color="auto"/>
            </w:tcBorders>
            <w:shd w:val="clear" w:color="auto" w:fill="auto"/>
            <w:noWrap/>
            <w:vAlign w:val="center"/>
            <w:hideMark/>
          </w:tcPr>
          <w:p w14:paraId="5D2A34FA"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70%</w:t>
            </w:r>
          </w:p>
        </w:tc>
        <w:tc>
          <w:tcPr>
            <w:tcW w:w="1200" w:type="dxa"/>
            <w:tcBorders>
              <w:top w:val="nil"/>
              <w:left w:val="nil"/>
              <w:bottom w:val="single" w:sz="4" w:space="0" w:color="auto"/>
              <w:right w:val="single" w:sz="4" w:space="0" w:color="auto"/>
            </w:tcBorders>
            <w:shd w:val="clear" w:color="auto" w:fill="auto"/>
            <w:noWrap/>
            <w:vAlign w:val="center"/>
            <w:hideMark/>
          </w:tcPr>
          <w:p w14:paraId="373F49A4"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70%</w:t>
            </w:r>
          </w:p>
        </w:tc>
      </w:tr>
      <w:tr w:rsidR="00B065F3" w:rsidRPr="00953B54" w14:paraId="4AAA084F"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14707BF4"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F631020</w:t>
            </w:r>
          </w:p>
        </w:tc>
        <w:tc>
          <w:tcPr>
            <w:tcW w:w="3982" w:type="dxa"/>
            <w:tcBorders>
              <w:top w:val="nil"/>
              <w:left w:val="nil"/>
              <w:bottom w:val="single" w:sz="4" w:space="0" w:color="auto"/>
              <w:right w:val="single" w:sz="4" w:space="0" w:color="auto"/>
            </w:tcBorders>
            <w:shd w:val="clear" w:color="auto" w:fill="auto"/>
            <w:noWrap/>
            <w:vAlign w:val="center"/>
            <w:hideMark/>
          </w:tcPr>
          <w:p w14:paraId="3A5003A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xml:space="preserve">Traitements et Salaires </w:t>
            </w:r>
          </w:p>
        </w:tc>
        <w:tc>
          <w:tcPr>
            <w:tcW w:w="1418" w:type="dxa"/>
            <w:tcBorders>
              <w:top w:val="nil"/>
              <w:left w:val="nil"/>
              <w:bottom w:val="single" w:sz="4" w:space="0" w:color="auto"/>
              <w:right w:val="single" w:sz="4" w:space="0" w:color="auto"/>
            </w:tcBorders>
            <w:shd w:val="clear" w:color="auto" w:fill="auto"/>
            <w:noWrap/>
            <w:vAlign w:val="center"/>
            <w:hideMark/>
          </w:tcPr>
          <w:p w14:paraId="2AA9DAF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480 780</w:t>
            </w:r>
          </w:p>
        </w:tc>
        <w:tc>
          <w:tcPr>
            <w:tcW w:w="1134" w:type="dxa"/>
            <w:tcBorders>
              <w:top w:val="nil"/>
              <w:left w:val="nil"/>
              <w:bottom w:val="single" w:sz="4" w:space="0" w:color="auto"/>
              <w:right w:val="single" w:sz="4" w:space="0" w:color="auto"/>
            </w:tcBorders>
            <w:shd w:val="clear" w:color="auto" w:fill="auto"/>
            <w:noWrap/>
            <w:vAlign w:val="center"/>
            <w:hideMark/>
          </w:tcPr>
          <w:p w14:paraId="5142FF44"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480 000</w:t>
            </w:r>
          </w:p>
        </w:tc>
        <w:tc>
          <w:tcPr>
            <w:tcW w:w="1277" w:type="dxa"/>
            <w:tcBorders>
              <w:top w:val="nil"/>
              <w:left w:val="nil"/>
              <w:bottom w:val="single" w:sz="4" w:space="0" w:color="auto"/>
              <w:right w:val="single" w:sz="4" w:space="0" w:color="auto"/>
            </w:tcBorders>
            <w:shd w:val="clear" w:color="auto" w:fill="auto"/>
            <w:noWrap/>
            <w:vAlign w:val="center"/>
            <w:hideMark/>
          </w:tcPr>
          <w:p w14:paraId="1247A800"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480 000</w:t>
            </w:r>
          </w:p>
        </w:tc>
        <w:tc>
          <w:tcPr>
            <w:tcW w:w="941" w:type="dxa"/>
            <w:tcBorders>
              <w:top w:val="nil"/>
              <w:left w:val="nil"/>
              <w:bottom w:val="single" w:sz="4" w:space="0" w:color="auto"/>
              <w:right w:val="single" w:sz="4" w:space="0" w:color="auto"/>
            </w:tcBorders>
            <w:shd w:val="clear" w:color="auto" w:fill="auto"/>
            <w:noWrap/>
            <w:vAlign w:val="center"/>
            <w:hideMark/>
          </w:tcPr>
          <w:p w14:paraId="6204C8BC"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c>
          <w:tcPr>
            <w:tcW w:w="1200" w:type="dxa"/>
            <w:tcBorders>
              <w:top w:val="nil"/>
              <w:left w:val="nil"/>
              <w:bottom w:val="single" w:sz="4" w:space="0" w:color="auto"/>
              <w:right w:val="single" w:sz="4" w:space="0" w:color="auto"/>
            </w:tcBorders>
            <w:shd w:val="clear" w:color="auto" w:fill="auto"/>
            <w:noWrap/>
            <w:vAlign w:val="center"/>
            <w:hideMark/>
          </w:tcPr>
          <w:p w14:paraId="6C95D219"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r>
      <w:tr w:rsidR="00B065F3" w:rsidRPr="00953B54" w14:paraId="566567B2"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780DA90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F631120</w:t>
            </w:r>
          </w:p>
        </w:tc>
        <w:tc>
          <w:tcPr>
            <w:tcW w:w="3982" w:type="dxa"/>
            <w:tcBorders>
              <w:top w:val="nil"/>
              <w:left w:val="nil"/>
              <w:bottom w:val="single" w:sz="4" w:space="0" w:color="auto"/>
              <w:right w:val="single" w:sz="4" w:space="0" w:color="auto"/>
            </w:tcBorders>
            <w:shd w:val="clear" w:color="auto" w:fill="auto"/>
            <w:noWrap/>
            <w:vAlign w:val="center"/>
            <w:hideMark/>
          </w:tcPr>
          <w:p w14:paraId="3F1A1B5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Heures Supplémentaires</w:t>
            </w:r>
          </w:p>
        </w:tc>
        <w:tc>
          <w:tcPr>
            <w:tcW w:w="1418" w:type="dxa"/>
            <w:tcBorders>
              <w:top w:val="nil"/>
              <w:left w:val="nil"/>
              <w:bottom w:val="single" w:sz="4" w:space="0" w:color="auto"/>
              <w:right w:val="single" w:sz="4" w:space="0" w:color="auto"/>
            </w:tcBorders>
            <w:shd w:val="clear" w:color="auto" w:fill="auto"/>
            <w:noWrap/>
            <w:vAlign w:val="center"/>
            <w:hideMark/>
          </w:tcPr>
          <w:p w14:paraId="67983352"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200</w:t>
            </w:r>
          </w:p>
        </w:tc>
        <w:tc>
          <w:tcPr>
            <w:tcW w:w="1134" w:type="dxa"/>
            <w:tcBorders>
              <w:top w:val="nil"/>
              <w:left w:val="nil"/>
              <w:bottom w:val="single" w:sz="4" w:space="0" w:color="auto"/>
              <w:right w:val="single" w:sz="4" w:space="0" w:color="auto"/>
            </w:tcBorders>
            <w:shd w:val="clear" w:color="auto" w:fill="auto"/>
            <w:noWrap/>
            <w:vAlign w:val="center"/>
            <w:hideMark/>
          </w:tcPr>
          <w:p w14:paraId="54F5B2A5"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c>
          <w:tcPr>
            <w:tcW w:w="1277" w:type="dxa"/>
            <w:tcBorders>
              <w:top w:val="nil"/>
              <w:left w:val="nil"/>
              <w:bottom w:val="single" w:sz="4" w:space="0" w:color="auto"/>
              <w:right w:val="single" w:sz="4" w:space="0" w:color="auto"/>
            </w:tcBorders>
            <w:shd w:val="clear" w:color="auto" w:fill="auto"/>
            <w:noWrap/>
            <w:vAlign w:val="center"/>
            <w:hideMark/>
          </w:tcPr>
          <w:p w14:paraId="70D34652"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c>
          <w:tcPr>
            <w:tcW w:w="941" w:type="dxa"/>
            <w:tcBorders>
              <w:top w:val="nil"/>
              <w:left w:val="nil"/>
              <w:bottom w:val="single" w:sz="4" w:space="0" w:color="auto"/>
              <w:right w:val="single" w:sz="4" w:space="0" w:color="auto"/>
            </w:tcBorders>
            <w:shd w:val="clear" w:color="auto" w:fill="auto"/>
            <w:noWrap/>
            <w:vAlign w:val="center"/>
            <w:hideMark/>
          </w:tcPr>
          <w:p w14:paraId="743DA495"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50%</w:t>
            </w:r>
          </w:p>
        </w:tc>
        <w:tc>
          <w:tcPr>
            <w:tcW w:w="1200" w:type="dxa"/>
            <w:tcBorders>
              <w:top w:val="nil"/>
              <w:left w:val="nil"/>
              <w:bottom w:val="single" w:sz="4" w:space="0" w:color="auto"/>
              <w:right w:val="single" w:sz="4" w:space="0" w:color="auto"/>
            </w:tcBorders>
            <w:shd w:val="clear" w:color="auto" w:fill="auto"/>
            <w:noWrap/>
            <w:vAlign w:val="center"/>
            <w:hideMark/>
          </w:tcPr>
          <w:p w14:paraId="7BDFDE70"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50%</w:t>
            </w:r>
          </w:p>
        </w:tc>
      </w:tr>
      <w:tr w:rsidR="00B065F3" w:rsidRPr="00953B54" w14:paraId="2AE921F7"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0B47FEF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F631200</w:t>
            </w:r>
          </w:p>
        </w:tc>
        <w:tc>
          <w:tcPr>
            <w:tcW w:w="3982" w:type="dxa"/>
            <w:tcBorders>
              <w:top w:val="nil"/>
              <w:left w:val="nil"/>
              <w:bottom w:val="single" w:sz="4" w:space="0" w:color="auto"/>
              <w:right w:val="single" w:sz="4" w:space="0" w:color="auto"/>
            </w:tcBorders>
            <w:shd w:val="clear" w:color="auto" w:fill="auto"/>
            <w:noWrap/>
            <w:vAlign w:val="center"/>
            <w:hideMark/>
          </w:tcPr>
          <w:p w14:paraId="640E1C4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Primes et Indemnités</w:t>
            </w:r>
          </w:p>
        </w:tc>
        <w:tc>
          <w:tcPr>
            <w:tcW w:w="1418" w:type="dxa"/>
            <w:tcBorders>
              <w:top w:val="nil"/>
              <w:left w:val="nil"/>
              <w:bottom w:val="single" w:sz="4" w:space="0" w:color="auto"/>
              <w:right w:val="single" w:sz="4" w:space="0" w:color="auto"/>
            </w:tcBorders>
            <w:shd w:val="clear" w:color="auto" w:fill="auto"/>
            <w:noWrap/>
            <w:vAlign w:val="center"/>
            <w:hideMark/>
          </w:tcPr>
          <w:p w14:paraId="0C5EDC7B"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552 898</w:t>
            </w:r>
          </w:p>
        </w:tc>
        <w:tc>
          <w:tcPr>
            <w:tcW w:w="1134" w:type="dxa"/>
            <w:tcBorders>
              <w:top w:val="nil"/>
              <w:left w:val="nil"/>
              <w:bottom w:val="single" w:sz="4" w:space="0" w:color="auto"/>
              <w:right w:val="single" w:sz="4" w:space="0" w:color="auto"/>
            </w:tcBorders>
            <w:shd w:val="clear" w:color="auto" w:fill="auto"/>
            <w:noWrap/>
            <w:vAlign w:val="center"/>
            <w:hideMark/>
          </w:tcPr>
          <w:p w14:paraId="2E3D1F9E"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500 000</w:t>
            </w:r>
          </w:p>
        </w:tc>
        <w:tc>
          <w:tcPr>
            <w:tcW w:w="1277" w:type="dxa"/>
            <w:tcBorders>
              <w:top w:val="nil"/>
              <w:left w:val="nil"/>
              <w:bottom w:val="single" w:sz="4" w:space="0" w:color="auto"/>
              <w:right w:val="single" w:sz="4" w:space="0" w:color="auto"/>
            </w:tcBorders>
            <w:shd w:val="clear" w:color="auto" w:fill="auto"/>
            <w:noWrap/>
            <w:vAlign w:val="center"/>
            <w:hideMark/>
          </w:tcPr>
          <w:p w14:paraId="79F2CE6E"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490 000</w:t>
            </w:r>
          </w:p>
        </w:tc>
        <w:tc>
          <w:tcPr>
            <w:tcW w:w="941" w:type="dxa"/>
            <w:tcBorders>
              <w:top w:val="nil"/>
              <w:left w:val="nil"/>
              <w:bottom w:val="single" w:sz="4" w:space="0" w:color="auto"/>
              <w:right w:val="single" w:sz="4" w:space="0" w:color="auto"/>
            </w:tcBorders>
            <w:shd w:val="clear" w:color="auto" w:fill="auto"/>
            <w:noWrap/>
            <w:vAlign w:val="center"/>
            <w:hideMark/>
          </w:tcPr>
          <w:p w14:paraId="72E65096"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90%</w:t>
            </w:r>
          </w:p>
        </w:tc>
        <w:tc>
          <w:tcPr>
            <w:tcW w:w="1200" w:type="dxa"/>
            <w:tcBorders>
              <w:top w:val="nil"/>
              <w:left w:val="nil"/>
              <w:bottom w:val="single" w:sz="4" w:space="0" w:color="auto"/>
              <w:right w:val="single" w:sz="4" w:space="0" w:color="auto"/>
            </w:tcBorders>
            <w:shd w:val="clear" w:color="auto" w:fill="auto"/>
            <w:noWrap/>
            <w:vAlign w:val="center"/>
            <w:hideMark/>
          </w:tcPr>
          <w:p w14:paraId="08AE89CD"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89%</w:t>
            </w:r>
          </w:p>
        </w:tc>
      </w:tr>
      <w:tr w:rsidR="00B065F3" w:rsidRPr="00953B54" w14:paraId="14E70DB0"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4CC8C5D0"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F631401</w:t>
            </w:r>
          </w:p>
        </w:tc>
        <w:tc>
          <w:tcPr>
            <w:tcW w:w="3982" w:type="dxa"/>
            <w:tcBorders>
              <w:top w:val="nil"/>
              <w:left w:val="nil"/>
              <w:bottom w:val="single" w:sz="4" w:space="0" w:color="auto"/>
              <w:right w:val="single" w:sz="4" w:space="0" w:color="auto"/>
            </w:tcBorders>
            <w:shd w:val="clear" w:color="auto" w:fill="auto"/>
            <w:noWrap/>
            <w:vAlign w:val="center"/>
            <w:hideMark/>
          </w:tcPr>
          <w:p w14:paraId="4D59A889"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Prime de Rendement Individuel et Collectifs année 2022</w:t>
            </w:r>
          </w:p>
        </w:tc>
        <w:tc>
          <w:tcPr>
            <w:tcW w:w="1418" w:type="dxa"/>
            <w:tcBorders>
              <w:top w:val="nil"/>
              <w:left w:val="nil"/>
              <w:bottom w:val="single" w:sz="4" w:space="0" w:color="auto"/>
              <w:right w:val="single" w:sz="4" w:space="0" w:color="auto"/>
            </w:tcBorders>
            <w:shd w:val="clear" w:color="auto" w:fill="auto"/>
            <w:noWrap/>
            <w:vAlign w:val="center"/>
            <w:hideMark/>
          </w:tcPr>
          <w:p w14:paraId="03A35FC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80 345</w:t>
            </w:r>
          </w:p>
        </w:tc>
        <w:tc>
          <w:tcPr>
            <w:tcW w:w="1134" w:type="dxa"/>
            <w:tcBorders>
              <w:top w:val="nil"/>
              <w:left w:val="nil"/>
              <w:bottom w:val="single" w:sz="4" w:space="0" w:color="auto"/>
              <w:right w:val="single" w:sz="4" w:space="0" w:color="auto"/>
            </w:tcBorders>
            <w:shd w:val="clear" w:color="auto" w:fill="auto"/>
            <w:noWrap/>
            <w:vAlign w:val="center"/>
            <w:hideMark/>
          </w:tcPr>
          <w:p w14:paraId="2D9EC849"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80 345</w:t>
            </w:r>
          </w:p>
        </w:tc>
        <w:tc>
          <w:tcPr>
            <w:tcW w:w="1277" w:type="dxa"/>
            <w:tcBorders>
              <w:top w:val="nil"/>
              <w:left w:val="nil"/>
              <w:bottom w:val="single" w:sz="4" w:space="0" w:color="auto"/>
              <w:right w:val="single" w:sz="4" w:space="0" w:color="auto"/>
            </w:tcBorders>
            <w:shd w:val="clear" w:color="auto" w:fill="auto"/>
            <w:noWrap/>
            <w:vAlign w:val="center"/>
            <w:hideMark/>
          </w:tcPr>
          <w:p w14:paraId="3F7674AF"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80 000</w:t>
            </w:r>
          </w:p>
        </w:tc>
        <w:tc>
          <w:tcPr>
            <w:tcW w:w="941" w:type="dxa"/>
            <w:tcBorders>
              <w:top w:val="nil"/>
              <w:left w:val="nil"/>
              <w:bottom w:val="single" w:sz="4" w:space="0" w:color="auto"/>
              <w:right w:val="single" w:sz="4" w:space="0" w:color="auto"/>
            </w:tcBorders>
            <w:shd w:val="clear" w:color="auto" w:fill="auto"/>
            <w:noWrap/>
            <w:vAlign w:val="center"/>
            <w:hideMark/>
          </w:tcPr>
          <w:p w14:paraId="3E672116"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c>
          <w:tcPr>
            <w:tcW w:w="1200" w:type="dxa"/>
            <w:tcBorders>
              <w:top w:val="nil"/>
              <w:left w:val="nil"/>
              <w:bottom w:val="single" w:sz="4" w:space="0" w:color="auto"/>
              <w:right w:val="single" w:sz="4" w:space="0" w:color="auto"/>
            </w:tcBorders>
            <w:shd w:val="clear" w:color="auto" w:fill="auto"/>
            <w:noWrap/>
            <w:vAlign w:val="center"/>
            <w:hideMark/>
          </w:tcPr>
          <w:p w14:paraId="156D15B9"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r>
      <w:tr w:rsidR="00B065F3" w:rsidRPr="00953B54" w14:paraId="48C421E8"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7F04C43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F631200</w:t>
            </w:r>
          </w:p>
        </w:tc>
        <w:tc>
          <w:tcPr>
            <w:tcW w:w="3982" w:type="dxa"/>
            <w:tcBorders>
              <w:top w:val="nil"/>
              <w:left w:val="nil"/>
              <w:bottom w:val="single" w:sz="4" w:space="0" w:color="auto"/>
              <w:right w:val="single" w:sz="4" w:space="0" w:color="auto"/>
            </w:tcBorders>
            <w:shd w:val="clear" w:color="auto" w:fill="auto"/>
            <w:noWrap/>
            <w:vAlign w:val="center"/>
            <w:hideMark/>
          </w:tcPr>
          <w:p w14:paraId="74E97E4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Prime d'Interessement année 2022</w:t>
            </w:r>
          </w:p>
        </w:tc>
        <w:tc>
          <w:tcPr>
            <w:tcW w:w="1418" w:type="dxa"/>
            <w:tcBorders>
              <w:top w:val="nil"/>
              <w:left w:val="nil"/>
              <w:bottom w:val="single" w:sz="4" w:space="0" w:color="auto"/>
              <w:right w:val="single" w:sz="4" w:space="0" w:color="auto"/>
            </w:tcBorders>
            <w:shd w:val="clear" w:color="auto" w:fill="auto"/>
            <w:noWrap/>
            <w:vAlign w:val="center"/>
            <w:hideMark/>
          </w:tcPr>
          <w:p w14:paraId="3C9E3818"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144 137</w:t>
            </w:r>
          </w:p>
        </w:tc>
        <w:tc>
          <w:tcPr>
            <w:tcW w:w="1134" w:type="dxa"/>
            <w:tcBorders>
              <w:top w:val="nil"/>
              <w:left w:val="nil"/>
              <w:bottom w:val="single" w:sz="4" w:space="0" w:color="auto"/>
              <w:right w:val="single" w:sz="4" w:space="0" w:color="auto"/>
            </w:tcBorders>
            <w:shd w:val="clear" w:color="auto" w:fill="auto"/>
            <w:noWrap/>
            <w:vAlign w:val="center"/>
            <w:hideMark/>
          </w:tcPr>
          <w:p w14:paraId="1CDAC384"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144 000</w:t>
            </w:r>
          </w:p>
        </w:tc>
        <w:tc>
          <w:tcPr>
            <w:tcW w:w="1277" w:type="dxa"/>
            <w:tcBorders>
              <w:top w:val="nil"/>
              <w:left w:val="nil"/>
              <w:bottom w:val="single" w:sz="4" w:space="0" w:color="auto"/>
              <w:right w:val="single" w:sz="4" w:space="0" w:color="auto"/>
            </w:tcBorders>
            <w:shd w:val="clear" w:color="auto" w:fill="auto"/>
            <w:noWrap/>
            <w:vAlign w:val="center"/>
            <w:hideMark/>
          </w:tcPr>
          <w:p w14:paraId="0F8B6DC8"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140 000</w:t>
            </w:r>
          </w:p>
        </w:tc>
        <w:tc>
          <w:tcPr>
            <w:tcW w:w="941" w:type="dxa"/>
            <w:tcBorders>
              <w:top w:val="nil"/>
              <w:left w:val="nil"/>
              <w:bottom w:val="single" w:sz="4" w:space="0" w:color="auto"/>
              <w:right w:val="single" w:sz="4" w:space="0" w:color="auto"/>
            </w:tcBorders>
            <w:shd w:val="clear" w:color="auto" w:fill="auto"/>
            <w:noWrap/>
            <w:vAlign w:val="center"/>
            <w:hideMark/>
          </w:tcPr>
          <w:p w14:paraId="72FF486D"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c>
          <w:tcPr>
            <w:tcW w:w="1200" w:type="dxa"/>
            <w:tcBorders>
              <w:top w:val="nil"/>
              <w:left w:val="nil"/>
              <w:bottom w:val="single" w:sz="4" w:space="0" w:color="auto"/>
              <w:right w:val="single" w:sz="4" w:space="0" w:color="auto"/>
            </w:tcBorders>
            <w:shd w:val="clear" w:color="auto" w:fill="auto"/>
            <w:noWrap/>
            <w:vAlign w:val="center"/>
            <w:hideMark/>
          </w:tcPr>
          <w:p w14:paraId="468A7555"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97%</w:t>
            </w:r>
          </w:p>
        </w:tc>
      </w:tr>
      <w:tr w:rsidR="00B065F3" w:rsidRPr="00953B54" w14:paraId="1DB303A6"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2755ADE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F631512</w:t>
            </w:r>
          </w:p>
        </w:tc>
        <w:tc>
          <w:tcPr>
            <w:tcW w:w="3982" w:type="dxa"/>
            <w:tcBorders>
              <w:top w:val="nil"/>
              <w:left w:val="nil"/>
              <w:bottom w:val="single" w:sz="4" w:space="0" w:color="auto"/>
              <w:right w:val="single" w:sz="4" w:space="0" w:color="auto"/>
            </w:tcBorders>
            <w:shd w:val="clear" w:color="auto" w:fill="auto"/>
            <w:noWrap/>
            <w:vAlign w:val="center"/>
            <w:hideMark/>
          </w:tcPr>
          <w:p w14:paraId="1CFE457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Allocation de Départ à la Retraite Personnel</w:t>
            </w:r>
          </w:p>
        </w:tc>
        <w:tc>
          <w:tcPr>
            <w:tcW w:w="1418" w:type="dxa"/>
            <w:tcBorders>
              <w:top w:val="nil"/>
              <w:left w:val="nil"/>
              <w:bottom w:val="single" w:sz="4" w:space="0" w:color="auto"/>
              <w:right w:val="single" w:sz="4" w:space="0" w:color="auto"/>
            </w:tcBorders>
            <w:shd w:val="clear" w:color="auto" w:fill="auto"/>
            <w:noWrap/>
            <w:vAlign w:val="center"/>
            <w:hideMark/>
          </w:tcPr>
          <w:p w14:paraId="61BC0DC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55 788</w:t>
            </w:r>
          </w:p>
        </w:tc>
        <w:tc>
          <w:tcPr>
            <w:tcW w:w="1134" w:type="dxa"/>
            <w:tcBorders>
              <w:top w:val="nil"/>
              <w:left w:val="nil"/>
              <w:bottom w:val="single" w:sz="4" w:space="0" w:color="auto"/>
              <w:right w:val="single" w:sz="4" w:space="0" w:color="auto"/>
            </w:tcBorders>
            <w:shd w:val="clear" w:color="auto" w:fill="auto"/>
            <w:noWrap/>
            <w:vAlign w:val="center"/>
            <w:hideMark/>
          </w:tcPr>
          <w:p w14:paraId="06691E1B"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55 000</w:t>
            </w:r>
          </w:p>
        </w:tc>
        <w:tc>
          <w:tcPr>
            <w:tcW w:w="1277" w:type="dxa"/>
            <w:tcBorders>
              <w:top w:val="nil"/>
              <w:left w:val="nil"/>
              <w:bottom w:val="single" w:sz="4" w:space="0" w:color="auto"/>
              <w:right w:val="single" w:sz="4" w:space="0" w:color="auto"/>
            </w:tcBorders>
            <w:shd w:val="clear" w:color="auto" w:fill="auto"/>
            <w:noWrap/>
            <w:vAlign w:val="center"/>
            <w:hideMark/>
          </w:tcPr>
          <w:p w14:paraId="09B495A1"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55 000</w:t>
            </w:r>
          </w:p>
        </w:tc>
        <w:tc>
          <w:tcPr>
            <w:tcW w:w="941" w:type="dxa"/>
            <w:tcBorders>
              <w:top w:val="nil"/>
              <w:left w:val="nil"/>
              <w:bottom w:val="single" w:sz="4" w:space="0" w:color="auto"/>
              <w:right w:val="single" w:sz="4" w:space="0" w:color="auto"/>
            </w:tcBorders>
            <w:shd w:val="clear" w:color="auto" w:fill="auto"/>
            <w:noWrap/>
            <w:vAlign w:val="center"/>
            <w:hideMark/>
          </w:tcPr>
          <w:p w14:paraId="6FDCEE38"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99%</w:t>
            </w:r>
          </w:p>
        </w:tc>
        <w:tc>
          <w:tcPr>
            <w:tcW w:w="1200" w:type="dxa"/>
            <w:tcBorders>
              <w:top w:val="nil"/>
              <w:left w:val="nil"/>
              <w:bottom w:val="single" w:sz="4" w:space="0" w:color="auto"/>
              <w:right w:val="single" w:sz="4" w:space="0" w:color="auto"/>
            </w:tcBorders>
            <w:shd w:val="clear" w:color="auto" w:fill="auto"/>
            <w:noWrap/>
            <w:vAlign w:val="center"/>
            <w:hideMark/>
          </w:tcPr>
          <w:p w14:paraId="09ABC50C"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99%</w:t>
            </w:r>
          </w:p>
        </w:tc>
      </w:tr>
      <w:tr w:rsidR="00B065F3" w:rsidRPr="00953B54" w14:paraId="6D119B63"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779FCA2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F635020</w:t>
            </w:r>
          </w:p>
        </w:tc>
        <w:tc>
          <w:tcPr>
            <w:tcW w:w="3982" w:type="dxa"/>
            <w:tcBorders>
              <w:top w:val="nil"/>
              <w:left w:val="nil"/>
              <w:bottom w:val="single" w:sz="4" w:space="0" w:color="auto"/>
              <w:right w:val="single" w:sz="4" w:space="0" w:color="auto"/>
            </w:tcBorders>
            <w:shd w:val="clear" w:color="auto" w:fill="auto"/>
            <w:noWrap/>
            <w:vAlign w:val="center"/>
            <w:hideMark/>
          </w:tcPr>
          <w:p w14:paraId="481BF624"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Cotisations Sociales (26%)</w:t>
            </w:r>
          </w:p>
        </w:tc>
        <w:tc>
          <w:tcPr>
            <w:tcW w:w="1418" w:type="dxa"/>
            <w:tcBorders>
              <w:top w:val="nil"/>
              <w:left w:val="nil"/>
              <w:bottom w:val="single" w:sz="4" w:space="0" w:color="auto"/>
              <w:right w:val="single" w:sz="4" w:space="0" w:color="auto"/>
            </w:tcBorders>
            <w:shd w:val="clear" w:color="auto" w:fill="auto"/>
            <w:noWrap/>
            <w:vAlign w:val="center"/>
            <w:hideMark/>
          </w:tcPr>
          <w:p w14:paraId="73BE9C2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295 233</w:t>
            </w:r>
          </w:p>
        </w:tc>
        <w:tc>
          <w:tcPr>
            <w:tcW w:w="1134" w:type="dxa"/>
            <w:tcBorders>
              <w:top w:val="nil"/>
              <w:left w:val="nil"/>
              <w:bottom w:val="single" w:sz="4" w:space="0" w:color="auto"/>
              <w:right w:val="single" w:sz="4" w:space="0" w:color="auto"/>
            </w:tcBorders>
            <w:shd w:val="clear" w:color="auto" w:fill="auto"/>
            <w:noWrap/>
            <w:vAlign w:val="center"/>
            <w:hideMark/>
          </w:tcPr>
          <w:p w14:paraId="7279F655"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295 233</w:t>
            </w:r>
          </w:p>
        </w:tc>
        <w:tc>
          <w:tcPr>
            <w:tcW w:w="1277" w:type="dxa"/>
            <w:tcBorders>
              <w:top w:val="nil"/>
              <w:left w:val="nil"/>
              <w:bottom w:val="single" w:sz="4" w:space="0" w:color="auto"/>
              <w:right w:val="single" w:sz="4" w:space="0" w:color="auto"/>
            </w:tcBorders>
            <w:shd w:val="clear" w:color="auto" w:fill="auto"/>
            <w:noWrap/>
            <w:vAlign w:val="center"/>
            <w:hideMark/>
          </w:tcPr>
          <w:p w14:paraId="4BEC1D7B"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290 000</w:t>
            </w:r>
          </w:p>
        </w:tc>
        <w:tc>
          <w:tcPr>
            <w:tcW w:w="941" w:type="dxa"/>
            <w:tcBorders>
              <w:top w:val="nil"/>
              <w:left w:val="nil"/>
              <w:bottom w:val="single" w:sz="4" w:space="0" w:color="auto"/>
              <w:right w:val="single" w:sz="4" w:space="0" w:color="auto"/>
            </w:tcBorders>
            <w:shd w:val="clear" w:color="auto" w:fill="auto"/>
            <w:noWrap/>
            <w:vAlign w:val="center"/>
            <w:hideMark/>
          </w:tcPr>
          <w:p w14:paraId="3C33C23D"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c>
          <w:tcPr>
            <w:tcW w:w="1200" w:type="dxa"/>
            <w:tcBorders>
              <w:top w:val="nil"/>
              <w:left w:val="nil"/>
              <w:bottom w:val="single" w:sz="4" w:space="0" w:color="auto"/>
              <w:right w:val="single" w:sz="4" w:space="0" w:color="auto"/>
            </w:tcBorders>
            <w:shd w:val="clear" w:color="auto" w:fill="auto"/>
            <w:noWrap/>
            <w:vAlign w:val="center"/>
            <w:hideMark/>
          </w:tcPr>
          <w:p w14:paraId="28AF6DBC"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98%</w:t>
            </w:r>
          </w:p>
        </w:tc>
      </w:tr>
      <w:tr w:rsidR="00B065F3" w:rsidRPr="00953B54" w14:paraId="326B7F8C"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578319D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F637012</w:t>
            </w:r>
          </w:p>
        </w:tc>
        <w:tc>
          <w:tcPr>
            <w:tcW w:w="3982" w:type="dxa"/>
            <w:tcBorders>
              <w:top w:val="nil"/>
              <w:left w:val="nil"/>
              <w:bottom w:val="single" w:sz="4" w:space="0" w:color="auto"/>
              <w:right w:val="single" w:sz="4" w:space="0" w:color="auto"/>
            </w:tcBorders>
            <w:shd w:val="clear" w:color="auto" w:fill="auto"/>
            <w:noWrap/>
            <w:vAlign w:val="center"/>
            <w:hideMark/>
          </w:tcPr>
          <w:p w14:paraId="5B83A7D2"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Contributions aux Oeuvres Sociales (2%)</w:t>
            </w:r>
          </w:p>
        </w:tc>
        <w:tc>
          <w:tcPr>
            <w:tcW w:w="1418" w:type="dxa"/>
            <w:tcBorders>
              <w:top w:val="nil"/>
              <w:left w:val="nil"/>
              <w:bottom w:val="single" w:sz="4" w:space="0" w:color="auto"/>
              <w:right w:val="single" w:sz="4" w:space="0" w:color="auto"/>
            </w:tcBorders>
            <w:shd w:val="clear" w:color="auto" w:fill="auto"/>
            <w:noWrap/>
            <w:vAlign w:val="center"/>
            <w:hideMark/>
          </w:tcPr>
          <w:p w14:paraId="64CA052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26 283</w:t>
            </w:r>
          </w:p>
        </w:tc>
        <w:tc>
          <w:tcPr>
            <w:tcW w:w="1134" w:type="dxa"/>
            <w:tcBorders>
              <w:top w:val="nil"/>
              <w:left w:val="nil"/>
              <w:bottom w:val="single" w:sz="4" w:space="0" w:color="auto"/>
              <w:right w:val="single" w:sz="4" w:space="0" w:color="auto"/>
            </w:tcBorders>
            <w:shd w:val="clear" w:color="auto" w:fill="auto"/>
            <w:noWrap/>
            <w:vAlign w:val="center"/>
            <w:hideMark/>
          </w:tcPr>
          <w:p w14:paraId="35343ED3"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20 000</w:t>
            </w:r>
          </w:p>
        </w:tc>
        <w:tc>
          <w:tcPr>
            <w:tcW w:w="1277" w:type="dxa"/>
            <w:tcBorders>
              <w:top w:val="nil"/>
              <w:left w:val="nil"/>
              <w:bottom w:val="single" w:sz="4" w:space="0" w:color="auto"/>
              <w:right w:val="single" w:sz="4" w:space="0" w:color="auto"/>
            </w:tcBorders>
            <w:shd w:val="clear" w:color="auto" w:fill="auto"/>
            <w:noWrap/>
            <w:vAlign w:val="center"/>
            <w:hideMark/>
          </w:tcPr>
          <w:p w14:paraId="305AEB16"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20 000</w:t>
            </w:r>
          </w:p>
        </w:tc>
        <w:tc>
          <w:tcPr>
            <w:tcW w:w="941" w:type="dxa"/>
            <w:tcBorders>
              <w:top w:val="nil"/>
              <w:left w:val="nil"/>
              <w:bottom w:val="single" w:sz="4" w:space="0" w:color="auto"/>
              <w:right w:val="single" w:sz="4" w:space="0" w:color="auto"/>
            </w:tcBorders>
            <w:shd w:val="clear" w:color="auto" w:fill="auto"/>
            <w:noWrap/>
            <w:vAlign w:val="center"/>
            <w:hideMark/>
          </w:tcPr>
          <w:p w14:paraId="2AF97AF1"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76%</w:t>
            </w:r>
          </w:p>
        </w:tc>
        <w:tc>
          <w:tcPr>
            <w:tcW w:w="1200" w:type="dxa"/>
            <w:tcBorders>
              <w:top w:val="nil"/>
              <w:left w:val="nil"/>
              <w:bottom w:val="single" w:sz="4" w:space="0" w:color="auto"/>
              <w:right w:val="single" w:sz="4" w:space="0" w:color="auto"/>
            </w:tcBorders>
            <w:shd w:val="clear" w:color="auto" w:fill="auto"/>
            <w:noWrap/>
            <w:vAlign w:val="center"/>
            <w:hideMark/>
          </w:tcPr>
          <w:p w14:paraId="3FEE421F"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76%</w:t>
            </w:r>
          </w:p>
        </w:tc>
      </w:tr>
      <w:tr w:rsidR="00B065F3" w:rsidRPr="00953B54" w14:paraId="445B6098"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6108E0F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F637021</w:t>
            </w:r>
          </w:p>
        </w:tc>
        <w:tc>
          <w:tcPr>
            <w:tcW w:w="3982" w:type="dxa"/>
            <w:tcBorders>
              <w:top w:val="nil"/>
              <w:left w:val="nil"/>
              <w:bottom w:val="single" w:sz="4" w:space="0" w:color="auto"/>
              <w:right w:val="single" w:sz="4" w:space="0" w:color="auto"/>
            </w:tcBorders>
            <w:shd w:val="clear" w:color="auto" w:fill="auto"/>
            <w:noWrap/>
            <w:vAlign w:val="center"/>
            <w:hideMark/>
          </w:tcPr>
          <w:p w14:paraId="2CAC66E3" w14:textId="19128790"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Près Salaires des Stagiaires</w:t>
            </w:r>
          </w:p>
        </w:tc>
        <w:tc>
          <w:tcPr>
            <w:tcW w:w="1418" w:type="dxa"/>
            <w:tcBorders>
              <w:top w:val="nil"/>
              <w:left w:val="nil"/>
              <w:bottom w:val="single" w:sz="4" w:space="0" w:color="auto"/>
              <w:right w:val="single" w:sz="4" w:space="0" w:color="auto"/>
            </w:tcBorders>
            <w:shd w:val="clear" w:color="auto" w:fill="auto"/>
            <w:noWrap/>
            <w:vAlign w:val="center"/>
            <w:hideMark/>
          </w:tcPr>
          <w:p w14:paraId="6CF3DA8B"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6 960</w:t>
            </w:r>
          </w:p>
        </w:tc>
        <w:tc>
          <w:tcPr>
            <w:tcW w:w="1134" w:type="dxa"/>
            <w:tcBorders>
              <w:top w:val="nil"/>
              <w:left w:val="nil"/>
              <w:bottom w:val="single" w:sz="4" w:space="0" w:color="auto"/>
              <w:right w:val="single" w:sz="4" w:space="0" w:color="auto"/>
            </w:tcBorders>
            <w:shd w:val="clear" w:color="auto" w:fill="auto"/>
            <w:noWrap/>
            <w:vAlign w:val="center"/>
            <w:hideMark/>
          </w:tcPr>
          <w:p w14:paraId="6213FCA8"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6 000</w:t>
            </w:r>
          </w:p>
        </w:tc>
        <w:tc>
          <w:tcPr>
            <w:tcW w:w="1277" w:type="dxa"/>
            <w:tcBorders>
              <w:top w:val="nil"/>
              <w:left w:val="nil"/>
              <w:bottom w:val="single" w:sz="4" w:space="0" w:color="auto"/>
              <w:right w:val="single" w:sz="4" w:space="0" w:color="auto"/>
            </w:tcBorders>
            <w:shd w:val="clear" w:color="auto" w:fill="auto"/>
            <w:noWrap/>
            <w:vAlign w:val="center"/>
            <w:hideMark/>
          </w:tcPr>
          <w:p w14:paraId="33D0A41B"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5 990</w:t>
            </w:r>
          </w:p>
        </w:tc>
        <w:tc>
          <w:tcPr>
            <w:tcW w:w="941" w:type="dxa"/>
            <w:tcBorders>
              <w:top w:val="nil"/>
              <w:left w:val="nil"/>
              <w:bottom w:val="single" w:sz="4" w:space="0" w:color="auto"/>
              <w:right w:val="single" w:sz="4" w:space="0" w:color="auto"/>
            </w:tcBorders>
            <w:shd w:val="clear" w:color="auto" w:fill="auto"/>
            <w:noWrap/>
            <w:vAlign w:val="center"/>
            <w:hideMark/>
          </w:tcPr>
          <w:p w14:paraId="663468F0"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86%</w:t>
            </w:r>
          </w:p>
        </w:tc>
        <w:tc>
          <w:tcPr>
            <w:tcW w:w="1200" w:type="dxa"/>
            <w:tcBorders>
              <w:top w:val="nil"/>
              <w:left w:val="nil"/>
              <w:bottom w:val="single" w:sz="4" w:space="0" w:color="auto"/>
              <w:right w:val="single" w:sz="4" w:space="0" w:color="auto"/>
            </w:tcBorders>
            <w:shd w:val="clear" w:color="auto" w:fill="auto"/>
            <w:noWrap/>
            <w:vAlign w:val="center"/>
            <w:hideMark/>
          </w:tcPr>
          <w:p w14:paraId="03AAA3D2"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86%</w:t>
            </w:r>
          </w:p>
        </w:tc>
      </w:tr>
      <w:tr w:rsidR="00B065F3" w:rsidRPr="00953B54" w14:paraId="59DC7FB1" w14:textId="77777777" w:rsidTr="005C262F">
        <w:trPr>
          <w:trHeight w:val="315"/>
          <w:jc w:val="center"/>
        </w:trPr>
        <w:tc>
          <w:tcPr>
            <w:tcW w:w="1136" w:type="dxa"/>
            <w:tcBorders>
              <w:top w:val="nil"/>
              <w:left w:val="single" w:sz="4" w:space="0" w:color="auto"/>
              <w:bottom w:val="single" w:sz="4" w:space="0" w:color="auto"/>
              <w:right w:val="single" w:sz="4" w:space="0" w:color="auto"/>
            </w:tcBorders>
            <w:shd w:val="clear" w:color="auto" w:fill="auto"/>
            <w:vAlign w:val="center"/>
            <w:hideMark/>
          </w:tcPr>
          <w:p w14:paraId="00956EA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F637021</w:t>
            </w:r>
          </w:p>
        </w:tc>
        <w:tc>
          <w:tcPr>
            <w:tcW w:w="3982" w:type="dxa"/>
            <w:tcBorders>
              <w:top w:val="nil"/>
              <w:left w:val="nil"/>
              <w:bottom w:val="single" w:sz="4" w:space="0" w:color="auto"/>
              <w:right w:val="single" w:sz="4" w:space="0" w:color="auto"/>
            </w:tcBorders>
            <w:shd w:val="clear" w:color="auto" w:fill="auto"/>
            <w:noWrap/>
            <w:vAlign w:val="center"/>
            <w:hideMark/>
          </w:tcPr>
          <w:p w14:paraId="7FC1CDE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Maitre d'Apprentissage</w:t>
            </w:r>
          </w:p>
        </w:tc>
        <w:tc>
          <w:tcPr>
            <w:tcW w:w="1418" w:type="dxa"/>
            <w:tcBorders>
              <w:top w:val="nil"/>
              <w:left w:val="nil"/>
              <w:bottom w:val="single" w:sz="4" w:space="0" w:color="auto"/>
              <w:right w:val="single" w:sz="4" w:space="0" w:color="auto"/>
            </w:tcBorders>
            <w:shd w:val="clear" w:color="auto" w:fill="auto"/>
            <w:noWrap/>
            <w:vAlign w:val="center"/>
            <w:hideMark/>
          </w:tcPr>
          <w:p w14:paraId="4906338D"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3 672</w:t>
            </w:r>
          </w:p>
        </w:tc>
        <w:tc>
          <w:tcPr>
            <w:tcW w:w="1134" w:type="dxa"/>
            <w:tcBorders>
              <w:top w:val="nil"/>
              <w:left w:val="nil"/>
              <w:bottom w:val="single" w:sz="4" w:space="0" w:color="auto"/>
              <w:right w:val="single" w:sz="4" w:space="0" w:color="auto"/>
            </w:tcBorders>
            <w:shd w:val="clear" w:color="auto" w:fill="auto"/>
            <w:noWrap/>
            <w:vAlign w:val="center"/>
            <w:hideMark/>
          </w:tcPr>
          <w:p w14:paraId="0DF472A1"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3 600</w:t>
            </w:r>
          </w:p>
        </w:tc>
        <w:tc>
          <w:tcPr>
            <w:tcW w:w="1277" w:type="dxa"/>
            <w:tcBorders>
              <w:top w:val="nil"/>
              <w:left w:val="nil"/>
              <w:bottom w:val="single" w:sz="4" w:space="0" w:color="auto"/>
              <w:right w:val="single" w:sz="4" w:space="0" w:color="auto"/>
            </w:tcBorders>
            <w:shd w:val="clear" w:color="auto" w:fill="auto"/>
            <w:noWrap/>
            <w:vAlign w:val="center"/>
            <w:hideMark/>
          </w:tcPr>
          <w:p w14:paraId="75DE4C1F"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2 700</w:t>
            </w:r>
          </w:p>
        </w:tc>
        <w:tc>
          <w:tcPr>
            <w:tcW w:w="941" w:type="dxa"/>
            <w:tcBorders>
              <w:top w:val="nil"/>
              <w:left w:val="nil"/>
              <w:bottom w:val="single" w:sz="4" w:space="0" w:color="auto"/>
              <w:right w:val="single" w:sz="4" w:space="0" w:color="auto"/>
            </w:tcBorders>
            <w:shd w:val="clear" w:color="auto" w:fill="auto"/>
            <w:noWrap/>
            <w:vAlign w:val="center"/>
            <w:hideMark/>
          </w:tcPr>
          <w:p w14:paraId="6C1B45F5"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98%</w:t>
            </w:r>
          </w:p>
        </w:tc>
        <w:tc>
          <w:tcPr>
            <w:tcW w:w="1200" w:type="dxa"/>
            <w:tcBorders>
              <w:top w:val="nil"/>
              <w:left w:val="nil"/>
              <w:bottom w:val="single" w:sz="4" w:space="0" w:color="auto"/>
              <w:right w:val="single" w:sz="4" w:space="0" w:color="auto"/>
            </w:tcBorders>
            <w:shd w:val="clear" w:color="auto" w:fill="auto"/>
            <w:noWrap/>
            <w:vAlign w:val="center"/>
            <w:hideMark/>
          </w:tcPr>
          <w:p w14:paraId="6D57BC37"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74%</w:t>
            </w:r>
          </w:p>
        </w:tc>
      </w:tr>
      <w:tr w:rsidR="00B065F3" w:rsidRPr="00953B54" w14:paraId="515BB264" w14:textId="77777777" w:rsidTr="005C262F">
        <w:trPr>
          <w:trHeight w:val="70"/>
          <w:jc w:val="center"/>
        </w:trPr>
        <w:tc>
          <w:tcPr>
            <w:tcW w:w="1136" w:type="dxa"/>
            <w:tcBorders>
              <w:top w:val="nil"/>
              <w:left w:val="single" w:sz="4" w:space="0" w:color="auto"/>
              <w:bottom w:val="single" w:sz="4" w:space="0" w:color="auto"/>
              <w:right w:val="single" w:sz="4" w:space="0" w:color="auto"/>
            </w:tcBorders>
            <w:shd w:val="clear" w:color="000000" w:fill="C6E0B4"/>
            <w:noWrap/>
            <w:vAlign w:val="center"/>
            <w:hideMark/>
          </w:tcPr>
          <w:p w14:paraId="7B1B90EC"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982" w:type="dxa"/>
            <w:tcBorders>
              <w:top w:val="nil"/>
              <w:left w:val="nil"/>
              <w:bottom w:val="single" w:sz="4" w:space="0" w:color="auto"/>
              <w:right w:val="single" w:sz="4" w:space="0" w:color="auto"/>
            </w:tcBorders>
            <w:shd w:val="clear" w:color="000000" w:fill="C6E0B4"/>
            <w:noWrap/>
            <w:vAlign w:val="center"/>
            <w:hideMark/>
          </w:tcPr>
          <w:p w14:paraId="6B93B5F4"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xml:space="preserve">Total Charges du Personnel </w:t>
            </w:r>
          </w:p>
        </w:tc>
        <w:tc>
          <w:tcPr>
            <w:tcW w:w="1418" w:type="dxa"/>
            <w:tcBorders>
              <w:top w:val="nil"/>
              <w:left w:val="nil"/>
              <w:bottom w:val="single" w:sz="4" w:space="0" w:color="auto"/>
              <w:right w:val="single" w:sz="4" w:space="0" w:color="auto"/>
            </w:tcBorders>
            <w:shd w:val="clear" w:color="000000" w:fill="C6E0B4"/>
            <w:noWrap/>
            <w:vAlign w:val="center"/>
            <w:hideMark/>
          </w:tcPr>
          <w:p w14:paraId="1CB8342C"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xml:space="preserve">   1 649 160   </w:t>
            </w:r>
          </w:p>
        </w:tc>
        <w:tc>
          <w:tcPr>
            <w:tcW w:w="1134" w:type="dxa"/>
            <w:tcBorders>
              <w:top w:val="nil"/>
              <w:left w:val="nil"/>
              <w:bottom w:val="single" w:sz="4" w:space="0" w:color="auto"/>
              <w:right w:val="single" w:sz="4" w:space="0" w:color="auto"/>
            </w:tcBorders>
            <w:shd w:val="clear" w:color="000000" w:fill="C6E0B4"/>
            <w:noWrap/>
            <w:vAlign w:val="center"/>
            <w:hideMark/>
          </w:tcPr>
          <w:p w14:paraId="61B6506D"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1 586 278</w:t>
            </w:r>
          </w:p>
        </w:tc>
        <w:tc>
          <w:tcPr>
            <w:tcW w:w="1277" w:type="dxa"/>
            <w:tcBorders>
              <w:top w:val="nil"/>
              <w:left w:val="nil"/>
              <w:bottom w:val="single" w:sz="4" w:space="0" w:color="auto"/>
              <w:right w:val="single" w:sz="4" w:space="0" w:color="auto"/>
            </w:tcBorders>
            <w:shd w:val="clear" w:color="000000" w:fill="C6E0B4"/>
            <w:noWrap/>
            <w:vAlign w:val="center"/>
            <w:hideMark/>
          </w:tcPr>
          <w:p w14:paraId="2A385AA3"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1 565 790</w:t>
            </w:r>
          </w:p>
        </w:tc>
        <w:tc>
          <w:tcPr>
            <w:tcW w:w="941" w:type="dxa"/>
            <w:tcBorders>
              <w:top w:val="nil"/>
              <w:left w:val="nil"/>
              <w:bottom w:val="single" w:sz="4" w:space="0" w:color="auto"/>
              <w:right w:val="single" w:sz="4" w:space="0" w:color="auto"/>
            </w:tcBorders>
            <w:shd w:val="clear" w:color="000000" w:fill="C6E0B4"/>
            <w:noWrap/>
            <w:vAlign w:val="center"/>
            <w:hideMark/>
          </w:tcPr>
          <w:p w14:paraId="4EF9EE6A"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96%</w:t>
            </w:r>
          </w:p>
        </w:tc>
        <w:tc>
          <w:tcPr>
            <w:tcW w:w="1200" w:type="dxa"/>
            <w:tcBorders>
              <w:top w:val="nil"/>
              <w:left w:val="nil"/>
              <w:bottom w:val="single" w:sz="4" w:space="0" w:color="auto"/>
              <w:right w:val="single" w:sz="4" w:space="0" w:color="auto"/>
            </w:tcBorders>
            <w:shd w:val="clear" w:color="000000" w:fill="C6E0B4"/>
            <w:noWrap/>
            <w:vAlign w:val="center"/>
            <w:hideMark/>
          </w:tcPr>
          <w:p w14:paraId="653C321F"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95%</w:t>
            </w:r>
          </w:p>
        </w:tc>
      </w:tr>
    </w:tbl>
    <w:p w14:paraId="45D78C15"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Source : DOT de Beni Messous – Département Budget</w:t>
      </w:r>
    </w:p>
    <w:p w14:paraId="7925CEBA" w14:textId="73F15812" w:rsidR="00B065F3" w:rsidRPr="007D594C"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74" w:name="_Toc199314773"/>
      <w:r w:rsidRPr="007D594C">
        <w:rPr>
          <w:rFonts w:asciiTheme="majorBidi" w:hAnsiTheme="majorBidi" w:cstheme="majorBidi"/>
          <w:b/>
          <w:bCs/>
          <w:i w:val="0"/>
          <w:iCs w:val="0"/>
          <w:color w:val="auto"/>
          <w:sz w:val="24"/>
          <w:szCs w:val="24"/>
        </w:rPr>
        <w:lastRenderedPageBreak/>
        <w:t xml:space="preserve">Figure N°2- </w:t>
      </w:r>
      <w:r w:rsidRPr="007D594C">
        <w:rPr>
          <w:rFonts w:asciiTheme="majorBidi" w:hAnsiTheme="majorBidi" w:cstheme="majorBidi"/>
          <w:b/>
          <w:bCs/>
          <w:i w:val="0"/>
          <w:iCs w:val="0"/>
          <w:color w:val="auto"/>
          <w:sz w:val="24"/>
          <w:szCs w:val="24"/>
        </w:rPr>
        <w:fldChar w:fldCharType="begin"/>
      </w:r>
      <w:r w:rsidRPr="007D594C">
        <w:rPr>
          <w:rFonts w:asciiTheme="majorBidi" w:hAnsiTheme="majorBidi" w:cstheme="majorBidi"/>
          <w:b/>
          <w:bCs/>
          <w:i w:val="0"/>
          <w:iCs w:val="0"/>
          <w:color w:val="auto"/>
          <w:sz w:val="24"/>
          <w:szCs w:val="24"/>
        </w:rPr>
        <w:instrText xml:space="preserve"> SEQ Figure_N°2- \* ARABIC </w:instrText>
      </w:r>
      <w:r w:rsidRPr="007D594C">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7</w:t>
      </w:r>
      <w:r w:rsidRPr="007D594C">
        <w:rPr>
          <w:rFonts w:asciiTheme="majorBidi" w:hAnsiTheme="majorBidi" w:cstheme="majorBidi"/>
          <w:b/>
          <w:bCs/>
          <w:i w:val="0"/>
          <w:iCs w:val="0"/>
          <w:color w:val="auto"/>
          <w:sz w:val="24"/>
          <w:szCs w:val="24"/>
        </w:rPr>
        <w:fldChar w:fldCharType="end"/>
      </w:r>
      <w:r w:rsidRPr="007D594C">
        <w:rPr>
          <w:rFonts w:asciiTheme="majorBidi" w:hAnsiTheme="majorBidi" w:cstheme="majorBidi"/>
          <w:b/>
          <w:bCs/>
          <w:i w:val="0"/>
          <w:iCs w:val="0"/>
          <w:color w:val="auto"/>
          <w:sz w:val="24"/>
          <w:szCs w:val="24"/>
        </w:rPr>
        <w:t>: Histogramme des charges de personnel – Compte 63</w:t>
      </w:r>
      <w:bookmarkEnd w:id="174"/>
    </w:p>
    <w:p w14:paraId="3A78B240"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noProof/>
          <w:lang w:eastAsia="fr-FR"/>
        </w:rPr>
        <w:drawing>
          <wp:inline distT="0" distB="0" distL="0" distR="0" wp14:anchorId="268629A9" wp14:editId="03F8F2C5">
            <wp:extent cx="6381750" cy="2952750"/>
            <wp:effectExtent l="0" t="0" r="0" b="0"/>
            <wp:docPr id="20" name="Image 20" descr="C:\Users\HP\Downloads\60A8D74C-EBFA-4D01-8523-6AF712DDD9F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ownloads\60A8D74C-EBFA-4D01-8523-6AF712DDD9F2.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383020" cy="2953338"/>
                    </a:xfrm>
                    <a:prstGeom prst="rect">
                      <a:avLst/>
                    </a:prstGeom>
                    <a:noFill/>
                    <a:ln>
                      <a:noFill/>
                    </a:ln>
                  </pic:spPr>
                </pic:pic>
              </a:graphicData>
            </a:graphic>
          </wp:inline>
        </w:drawing>
      </w:r>
    </w:p>
    <w:p w14:paraId="435B24AE"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Source : Élaboré par les étudiants selon les données de la DFC de la DOT de Beni Messous</w:t>
      </w:r>
    </w:p>
    <w:p w14:paraId="1A9B027A"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Les commentaires :</w:t>
      </w:r>
    </w:p>
    <w:p w14:paraId="47BABEF0" w14:textId="77777777" w:rsidR="00B065F3" w:rsidRDefault="00B065F3" w:rsidP="00AE3850">
      <w:pPr>
        <w:spacing w:line="360" w:lineRule="auto"/>
        <w:ind w:firstLine="708"/>
        <w:jc w:val="both"/>
        <w:rPr>
          <w:rFonts w:asciiTheme="majorBidi" w:hAnsiTheme="majorBidi" w:cstheme="majorBidi"/>
        </w:rPr>
      </w:pPr>
      <w:r w:rsidRPr="00953B54">
        <w:rPr>
          <w:rFonts w:asciiTheme="majorBidi" w:hAnsiTheme="majorBidi" w:cstheme="majorBidi"/>
        </w:rPr>
        <w:t>Les charges de personnel présentent une exécution globalement satisfaisante, avec un taux d’engagement de 96 % et un taux de réalisation de 95 %, témoignant d’une bonne maîtrise budgétaire. Les principaux postes, tels que les traitements et salaires, les primes et les cotisations sociales, sont pleinement exécutés, ce qui reflète une gestion stable des effectifs et des engagements salariaux. Quelques écarts légers sont observés sur les heures supplémentaires (50 %) et l’habillement (70 %), pouvant résulter de besoins partiellement revus à la baisse ou d’une consommation différée. Globalement, ce poste reste bien encadré et conforme aux prévisions</w:t>
      </w:r>
      <w:r>
        <w:rPr>
          <w:rFonts w:asciiTheme="majorBidi" w:hAnsiTheme="majorBidi" w:cstheme="majorBidi"/>
        </w:rPr>
        <w:t>.</w:t>
      </w:r>
    </w:p>
    <w:p w14:paraId="623BD500" w14:textId="77777777" w:rsidR="00B065F3" w:rsidRPr="007D594C" w:rsidRDefault="00B065F3" w:rsidP="00AE3850">
      <w:pPr>
        <w:spacing w:line="360" w:lineRule="auto"/>
        <w:ind w:firstLine="708"/>
        <w:jc w:val="both"/>
        <w:rPr>
          <w:rFonts w:asciiTheme="majorBidi" w:hAnsiTheme="majorBidi" w:cstheme="majorBidi"/>
        </w:rPr>
      </w:pPr>
      <w:r w:rsidRPr="00953B54">
        <w:rPr>
          <w:rFonts w:asciiTheme="majorBidi" w:eastAsia="Times New Roman" w:hAnsiTheme="majorBidi" w:cstheme="majorBidi"/>
          <w:b/>
          <w:bCs/>
          <w:lang w:eastAsia="fr-FR"/>
        </w:rPr>
        <w:t xml:space="preserve"> </w:t>
      </w:r>
      <w:r w:rsidRPr="00953B54">
        <w:rPr>
          <w:rFonts w:asciiTheme="majorBidi" w:eastAsia="Times New Roman" w:hAnsiTheme="majorBidi" w:cstheme="majorBidi"/>
          <w:lang w:eastAsia="fr-FR"/>
        </w:rPr>
        <w:br/>
      </w:r>
    </w:p>
    <w:p w14:paraId="2C675CB5" w14:textId="77777777" w:rsidR="00B065F3" w:rsidRDefault="00B065F3" w:rsidP="00AE3850">
      <w:pPr>
        <w:spacing w:line="360" w:lineRule="auto"/>
        <w:jc w:val="both"/>
        <w:rPr>
          <w:rFonts w:asciiTheme="majorBidi" w:hAnsiTheme="majorBidi" w:cstheme="majorBidi"/>
          <w:b/>
          <w:bCs/>
        </w:rPr>
      </w:pPr>
      <w:r>
        <w:rPr>
          <w:rFonts w:asciiTheme="majorBidi" w:hAnsiTheme="majorBidi" w:cstheme="majorBidi"/>
          <w:b/>
          <w:bCs/>
          <w:i/>
          <w:iCs/>
        </w:rPr>
        <w:br w:type="page"/>
      </w:r>
    </w:p>
    <w:p w14:paraId="145C6153" w14:textId="68228EC7" w:rsidR="00B065F3" w:rsidRPr="007D594C"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75" w:name="_Toc199314993"/>
      <w:r w:rsidRPr="007D594C">
        <w:rPr>
          <w:rFonts w:asciiTheme="majorBidi" w:hAnsiTheme="majorBidi" w:cstheme="majorBidi"/>
          <w:b/>
          <w:bCs/>
          <w:i w:val="0"/>
          <w:iCs w:val="0"/>
          <w:color w:val="auto"/>
          <w:sz w:val="24"/>
          <w:szCs w:val="24"/>
        </w:rPr>
        <w:lastRenderedPageBreak/>
        <w:t xml:space="preserve">Tableau N°2- </w:t>
      </w:r>
      <w:r w:rsidRPr="007D594C">
        <w:rPr>
          <w:rFonts w:asciiTheme="majorBidi" w:hAnsiTheme="majorBidi" w:cstheme="majorBidi"/>
          <w:b/>
          <w:bCs/>
          <w:i w:val="0"/>
          <w:iCs w:val="0"/>
          <w:color w:val="auto"/>
          <w:sz w:val="24"/>
          <w:szCs w:val="24"/>
        </w:rPr>
        <w:fldChar w:fldCharType="begin"/>
      </w:r>
      <w:r w:rsidRPr="007D594C">
        <w:rPr>
          <w:rFonts w:asciiTheme="majorBidi" w:hAnsiTheme="majorBidi" w:cstheme="majorBidi"/>
          <w:b/>
          <w:bCs/>
          <w:i w:val="0"/>
          <w:iCs w:val="0"/>
          <w:color w:val="auto"/>
          <w:sz w:val="24"/>
          <w:szCs w:val="24"/>
        </w:rPr>
        <w:instrText xml:space="preserve"> SEQ Tableau_N°2- \* ARABIC </w:instrText>
      </w:r>
      <w:r w:rsidRPr="007D594C">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5</w:t>
      </w:r>
      <w:r w:rsidRPr="007D594C">
        <w:rPr>
          <w:rFonts w:asciiTheme="majorBidi" w:hAnsiTheme="majorBidi" w:cstheme="majorBidi"/>
          <w:b/>
          <w:bCs/>
          <w:i w:val="0"/>
          <w:iCs w:val="0"/>
          <w:color w:val="auto"/>
          <w:sz w:val="24"/>
          <w:szCs w:val="24"/>
        </w:rPr>
        <w:fldChar w:fldCharType="end"/>
      </w:r>
      <w:r w:rsidRPr="007D594C">
        <w:rPr>
          <w:rFonts w:asciiTheme="majorBidi" w:hAnsiTheme="majorBidi" w:cstheme="majorBidi"/>
          <w:b/>
          <w:bCs/>
          <w:i w:val="0"/>
          <w:iCs w:val="0"/>
          <w:color w:val="auto"/>
          <w:sz w:val="24"/>
          <w:szCs w:val="24"/>
        </w:rPr>
        <w:t>: Exécution budgétaire des impôts et ta</w:t>
      </w:r>
      <w:r w:rsidR="000630FE">
        <w:rPr>
          <w:rFonts w:asciiTheme="majorBidi" w:hAnsiTheme="majorBidi" w:cstheme="majorBidi"/>
          <w:b/>
          <w:bCs/>
          <w:i w:val="0"/>
          <w:iCs w:val="0"/>
          <w:color w:val="auto"/>
          <w:sz w:val="24"/>
          <w:szCs w:val="24"/>
        </w:rPr>
        <w:t>xes – Compte 64 (En K</w:t>
      </w:r>
      <w:r w:rsidRPr="007D594C">
        <w:rPr>
          <w:rFonts w:asciiTheme="majorBidi" w:hAnsiTheme="majorBidi" w:cstheme="majorBidi"/>
          <w:b/>
          <w:bCs/>
          <w:i w:val="0"/>
          <w:iCs w:val="0"/>
          <w:color w:val="auto"/>
          <w:sz w:val="24"/>
          <w:szCs w:val="24"/>
        </w:rPr>
        <w:t>DA)</w:t>
      </w:r>
      <w:bookmarkEnd w:id="175"/>
    </w:p>
    <w:tbl>
      <w:tblPr>
        <w:tblW w:w="10363" w:type="dxa"/>
        <w:jc w:val="center"/>
        <w:tblCellMar>
          <w:left w:w="70" w:type="dxa"/>
          <w:right w:w="70" w:type="dxa"/>
        </w:tblCellMar>
        <w:tblLook w:val="04A0" w:firstRow="1" w:lastRow="0" w:firstColumn="1" w:lastColumn="0" w:noHBand="0" w:noVBand="1"/>
      </w:tblPr>
      <w:tblGrid>
        <w:gridCol w:w="1233"/>
        <w:gridCol w:w="3744"/>
        <w:gridCol w:w="1417"/>
        <w:gridCol w:w="992"/>
        <w:gridCol w:w="993"/>
        <w:gridCol w:w="992"/>
        <w:gridCol w:w="992"/>
      </w:tblGrid>
      <w:tr w:rsidR="00B065F3" w:rsidRPr="00953B54" w14:paraId="7F07BE8A" w14:textId="77777777" w:rsidTr="005C262F">
        <w:trPr>
          <w:trHeight w:val="315"/>
          <w:jc w:val="center"/>
        </w:trPr>
        <w:tc>
          <w:tcPr>
            <w:tcW w:w="1233" w:type="dxa"/>
            <w:tcBorders>
              <w:top w:val="single" w:sz="4" w:space="0" w:color="auto"/>
              <w:left w:val="single" w:sz="4" w:space="0" w:color="auto"/>
              <w:bottom w:val="single" w:sz="4" w:space="0" w:color="auto"/>
              <w:right w:val="single" w:sz="4" w:space="0" w:color="auto"/>
            </w:tcBorders>
            <w:shd w:val="clear" w:color="000000" w:fill="D9E1F2"/>
            <w:noWrap/>
            <w:vAlign w:val="center"/>
          </w:tcPr>
          <w:p w14:paraId="370E7143"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Code</w:t>
            </w:r>
          </w:p>
        </w:tc>
        <w:tc>
          <w:tcPr>
            <w:tcW w:w="3744" w:type="dxa"/>
            <w:tcBorders>
              <w:top w:val="single" w:sz="4" w:space="0" w:color="auto"/>
              <w:left w:val="nil"/>
              <w:bottom w:val="single" w:sz="4" w:space="0" w:color="auto"/>
              <w:right w:val="single" w:sz="4" w:space="0" w:color="auto"/>
            </w:tcBorders>
            <w:shd w:val="clear" w:color="000000" w:fill="D9E1F2"/>
            <w:noWrap/>
            <w:vAlign w:val="center"/>
          </w:tcPr>
          <w:p w14:paraId="401BF573"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Désignation</w:t>
            </w:r>
          </w:p>
        </w:tc>
        <w:tc>
          <w:tcPr>
            <w:tcW w:w="1417" w:type="dxa"/>
            <w:tcBorders>
              <w:top w:val="single" w:sz="4" w:space="0" w:color="auto"/>
              <w:left w:val="nil"/>
              <w:bottom w:val="single" w:sz="4" w:space="0" w:color="auto"/>
              <w:right w:val="single" w:sz="4" w:space="0" w:color="auto"/>
            </w:tcBorders>
            <w:shd w:val="clear" w:color="000000" w:fill="D9E1F2"/>
            <w:noWrap/>
            <w:vAlign w:val="center"/>
          </w:tcPr>
          <w:p w14:paraId="0BA41C04"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Budget 2023 (1)</w:t>
            </w:r>
          </w:p>
        </w:tc>
        <w:tc>
          <w:tcPr>
            <w:tcW w:w="992" w:type="dxa"/>
            <w:tcBorders>
              <w:top w:val="single" w:sz="4" w:space="0" w:color="auto"/>
              <w:left w:val="nil"/>
              <w:bottom w:val="single" w:sz="4" w:space="0" w:color="auto"/>
              <w:right w:val="single" w:sz="4" w:space="0" w:color="auto"/>
            </w:tcBorders>
            <w:shd w:val="clear" w:color="000000" w:fill="D9E1F2"/>
            <w:noWrap/>
            <w:vAlign w:val="center"/>
          </w:tcPr>
          <w:p w14:paraId="31D373C3"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cumul Engag au,,, (2)</w:t>
            </w:r>
          </w:p>
        </w:tc>
        <w:tc>
          <w:tcPr>
            <w:tcW w:w="993" w:type="dxa"/>
            <w:tcBorders>
              <w:top w:val="single" w:sz="4" w:space="0" w:color="auto"/>
              <w:left w:val="nil"/>
              <w:bottom w:val="single" w:sz="4" w:space="0" w:color="auto"/>
              <w:right w:val="single" w:sz="4" w:space="0" w:color="auto"/>
            </w:tcBorders>
            <w:shd w:val="clear" w:color="000000" w:fill="D9E1F2"/>
            <w:noWrap/>
            <w:vAlign w:val="center"/>
          </w:tcPr>
          <w:p w14:paraId="180CBD0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cumul Réal au,,,,, (3)</w:t>
            </w:r>
          </w:p>
        </w:tc>
        <w:tc>
          <w:tcPr>
            <w:tcW w:w="992" w:type="dxa"/>
            <w:tcBorders>
              <w:top w:val="single" w:sz="4" w:space="0" w:color="auto"/>
              <w:left w:val="nil"/>
              <w:bottom w:val="single" w:sz="4" w:space="0" w:color="auto"/>
              <w:right w:val="single" w:sz="4" w:space="0" w:color="auto"/>
            </w:tcBorders>
            <w:shd w:val="clear" w:color="000000" w:fill="D9E1F2"/>
            <w:noWrap/>
            <w:vAlign w:val="center"/>
          </w:tcPr>
          <w:p w14:paraId="3BBDAB49"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Taux d'engag  (2)/(1)</w:t>
            </w:r>
          </w:p>
        </w:tc>
        <w:tc>
          <w:tcPr>
            <w:tcW w:w="992" w:type="dxa"/>
            <w:tcBorders>
              <w:top w:val="single" w:sz="4" w:space="0" w:color="auto"/>
              <w:left w:val="nil"/>
              <w:bottom w:val="single" w:sz="4" w:space="0" w:color="auto"/>
              <w:right w:val="single" w:sz="4" w:space="0" w:color="auto"/>
            </w:tcBorders>
            <w:shd w:val="clear" w:color="000000" w:fill="D9E1F2"/>
            <w:noWrap/>
            <w:vAlign w:val="center"/>
          </w:tcPr>
          <w:p w14:paraId="7660EA4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Taux de Réal (3)/(1)</w:t>
            </w:r>
          </w:p>
        </w:tc>
      </w:tr>
      <w:tr w:rsidR="00B065F3" w:rsidRPr="00953B54" w14:paraId="4D749674" w14:textId="77777777" w:rsidTr="005C262F">
        <w:trPr>
          <w:trHeight w:val="315"/>
          <w:jc w:val="center"/>
        </w:trPr>
        <w:tc>
          <w:tcPr>
            <w:tcW w:w="1233"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6725A8F2"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744" w:type="dxa"/>
            <w:tcBorders>
              <w:top w:val="single" w:sz="4" w:space="0" w:color="auto"/>
              <w:left w:val="nil"/>
              <w:bottom w:val="single" w:sz="4" w:space="0" w:color="auto"/>
              <w:right w:val="single" w:sz="4" w:space="0" w:color="auto"/>
            </w:tcBorders>
            <w:shd w:val="clear" w:color="000000" w:fill="D9E1F2"/>
            <w:noWrap/>
            <w:vAlign w:val="center"/>
            <w:hideMark/>
          </w:tcPr>
          <w:p w14:paraId="2ACF2CA6" w14:textId="76E7613F"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Impôts, Taxes et Versement Assimilées (Compte 64)</w:t>
            </w:r>
          </w:p>
        </w:tc>
        <w:tc>
          <w:tcPr>
            <w:tcW w:w="1417" w:type="dxa"/>
            <w:tcBorders>
              <w:top w:val="single" w:sz="4" w:space="0" w:color="auto"/>
              <w:left w:val="nil"/>
              <w:bottom w:val="single" w:sz="4" w:space="0" w:color="auto"/>
              <w:right w:val="single" w:sz="4" w:space="0" w:color="auto"/>
            </w:tcBorders>
            <w:shd w:val="clear" w:color="000000" w:fill="D9E1F2"/>
            <w:noWrap/>
            <w:vAlign w:val="center"/>
            <w:hideMark/>
          </w:tcPr>
          <w:p w14:paraId="68F0A2E3"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2" w:type="dxa"/>
            <w:tcBorders>
              <w:top w:val="single" w:sz="4" w:space="0" w:color="auto"/>
              <w:left w:val="nil"/>
              <w:bottom w:val="single" w:sz="4" w:space="0" w:color="auto"/>
              <w:right w:val="single" w:sz="4" w:space="0" w:color="auto"/>
            </w:tcBorders>
            <w:shd w:val="clear" w:color="000000" w:fill="D9E1F2"/>
            <w:noWrap/>
            <w:vAlign w:val="center"/>
            <w:hideMark/>
          </w:tcPr>
          <w:p w14:paraId="72A5BC59"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3" w:type="dxa"/>
            <w:tcBorders>
              <w:top w:val="single" w:sz="4" w:space="0" w:color="auto"/>
              <w:left w:val="nil"/>
              <w:bottom w:val="single" w:sz="4" w:space="0" w:color="auto"/>
              <w:right w:val="single" w:sz="4" w:space="0" w:color="auto"/>
            </w:tcBorders>
            <w:shd w:val="clear" w:color="000000" w:fill="D9E1F2"/>
            <w:noWrap/>
            <w:vAlign w:val="center"/>
            <w:hideMark/>
          </w:tcPr>
          <w:p w14:paraId="5B379306"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2" w:type="dxa"/>
            <w:tcBorders>
              <w:top w:val="single" w:sz="4" w:space="0" w:color="auto"/>
              <w:left w:val="nil"/>
              <w:bottom w:val="single" w:sz="4" w:space="0" w:color="auto"/>
              <w:right w:val="single" w:sz="4" w:space="0" w:color="auto"/>
            </w:tcBorders>
            <w:shd w:val="clear" w:color="000000" w:fill="D9E1F2"/>
            <w:noWrap/>
            <w:vAlign w:val="center"/>
            <w:hideMark/>
          </w:tcPr>
          <w:p w14:paraId="7E102E3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2" w:type="dxa"/>
            <w:tcBorders>
              <w:top w:val="single" w:sz="4" w:space="0" w:color="auto"/>
              <w:left w:val="nil"/>
              <w:bottom w:val="single" w:sz="4" w:space="0" w:color="auto"/>
              <w:right w:val="single" w:sz="4" w:space="0" w:color="auto"/>
            </w:tcBorders>
            <w:shd w:val="clear" w:color="000000" w:fill="D9E1F2"/>
            <w:noWrap/>
            <w:vAlign w:val="center"/>
            <w:hideMark/>
          </w:tcPr>
          <w:p w14:paraId="4DC9B013"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r>
      <w:tr w:rsidR="00B065F3" w:rsidRPr="00953B54" w14:paraId="08403714" w14:textId="77777777" w:rsidTr="005C262F">
        <w:trPr>
          <w:trHeight w:val="315"/>
          <w:jc w:val="center"/>
        </w:trPr>
        <w:tc>
          <w:tcPr>
            <w:tcW w:w="1233" w:type="dxa"/>
            <w:tcBorders>
              <w:top w:val="nil"/>
              <w:left w:val="single" w:sz="4" w:space="0" w:color="auto"/>
              <w:bottom w:val="single" w:sz="4" w:space="0" w:color="auto"/>
              <w:right w:val="single" w:sz="4" w:space="0" w:color="auto"/>
            </w:tcBorders>
            <w:shd w:val="clear" w:color="auto" w:fill="auto"/>
            <w:vAlign w:val="center"/>
            <w:hideMark/>
          </w:tcPr>
          <w:p w14:paraId="0CBCB9E8"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F645111</w:t>
            </w:r>
          </w:p>
        </w:tc>
        <w:tc>
          <w:tcPr>
            <w:tcW w:w="3744" w:type="dxa"/>
            <w:tcBorders>
              <w:top w:val="nil"/>
              <w:left w:val="nil"/>
              <w:bottom w:val="single" w:sz="4" w:space="0" w:color="auto"/>
              <w:right w:val="single" w:sz="4" w:space="0" w:color="auto"/>
            </w:tcBorders>
            <w:shd w:val="clear" w:color="auto" w:fill="auto"/>
            <w:noWrap/>
            <w:vAlign w:val="center"/>
            <w:hideMark/>
          </w:tcPr>
          <w:p w14:paraId="3F34C3F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Droits d'Enregistrement sur Actes et Marchés</w:t>
            </w:r>
          </w:p>
        </w:tc>
        <w:tc>
          <w:tcPr>
            <w:tcW w:w="1417" w:type="dxa"/>
            <w:tcBorders>
              <w:top w:val="nil"/>
              <w:left w:val="nil"/>
              <w:bottom w:val="single" w:sz="4" w:space="0" w:color="auto"/>
              <w:right w:val="single" w:sz="4" w:space="0" w:color="auto"/>
            </w:tcBorders>
            <w:shd w:val="clear" w:color="auto" w:fill="auto"/>
            <w:noWrap/>
            <w:vAlign w:val="center"/>
            <w:hideMark/>
          </w:tcPr>
          <w:p w14:paraId="664F780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xml:space="preserve">                         500   </w:t>
            </w:r>
          </w:p>
        </w:tc>
        <w:tc>
          <w:tcPr>
            <w:tcW w:w="992" w:type="dxa"/>
            <w:tcBorders>
              <w:top w:val="nil"/>
              <w:left w:val="nil"/>
              <w:bottom w:val="single" w:sz="4" w:space="0" w:color="auto"/>
              <w:right w:val="single" w:sz="4" w:space="0" w:color="auto"/>
            </w:tcBorders>
            <w:shd w:val="clear" w:color="auto" w:fill="auto"/>
            <w:noWrap/>
            <w:vAlign w:val="center"/>
            <w:hideMark/>
          </w:tcPr>
          <w:p w14:paraId="11BDA54E"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500   </w:t>
            </w:r>
          </w:p>
        </w:tc>
        <w:tc>
          <w:tcPr>
            <w:tcW w:w="993" w:type="dxa"/>
            <w:tcBorders>
              <w:top w:val="nil"/>
              <w:left w:val="nil"/>
              <w:bottom w:val="single" w:sz="4" w:space="0" w:color="auto"/>
              <w:right w:val="single" w:sz="4" w:space="0" w:color="auto"/>
            </w:tcBorders>
            <w:shd w:val="clear" w:color="auto" w:fill="auto"/>
            <w:noWrap/>
            <w:vAlign w:val="center"/>
            <w:hideMark/>
          </w:tcPr>
          <w:p w14:paraId="337B4A3F"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500   </w:t>
            </w:r>
          </w:p>
        </w:tc>
        <w:tc>
          <w:tcPr>
            <w:tcW w:w="992" w:type="dxa"/>
            <w:tcBorders>
              <w:top w:val="nil"/>
              <w:left w:val="nil"/>
              <w:bottom w:val="single" w:sz="4" w:space="0" w:color="auto"/>
              <w:right w:val="single" w:sz="4" w:space="0" w:color="auto"/>
            </w:tcBorders>
            <w:shd w:val="clear" w:color="auto" w:fill="auto"/>
            <w:noWrap/>
            <w:vAlign w:val="center"/>
            <w:hideMark/>
          </w:tcPr>
          <w:p w14:paraId="1BDC3379"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c>
          <w:tcPr>
            <w:tcW w:w="992" w:type="dxa"/>
            <w:tcBorders>
              <w:top w:val="nil"/>
              <w:left w:val="nil"/>
              <w:bottom w:val="single" w:sz="4" w:space="0" w:color="auto"/>
              <w:right w:val="single" w:sz="4" w:space="0" w:color="auto"/>
            </w:tcBorders>
            <w:shd w:val="clear" w:color="auto" w:fill="auto"/>
            <w:noWrap/>
            <w:vAlign w:val="center"/>
            <w:hideMark/>
          </w:tcPr>
          <w:p w14:paraId="69AF619A"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r>
      <w:tr w:rsidR="00B065F3" w:rsidRPr="00953B54" w14:paraId="1BA2442E" w14:textId="77777777" w:rsidTr="005C262F">
        <w:trPr>
          <w:trHeight w:val="315"/>
          <w:jc w:val="center"/>
        </w:trPr>
        <w:tc>
          <w:tcPr>
            <w:tcW w:w="1233" w:type="dxa"/>
            <w:tcBorders>
              <w:top w:val="nil"/>
              <w:left w:val="single" w:sz="4" w:space="0" w:color="auto"/>
              <w:bottom w:val="single" w:sz="4" w:space="0" w:color="auto"/>
              <w:right w:val="single" w:sz="4" w:space="0" w:color="auto"/>
            </w:tcBorders>
            <w:shd w:val="clear" w:color="auto" w:fill="auto"/>
            <w:vAlign w:val="center"/>
            <w:hideMark/>
          </w:tcPr>
          <w:p w14:paraId="228D9D7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F645112</w:t>
            </w:r>
          </w:p>
        </w:tc>
        <w:tc>
          <w:tcPr>
            <w:tcW w:w="3744" w:type="dxa"/>
            <w:tcBorders>
              <w:top w:val="nil"/>
              <w:left w:val="nil"/>
              <w:bottom w:val="single" w:sz="4" w:space="0" w:color="auto"/>
              <w:right w:val="single" w:sz="4" w:space="0" w:color="auto"/>
            </w:tcBorders>
            <w:shd w:val="clear" w:color="auto" w:fill="auto"/>
            <w:noWrap/>
            <w:vAlign w:val="center"/>
            <w:hideMark/>
          </w:tcPr>
          <w:p w14:paraId="2DDF5FC3"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Droits de Timbres</w:t>
            </w:r>
          </w:p>
        </w:tc>
        <w:tc>
          <w:tcPr>
            <w:tcW w:w="1417" w:type="dxa"/>
            <w:tcBorders>
              <w:top w:val="nil"/>
              <w:left w:val="nil"/>
              <w:bottom w:val="single" w:sz="4" w:space="0" w:color="auto"/>
              <w:right w:val="single" w:sz="4" w:space="0" w:color="auto"/>
            </w:tcBorders>
            <w:shd w:val="clear" w:color="auto" w:fill="auto"/>
            <w:noWrap/>
            <w:vAlign w:val="center"/>
            <w:hideMark/>
          </w:tcPr>
          <w:p w14:paraId="6D697AC7"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xml:space="preserve">                         500   </w:t>
            </w:r>
          </w:p>
        </w:tc>
        <w:tc>
          <w:tcPr>
            <w:tcW w:w="992" w:type="dxa"/>
            <w:tcBorders>
              <w:top w:val="nil"/>
              <w:left w:val="nil"/>
              <w:bottom w:val="single" w:sz="4" w:space="0" w:color="auto"/>
              <w:right w:val="single" w:sz="4" w:space="0" w:color="auto"/>
            </w:tcBorders>
            <w:shd w:val="clear" w:color="auto" w:fill="auto"/>
            <w:noWrap/>
            <w:vAlign w:val="center"/>
            <w:hideMark/>
          </w:tcPr>
          <w:p w14:paraId="02981451"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500   </w:t>
            </w:r>
          </w:p>
        </w:tc>
        <w:tc>
          <w:tcPr>
            <w:tcW w:w="993" w:type="dxa"/>
            <w:tcBorders>
              <w:top w:val="nil"/>
              <w:left w:val="nil"/>
              <w:bottom w:val="single" w:sz="4" w:space="0" w:color="auto"/>
              <w:right w:val="single" w:sz="4" w:space="0" w:color="auto"/>
            </w:tcBorders>
            <w:shd w:val="clear" w:color="auto" w:fill="auto"/>
            <w:noWrap/>
            <w:vAlign w:val="center"/>
            <w:hideMark/>
          </w:tcPr>
          <w:p w14:paraId="1F5009D2"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400   </w:t>
            </w:r>
          </w:p>
        </w:tc>
        <w:tc>
          <w:tcPr>
            <w:tcW w:w="992" w:type="dxa"/>
            <w:tcBorders>
              <w:top w:val="nil"/>
              <w:left w:val="nil"/>
              <w:bottom w:val="single" w:sz="4" w:space="0" w:color="auto"/>
              <w:right w:val="single" w:sz="4" w:space="0" w:color="auto"/>
            </w:tcBorders>
            <w:shd w:val="clear" w:color="auto" w:fill="auto"/>
            <w:noWrap/>
            <w:vAlign w:val="center"/>
            <w:hideMark/>
          </w:tcPr>
          <w:p w14:paraId="5C957F14"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100%</w:t>
            </w:r>
          </w:p>
        </w:tc>
        <w:tc>
          <w:tcPr>
            <w:tcW w:w="992" w:type="dxa"/>
            <w:tcBorders>
              <w:top w:val="nil"/>
              <w:left w:val="nil"/>
              <w:bottom w:val="single" w:sz="4" w:space="0" w:color="auto"/>
              <w:right w:val="single" w:sz="4" w:space="0" w:color="auto"/>
            </w:tcBorders>
            <w:shd w:val="clear" w:color="auto" w:fill="auto"/>
            <w:noWrap/>
            <w:vAlign w:val="center"/>
            <w:hideMark/>
          </w:tcPr>
          <w:p w14:paraId="6E38FF2D"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80%</w:t>
            </w:r>
          </w:p>
        </w:tc>
      </w:tr>
      <w:tr w:rsidR="00B065F3" w:rsidRPr="00953B54" w14:paraId="4B53A204" w14:textId="77777777" w:rsidTr="005C262F">
        <w:trPr>
          <w:trHeight w:val="315"/>
          <w:jc w:val="center"/>
        </w:trPr>
        <w:tc>
          <w:tcPr>
            <w:tcW w:w="1233" w:type="dxa"/>
            <w:tcBorders>
              <w:top w:val="nil"/>
              <w:left w:val="single" w:sz="4" w:space="0" w:color="auto"/>
              <w:bottom w:val="single" w:sz="4" w:space="0" w:color="auto"/>
              <w:right w:val="single" w:sz="4" w:space="0" w:color="auto"/>
            </w:tcBorders>
            <w:shd w:val="clear" w:color="auto" w:fill="auto"/>
            <w:vAlign w:val="center"/>
            <w:hideMark/>
          </w:tcPr>
          <w:p w14:paraId="3B1E62A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F645130</w:t>
            </w:r>
          </w:p>
        </w:tc>
        <w:tc>
          <w:tcPr>
            <w:tcW w:w="3744" w:type="dxa"/>
            <w:tcBorders>
              <w:top w:val="nil"/>
              <w:left w:val="nil"/>
              <w:bottom w:val="single" w:sz="4" w:space="0" w:color="auto"/>
              <w:right w:val="single" w:sz="4" w:space="0" w:color="auto"/>
            </w:tcBorders>
            <w:shd w:val="clear" w:color="auto" w:fill="auto"/>
            <w:noWrap/>
            <w:vAlign w:val="center"/>
            <w:hideMark/>
          </w:tcPr>
          <w:p w14:paraId="17BBF850"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Vignettes Automobiles</w:t>
            </w:r>
          </w:p>
        </w:tc>
        <w:tc>
          <w:tcPr>
            <w:tcW w:w="1417" w:type="dxa"/>
            <w:tcBorders>
              <w:top w:val="nil"/>
              <w:left w:val="nil"/>
              <w:bottom w:val="single" w:sz="4" w:space="0" w:color="auto"/>
              <w:right w:val="single" w:sz="4" w:space="0" w:color="auto"/>
            </w:tcBorders>
            <w:shd w:val="clear" w:color="auto" w:fill="auto"/>
            <w:noWrap/>
            <w:vAlign w:val="center"/>
            <w:hideMark/>
          </w:tcPr>
          <w:p w14:paraId="2131E5C3"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xml:space="preserve">                         500   </w:t>
            </w:r>
          </w:p>
        </w:tc>
        <w:tc>
          <w:tcPr>
            <w:tcW w:w="992" w:type="dxa"/>
            <w:tcBorders>
              <w:top w:val="nil"/>
              <w:left w:val="nil"/>
              <w:bottom w:val="single" w:sz="4" w:space="0" w:color="auto"/>
              <w:right w:val="single" w:sz="4" w:space="0" w:color="auto"/>
            </w:tcBorders>
            <w:shd w:val="clear" w:color="auto" w:fill="auto"/>
            <w:noWrap/>
            <w:vAlign w:val="center"/>
            <w:hideMark/>
          </w:tcPr>
          <w:p w14:paraId="1248355F"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300   </w:t>
            </w:r>
          </w:p>
        </w:tc>
        <w:tc>
          <w:tcPr>
            <w:tcW w:w="993" w:type="dxa"/>
            <w:tcBorders>
              <w:top w:val="nil"/>
              <w:left w:val="nil"/>
              <w:bottom w:val="single" w:sz="4" w:space="0" w:color="auto"/>
              <w:right w:val="single" w:sz="4" w:space="0" w:color="auto"/>
            </w:tcBorders>
            <w:shd w:val="clear" w:color="auto" w:fill="auto"/>
            <w:noWrap/>
            <w:vAlign w:val="center"/>
            <w:hideMark/>
          </w:tcPr>
          <w:p w14:paraId="77343495"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300   </w:t>
            </w:r>
          </w:p>
        </w:tc>
        <w:tc>
          <w:tcPr>
            <w:tcW w:w="992" w:type="dxa"/>
            <w:tcBorders>
              <w:top w:val="nil"/>
              <w:left w:val="nil"/>
              <w:bottom w:val="single" w:sz="4" w:space="0" w:color="auto"/>
              <w:right w:val="single" w:sz="4" w:space="0" w:color="auto"/>
            </w:tcBorders>
            <w:shd w:val="clear" w:color="auto" w:fill="auto"/>
            <w:noWrap/>
            <w:vAlign w:val="center"/>
            <w:hideMark/>
          </w:tcPr>
          <w:p w14:paraId="28D22560"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60%</w:t>
            </w:r>
          </w:p>
        </w:tc>
        <w:tc>
          <w:tcPr>
            <w:tcW w:w="992" w:type="dxa"/>
            <w:tcBorders>
              <w:top w:val="nil"/>
              <w:left w:val="nil"/>
              <w:bottom w:val="single" w:sz="4" w:space="0" w:color="auto"/>
              <w:right w:val="single" w:sz="4" w:space="0" w:color="auto"/>
            </w:tcBorders>
            <w:shd w:val="clear" w:color="auto" w:fill="auto"/>
            <w:noWrap/>
            <w:vAlign w:val="center"/>
            <w:hideMark/>
          </w:tcPr>
          <w:p w14:paraId="20F0A76C"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60%</w:t>
            </w:r>
          </w:p>
        </w:tc>
      </w:tr>
      <w:tr w:rsidR="00B065F3" w:rsidRPr="00953B54" w14:paraId="65C5B718" w14:textId="77777777" w:rsidTr="005C262F">
        <w:trPr>
          <w:trHeight w:val="315"/>
          <w:jc w:val="center"/>
        </w:trPr>
        <w:tc>
          <w:tcPr>
            <w:tcW w:w="1233" w:type="dxa"/>
            <w:tcBorders>
              <w:top w:val="nil"/>
              <w:left w:val="single" w:sz="4" w:space="0" w:color="auto"/>
              <w:bottom w:val="single" w:sz="4" w:space="0" w:color="auto"/>
              <w:right w:val="single" w:sz="4" w:space="0" w:color="auto"/>
            </w:tcBorders>
            <w:shd w:val="clear" w:color="000000" w:fill="C6E0B4"/>
            <w:noWrap/>
            <w:vAlign w:val="center"/>
            <w:hideMark/>
          </w:tcPr>
          <w:p w14:paraId="627B4DBD"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744" w:type="dxa"/>
            <w:tcBorders>
              <w:top w:val="nil"/>
              <w:left w:val="nil"/>
              <w:bottom w:val="single" w:sz="4" w:space="0" w:color="auto"/>
              <w:right w:val="single" w:sz="4" w:space="0" w:color="auto"/>
            </w:tcBorders>
            <w:shd w:val="clear" w:color="000000" w:fill="C6E0B4"/>
            <w:noWrap/>
            <w:vAlign w:val="center"/>
            <w:hideMark/>
          </w:tcPr>
          <w:p w14:paraId="2F624725"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Total Impôts, Taxes  et Versement Assimilées (Compte 64) </w:t>
            </w:r>
          </w:p>
        </w:tc>
        <w:tc>
          <w:tcPr>
            <w:tcW w:w="1417" w:type="dxa"/>
            <w:tcBorders>
              <w:top w:val="nil"/>
              <w:left w:val="nil"/>
              <w:bottom w:val="single" w:sz="4" w:space="0" w:color="auto"/>
              <w:right w:val="single" w:sz="4" w:space="0" w:color="auto"/>
            </w:tcBorders>
            <w:shd w:val="clear" w:color="000000" w:fill="C6E0B4"/>
            <w:noWrap/>
            <w:vAlign w:val="center"/>
            <w:hideMark/>
          </w:tcPr>
          <w:p w14:paraId="6850171A"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xml:space="preserve">                      1 500   </w:t>
            </w:r>
          </w:p>
        </w:tc>
        <w:tc>
          <w:tcPr>
            <w:tcW w:w="992" w:type="dxa"/>
            <w:tcBorders>
              <w:top w:val="nil"/>
              <w:left w:val="nil"/>
              <w:bottom w:val="single" w:sz="4" w:space="0" w:color="auto"/>
              <w:right w:val="single" w:sz="4" w:space="0" w:color="auto"/>
            </w:tcBorders>
            <w:shd w:val="clear" w:color="000000" w:fill="C6E0B4"/>
            <w:noWrap/>
            <w:vAlign w:val="center"/>
            <w:hideMark/>
          </w:tcPr>
          <w:p w14:paraId="63933748"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 xml:space="preserve">                    1 300   </w:t>
            </w:r>
          </w:p>
        </w:tc>
        <w:tc>
          <w:tcPr>
            <w:tcW w:w="993" w:type="dxa"/>
            <w:tcBorders>
              <w:top w:val="nil"/>
              <w:left w:val="nil"/>
              <w:bottom w:val="single" w:sz="4" w:space="0" w:color="auto"/>
              <w:right w:val="single" w:sz="4" w:space="0" w:color="auto"/>
            </w:tcBorders>
            <w:shd w:val="clear" w:color="000000" w:fill="C6E0B4"/>
            <w:noWrap/>
            <w:vAlign w:val="center"/>
            <w:hideMark/>
          </w:tcPr>
          <w:p w14:paraId="21BCA225"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 xml:space="preserve">                 1 200   </w:t>
            </w:r>
          </w:p>
        </w:tc>
        <w:tc>
          <w:tcPr>
            <w:tcW w:w="992" w:type="dxa"/>
            <w:tcBorders>
              <w:top w:val="nil"/>
              <w:left w:val="nil"/>
              <w:bottom w:val="single" w:sz="4" w:space="0" w:color="auto"/>
              <w:right w:val="single" w:sz="4" w:space="0" w:color="auto"/>
            </w:tcBorders>
            <w:shd w:val="clear" w:color="000000" w:fill="C6E0B4"/>
            <w:noWrap/>
            <w:vAlign w:val="center"/>
            <w:hideMark/>
          </w:tcPr>
          <w:p w14:paraId="5CA528E0"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87%</w:t>
            </w:r>
          </w:p>
        </w:tc>
        <w:tc>
          <w:tcPr>
            <w:tcW w:w="992" w:type="dxa"/>
            <w:tcBorders>
              <w:top w:val="nil"/>
              <w:left w:val="nil"/>
              <w:bottom w:val="single" w:sz="4" w:space="0" w:color="auto"/>
              <w:right w:val="single" w:sz="4" w:space="0" w:color="auto"/>
            </w:tcBorders>
            <w:shd w:val="clear" w:color="000000" w:fill="C6E0B4"/>
            <w:noWrap/>
            <w:vAlign w:val="center"/>
            <w:hideMark/>
          </w:tcPr>
          <w:p w14:paraId="471E057F"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80%</w:t>
            </w:r>
          </w:p>
        </w:tc>
      </w:tr>
    </w:tbl>
    <w:p w14:paraId="6D0E0B60" w14:textId="799C1DD4" w:rsidR="00B065F3" w:rsidRPr="00CB47FD" w:rsidRDefault="00B065F3" w:rsidP="00AE3850">
      <w:pPr>
        <w:spacing w:line="360" w:lineRule="auto"/>
        <w:jc w:val="both"/>
        <w:rPr>
          <w:rFonts w:asciiTheme="majorBidi" w:eastAsia="Times New Roman" w:hAnsiTheme="majorBidi" w:cstheme="majorBidi"/>
          <w:b/>
          <w:bCs/>
          <w:lang w:eastAsia="fr-FR"/>
        </w:rPr>
      </w:pPr>
      <w:r w:rsidRPr="00CB47FD">
        <w:rPr>
          <w:rFonts w:asciiTheme="majorBidi" w:eastAsia="Times New Roman" w:hAnsiTheme="majorBidi" w:cstheme="majorBidi"/>
          <w:b/>
          <w:bCs/>
          <w:lang w:eastAsia="fr-FR"/>
        </w:rPr>
        <w:t>Source : DOT de Beni Messous – Département Budget</w:t>
      </w:r>
    </w:p>
    <w:p w14:paraId="4ED76526" w14:textId="293EBD95" w:rsidR="00B065F3" w:rsidRPr="007D594C"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76" w:name="_Toc199314774"/>
      <w:r w:rsidRPr="007D594C">
        <w:rPr>
          <w:rFonts w:asciiTheme="majorBidi" w:hAnsiTheme="majorBidi" w:cstheme="majorBidi"/>
          <w:b/>
          <w:bCs/>
          <w:i w:val="0"/>
          <w:iCs w:val="0"/>
          <w:color w:val="auto"/>
          <w:sz w:val="24"/>
          <w:szCs w:val="24"/>
        </w:rPr>
        <w:lastRenderedPageBreak/>
        <w:t xml:space="preserve">Figure N°2- </w:t>
      </w:r>
      <w:r w:rsidRPr="007D594C">
        <w:rPr>
          <w:rFonts w:asciiTheme="majorBidi" w:hAnsiTheme="majorBidi" w:cstheme="majorBidi"/>
          <w:b/>
          <w:bCs/>
          <w:i w:val="0"/>
          <w:iCs w:val="0"/>
          <w:color w:val="auto"/>
          <w:sz w:val="24"/>
          <w:szCs w:val="24"/>
        </w:rPr>
        <w:fldChar w:fldCharType="begin"/>
      </w:r>
      <w:r w:rsidRPr="007D594C">
        <w:rPr>
          <w:rFonts w:asciiTheme="majorBidi" w:hAnsiTheme="majorBidi" w:cstheme="majorBidi"/>
          <w:b/>
          <w:bCs/>
          <w:i w:val="0"/>
          <w:iCs w:val="0"/>
          <w:color w:val="auto"/>
          <w:sz w:val="24"/>
          <w:szCs w:val="24"/>
        </w:rPr>
        <w:instrText xml:space="preserve"> SEQ Figure_N°2- \* ARABIC </w:instrText>
      </w:r>
      <w:r w:rsidRPr="007D594C">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8</w:t>
      </w:r>
      <w:r w:rsidRPr="007D594C">
        <w:rPr>
          <w:rFonts w:asciiTheme="majorBidi" w:hAnsiTheme="majorBidi" w:cstheme="majorBidi"/>
          <w:b/>
          <w:bCs/>
          <w:i w:val="0"/>
          <w:iCs w:val="0"/>
          <w:color w:val="auto"/>
          <w:sz w:val="24"/>
          <w:szCs w:val="24"/>
        </w:rPr>
        <w:fldChar w:fldCharType="end"/>
      </w:r>
      <w:r w:rsidRPr="007D594C">
        <w:rPr>
          <w:rFonts w:asciiTheme="majorBidi" w:hAnsiTheme="majorBidi" w:cstheme="majorBidi"/>
          <w:b/>
          <w:bCs/>
          <w:i w:val="0"/>
          <w:iCs w:val="0"/>
          <w:color w:val="auto"/>
          <w:sz w:val="24"/>
          <w:szCs w:val="24"/>
        </w:rPr>
        <w:t>: Histogramme de l’exécution budgétaire – Compte 64 : Impôts, taxes et versements assimilés</w:t>
      </w:r>
      <w:bookmarkEnd w:id="176"/>
    </w:p>
    <w:p w14:paraId="385045A3"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noProof/>
          <w:lang w:eastAsia="fr-FR"/>
        </w:rPr>
        <w:drawing>
          <wp:inline distT="0" distB="0" distL="0" distR="0" wp14:anchorId="00860FCA" wp14:editId="38A8170F">
            <wp:extent cx="6243046" cy="2802822"/>
            <wp:effectExtent l="0" t="0" r="5715" b="0"/>
            <wp:docPr id="21" name="Image 21" descr="C:\Users\HP\Downloads\FBBC99A8-678D-40DA-ABF3-9B211F62C10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ownloads\FBBC99A8-678D-40DA-ABF3-9B211F62C10F.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258839" cy="2809912"/>
                    </a:xfrm>
                    <a:prstGeom prst="rect">
                      <a:avLst/>
                    </a:prstGeom>
                    <a:noFill/>
                    <a:ln>
                      <a:noFill/>
                    </a:ln>
                  </pic:spPr>
                </pic:pic>
              </a:graphicData>
            </a:graphic>
          </wp:inline>
        </w:drawing>
      </w:r>
    </w:p>
    <w:p w14:paraId="7A8C4817" w14:textId="77777777" w:rsidR="00B065F3" w:rsidRPr="007D594C" w:rsidRDefault="00B065F3" w:rsidP="00AE3850">
      <w:pPr>
        <w:spacing w:line="360" w:lineRule="auto"/>
        <w:jc w:val="both"/>
        <w:rPr>
          <w:rFonts w:asciiTheme="majorBidi" w:hAnsiTheme="majorBidi" w:cstheme="majorBidi"/>
          <w:b/>
          <w:bCs/>
        </w:rPr>
      </w:pPr>
      <w:r w:rsidRPr="007D594C">
        <w:rPr>
          <w:rFonts w:asciiTheme="majorBidi" w:eastAsia="Times New Roman" w:hAnsiTheme="majorBidi" w:cstheme="majorBidi"/>
          <w:b/>
          <w:bCs/>
          <w:lang w:eastAsia="fr-FR"/>
        </w:rPr>
        <w:t xml:space="preserve"> </w:t>
      </w:r>
      <w:r w:rsidRPr="007D594C">
        <w:rPr>
          <w:rFonts w:asciiTheme="majorBidi" w:hAnsiTheme="majorBidi" w:cstheme="majorBidi"/>
          <w:b/>
          <w:bCs/>
        </w:rPr>
        <w:t>Source : Élaboré par les étudiants selon les données de la DFC de la DOT de Beni Messous</w:t>
      </w:r>
    </w:p>
    <w:p w14:paraId="72B69E4D" w14:textId="77777777" w:rsidR="00B065F3"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Commentaire :</w:t>
      </w:r>
    </w:p>
    <w:p w14:paraId="62E3EB3A" w14:textId="77777777" w:rsidR="00B065F3" w:rsidRPr="00953B54" w:rsidRDefault="00B065F3" w:rsidP="00AE3850">
      <w:pPr>
        <w:spacing w:line="360" w:lineRule="auto"/>
        <w:ind w:firstLine="708"/>
        <w:jc w:val="both"/>
        <w:rPr>
          <w:rFonts w:asciiTheme="majorBidi" w:eastAsia="Times New Roman" w:hAnsiTheme="majorBidi" w:cstheme="majorBidi"/>
          <w:lang w:eastAsia="fr-FR"/>
        </w:rPr>
      </w:pPr>
      <w:r w:rsidRPr="00953B54">
        <w:rPr>
          <w:rFonts w:asciiTheme="majorBidi" w:hAnsiTheme="majorBidi" w:cstheme="majorBidi"/>
        </w:rPr>
        <w:t>Le compte 64 présente une exécution modérée avec un taux d’engagement de 87 % et un taux de réalisation de 80 %. Si les droits d’enregistrement sont exécutés à 100 %, les droits de timbre et les vignettes automobiles affichent des réalisations partielles (respectivement 80 % et 60 %). Ces écarts peuvent résulter de reports d’échéances, d’exonérations ou d’une diminution des besoins réels. Malgré cela, ce poste reste bien encadré et ne constitue pas une source majeure de déséquilibre budgétaire</w:t>
      </w:r>
    </w:p>
    <w:p w14:paraId="5CC408A1" w14:textId="77777777" w:rsidR="00B065F3" w:rsidRPr="00953B54" w:rsidRDefault="00B065F3" w:rsidP="00AE3850">
      <w:pPr>
        <w:spacing w:line="360" w:lineRule="auto"/>
        <w:jc w:val="both"/>
        <w:rPr>
          <w:rFonts w:asciiTheme="majorBidi" w:hAnsiTheme="majorBidi" w:cstheme="majorBidi"/>
          <w:b/>
          <w:bCs/>
        </w:rPr>
      </w:pPr>
    </w:p>
    <w:p w14:paraId="678BEC4A" w14:textId="77777777" w:rsidR="00B065F3" w:rsidRDefault="00B065F3" w:rsidP="00AE3850">
      <w:pPr>
        <w:spacing w:line="360" w:lineRule="auto"/>
        <w:jc w:val="both"/>
        <w:rPr>
          <w:rFonts w:asciiTheme="majorBidi" w:hAnsiTheme="majorBidi" w:cstheme="majorBidi"/>
          <w:b/>
          <w:bCs/>
        </w:rPr>
      </w:pPr>
      <w:r>
        <w:rPr>
          <w:rFonts w:asciiTheme="majorBidi" w:hAnsiTheme="majorBidi" w:cstheme="majorBidi"/>
          <w:b/>
          <w:bCs/>
          <w:i/>
          <w:iCs/>
        </w:rPr>
        <w:br w:type="page"/>
      </w:r>
    </w:p>
    <w:p w14:paraId="7DF4D0FC" w14:textId="2C1988BE" w:rsidR="00B065F3" w:rsidRPr="00DD7C06" w:rsidRDefault="00B065F3" w:rsidP="000630FE">
      <w:pPr>
        <w:pStyle w:val="Lgende"/>
        <w:keepNext/>
        <w:spacing w:line="360" w:lineRule="auto"/>
        <w:jc w:val="both"/>
        <w:rPr>
          <w:rFonts w:asciiTheme="majorBidi" w:hAnsiTheme="majorBidi" w:cstheme="majorBidi"/>
          <w:b/>
          <w:bCs/>
          <w:i w:val="0"/>
          <w:iCs w:val="0"/>
          <w:color w:val="auto"/>
          <w:sz w:val="24"/>
          <w:szCs w:val="24"/>
        </w:rPr>
      </w:pPr>
      <w:bookmarkStart w:id="177" w:name="_Toc199314994"/>
      <w:r w:rsidRPr="00DD7C06">
        <w:rPr>
          <w:rFonts w:asciiTheme="majorBidi" w:hAnsiTheme="majorBidi" w:cstheme="majorBidi"/>
          <w:b/>
          <w:bCs/>
          <w:i w:val="0"/>
          <w:iCs w:val="0"/>
          <w:color w:val="auto"/>
          <w:sz w:val="24"/>
          <w:szCs w:val="24"/>
        </w:rPr>
        <w:lastRenderedPageBreak/>
        <w:t xml:space="preserve">Tableau N°2- </w:t>
      </w:r>
      <w:r w:rsidRPr="00DD7C06">
        <w:rPr>
          <w:rFonts w:asciiTheme="majorBidi" w:hAnsiTheme="majorBidi" w:cstheme="majorBidi"/>
          <w:b/>
          <w:bCs/>
          <w:i w:val="0"/>
          <w:iCs w:val="0"/>
          <w:color w:val="auto"/>
          <w:sz w:val="24"/>
          <w:szCs w:val="24"/>
        </w:rPr>
        <w:fldChar w:fldCharType="begin"/>
      </w:r>
      <w:r w:rsidRPr="00DD7C06">
        <w:rPr>
          <w:rFonts w:asciiTheme="majorBidi" w:hAnsiTheme="majorBidi" w:cstheme="majorBidi"/>
          <w:b/>
          <w:bCs/>
          <w:i w:val="0"/>
          <w:iCs w:val="0"/>
          <w:color w:val="auto"/>
          <w:sz w:val="24"/>
          <w:szCs w:val="24"/>
        </w:rPr>
        <w:instrText xml:space="preserve"> SEQ Tableau_N°2- \* ARABIC </w:instrText>
      </w:r>
      <w:r w:rsidRPr="00DD7C06">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6</w:t>
      </w:r>
      <w:r w:rsidRPr="00DD7C06">
        <w:rPr>
          <w:rFonts w:asciiTheme="majorBidi" w:hAnsiTheme="majorBidi" w:cstheme="majorBidi"/>
          <w:b/>
          <w:bCs/>
          <w:i w:val="0"/>
          <w:iCs w:val="0"/>
          <w:color w:val="auto"/>
          <w:sz w:val="24"/>
          <w:szCs w:val="24"/>
        </w:rPr>
        <w:fldChar w:fldCharType="end"/>
      </w:r>
      <w:r w:rsidRPr="00DD7C06">
        <w:rPr>
          <w:rFonts w:asciiTheme="majorBidi" w:hAnsiTheme="majorBidi" w:cstheme="majorBidi"/>
          <w:b/>
          <w:bCs/>
          <w:i w:val="0"/>
          <w:iCs w:val="0"/>
          <w:color w:val="auto"/>
          <w:sz w:val="24"/>
          <w:szCs w:val="24"/>
        </w:rPr>
        <w:t>: Exécution budgétaire – Compte 65 : Autres charges opérationnelles (</w:t>
      </w:r>
      <w:r w:rsidR="000630FE">
        <w:rPr>
          <w:rFonts w:asciiTheme="majorBidi" w:hAnsiTheme="majorBidi" w:cstheme="majorBidi"/>
          <w:b/>
          <w:bCs/>
          <w:i w:val="0"/>
          <w:iCs w:val="0"/>
          <w:color w:val="auto"/>
          <w:sz w:val="24"/>
          <w:szCs w:val="24"/>
        </w:rPr>
        <w:t>en KDA</w:t>
      </w:r>
      <w:r w:rsidRPr="00DD7C06">
        <w:rPr>
          <w:rFonts w:asciiTheme="majorBidi" w:hAnsiTheme="majorBidi" w:cstheme="majorBidi"/>
          <w:b/>
          <w:bCs/>
          <w:i w:val="0"/>
          <w:iCs w:val="0"/>
          <w:color w:val="auto"/>
          <w:sz w:val="24"/>
          <w:szCs w:val="24"/>
        </w:rPr>
        <w:t>)</w:t>
      </w:r>
      <w:bookmarkEnd w:id="177"/>
    </w:p>
    <w:tbl>
      <w:tblPr>
        <w:tblW w:w="10363" w:type="dxa"/>
        <w:jc w:val="center"/>
        <w:tblCellMar>
          <w:left w:w="70" w:type="dxa"/>
          <w:right w:w="70" w:type="dxa"/>
        </w:tblCellMar>
        <w:tblLook w:val="04A0" w:firstRow="1" w:lastRow="0" w:firstColumn="1" w:lastColumn="0" w:noHBand="0" w:noVBand="1"/>
      </w:tblPr>
      <w:tblGrid>
        <w:gridCol w:w="1271"/>
        <w:gridCol w:w="3544"/>
        <w:gridCol w:w="1579"/>
        <w:gridCol w:w="992"/>
        <w:gridCol w:w="993"/>
        <w:gridCol w:w="992"/>
        <w:gridCol w:w="992"/>
      </w:tblGrid>
      <w:tr w:rsidR="00B065F3" w:rsidRPr="00953B54" w14:paraId="0FC7531B" w14:textId="77777777" w:rsidTr="002F3A91">
        <w:trPr>
          <w:trHeight w:val="315"/>
          <w:jc w:val="center"/>
        </w:trPr>
        <w:tc>
          <w:tcPr>
            <w:tcW w:w="1271" w:type="dxa"/>
            <w:tcBorders>
              <w:top w:val="single" w:sz="4" w:space="0" w:color="auto"/>
              <w:left w:val="single" w:sz="4" w:space="0" w:color="auto"/>
              <w:bottom w:val="single" w:sz="4" w:space="0" w:color="auto"/>
              <w:right w:val="single" w:sz="4" w:space="0" w:color="auto"/>
            </w:tcBorders>
            <w:shd w:val="clear" w:color="000000" w:fill="D9E1F2"/>
            <w:noWrap/>
            <w:vAlign w:val="center"/>
          </w:tcPr>
          <w:p w14:paraId="34024849"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Code</w:t>
            </w:r>
          </w:p>
        </w:tc>
        <w:tc>
          <w:tcPr>
            <w:tcW w:w="3544" w:type="dxa"/>
            <w:tcBorders>
              <w:top w:val="single" w:sz="4" w:space="0" w:color="auto"/>
              <w:left w:val="nil"/>
              <w:bottom w:val="single" w:sz="4" w:space="0" w:color="auto"/>
              <w:right w:val="single" w:sz="4" w:space="0" w:color="auto"/>
            </w:tcBorders>
            <w:shd w:val="clear" w:color="000000" w:fill="D9E1F2"/>
            <w:noWrap/>
            <w:vAlign w:val="center"/>
          </w:tcPr>
          <w:p w14:paraId="569BF25C"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Désignation</w:t>
            </w:r>
          </w:p>
        </w:tc>
        <w:tc>
          <w:tcPr>
            <w:tcW w:w="1579" w:type="dxa"/>
            <w:tcBorders>
              <w:top w:val="single" w:sz="4" w:space="0" w:color="auto"/>
              <w:left w:val="nil"/>
              <w:bottom w:val="single" w:sz="4" w:space="0" w:color="auto"/>
              <w:right w:val="single" w:sz="4" w:space="0" w:color="auto"/>
            </w:tcBorders>
            <w:shd w:val="clear" w:color="000000" w:fill="D9E1F2"/>
            <w:noWrap/>
            <w:vAlign w:val="center"/>
          </w:tcPr>
          <w:p w14:paraId="37AD8518"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Budget 2023 (1)</w:t>
            </w:r>
          </w:p>
        </w:tc>
        <w:tc>
          <w:tcPr>
            <w:tcW w:w="992" w:type="dxa"/>
            <w:tcBorders>
              <w:top w:val="single" w:sz="4" w:space="0" w:color="auto"/>
              <w:left w:val="nil"/>
              <w:bottom w:val="single" w:sz="4" w:space="0" w:color="auto"/>
              <w:right w:val="single" w:sz="4" w:space="0" w:color="auto"/>
            </w:tcBorders>
            <w:shd w:val="clear" w:color="000000" w:fill="D9E1F2"/>
            <w:noWrap/>
            <w:vAlign w:val="center"/>
          </w:tcPr>
          <w:p w14:paraId="16D7C31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cumul Engag au,,, (2)</w:t>
            </w:r>
          </w:p>
        </w:tc>
        <w:tc>
          <w:tcPr>
            <w:tcW w:w="993" w:type="dxa"/>
            <w:tcBorders>
              <w:top w:val="single" w:sz="4" w:space="0" w:color="auto"/>
              <w:left w:val="nil"/>
              <w:bottom w:val="single" w:sz="4" w:space="0" w:color="auto"/>
              <w:right w:val="single" w:sz="4" w:space="0" w:color="auto"/>
            </w:tcBorders>
            <w:shd w:val="clear" w:color="000000" w:fill="D9E1F2"/>
            <w:noWrap/>
            <w:vAlign w:val="center"/>
          </w:tcPr>
          <w:p w14:paraId="6E64D765"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cumul Réal au,,,,, (3)</w:t>
            </w:r>
          </w:p>
        </w:tc>
        <w:tc>
          <w:tcPr>
            <w:tcW w:w="992" w:type="dxa"/>
            <w:tcBorders>
              <w:top w:val="single" w:sz="4" w:space="0" w:color="auto"/>
              <w:left w:val="nil"/>
              <w:bottom w:val="single" w:sz="4" w:space="0" w:color="auto"/>
              <w:right w:val="single" w:sz="4" w:space="0" w:color="auto"/>
            </w:tcBorders>
            <w:shd w:val="clear" w:color="000000" w:fill="D9E1F2"/>
            <w:noWrap/>
            <w:vAlign w:val="center"/>
          </w:tcPr>
          <w:p w14:paraId="2DA82FC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Taux d'engag  (2)/(1)</w:t>
            </w:r>
          </w:p>
        </w:tc>
        <w:tc>
          <w:tcPr>
            <w:tcW w:w="992" w:type="dxa"/>
            <w:tcBorders>
              <w:top w:val="single" w:sz="4" w:space="0" w:color="auto"/>
              <w:left w:val="nil"/>
              <w:bottom w:val="single" w:sz="4" w:space="0" w:color="auto"/>
              <w:right w:val="single" w:sz="4" w:space="0" w:color="auto"/>
            </w:tcBorders>
            <w:shd w:val="clear" w:color="000000" w:fill="D9E1F2"/>
            <w:noWrap/>
            <w:vAlign w:val="center"/>
          </w:tcPr>
          <w:p w14:paraId="283EE441"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Taux de Réal (3)/(1)</w:t>
            </w:r>
          </w:p>
        </w:tc>
      </w:tr>
      <w:tr w:rsidR="00B065F3" w:rsidRPr="00953B54" w14:paraId="16837C16" w14:textId="77777777" w:rsidTr="002F3A91">
        <w:trPr>
          <w:trHeight w:val="315"/>
          <w:jc w:val="center"/>
        </w:trPr>
        <w:tc>
          <w:tcPr>
            <w:tcW w:w="1271"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6CCBDCD7"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544" w:type="dxa"/>
            <w:tcBorders>
              <w:top w:val="single" w:sz="4" w:space="0" w:color="auto"/>
              <w:left w:val="nil"/>
              <w:bottom w:val="single" w:sz="4" w:space="0" w:color="auto"/>
              <w:right w:val="single" w:sz="4" w:space="0" w:color="auto"/>
            </w:tcBorders>
            <w:shd w:val="clear" w:color="000000" w:fill="D9E1F2"/>
            <w:noWrap/>
            <w:vAlign w:val="center"/>
            <w:hideMark/>
          </w:tcPr>
          <w:p w14:paraId="63E4207C"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Autres Charges Opérationnelles (Compte 65)</w:t>
            </w:r>
          </w:p>
        </w:tc>
        <w:tc>
          <w:tcPr>
            <w:tcW w:w="1579" w:type="dxa"/>
            <w:tcBorders>
              <w:top w:val="single" w:sz="4" w:space="0" w:color="auto"/>
              <w:left w:val="nil"/>
              <w:bottom w:val="single" w:sz="4" w:space="0" w:color="auto"/>
              <w:right w:val="single" w:sz="4" w:space="0" w:color="auto"/>
            </w:tcBorders>
            <w:shd w:val="clear" w:color="000000" w:fill="D9E1F2"/>
            <w:noWrap/>
            <w:vAlign w:val="center"/>
            <w:hideMark/>
          </w:tcPr>
          <w:p w14:paraId="41BF22F8"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2" w:type="dxa"/>
            <w:tcBorders>
              <w:top w:val="single" w:sz="4" w:space="0" w:color="auto"/>
              <w:left w:val="nil"/>
              <w:bottom w:val="single" w:sz="4" w:space="0" w:color="auto"/>
              <w:right w:val="single" w:sz="4" w:space="0" w:color="auto"/>
            </w:tcBorders>
            <w:shd w:val="clear" w:color="000000" w:fill="D9E1F2"/>
            <w:noWrap/>
            <w:vAlign w:val="center"/>
            <w:hideMark/>
          </w:tcPr>
          <w:p w14:paraId="5CAD497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3" w:type="dxa"/>
            <w:tcBorders>
              <w:top w:val="single" w:sz="4" w:space="0" w:color="auto"/>
              <w:left w:val="nil"/>
              <w:bottom w:val="single" w:sz="4" w:space="0" w:color="auto"/>
              <w:right w:val="single" w:sz="4" w:space="0" w:color="auto"/>
            </w:tcBorders>
            <w:shd w:val="clear" w:color="000000" w:fill="D9E1F2"/>
            <w:noWrap/>
            <w:vAlign w:val="center"/>
            <w:hideMark/>
          </w:tcPr>
          <w:p w14:paraId="7EE8AEC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2" w:type="dxa"/>
            <w:tcBorders>
              <w:top w:val="single" w:sz="4" w:space="0" w:color="auto"/>
              <w:left w:val="nil"/>
              <w:bottom w:val="single" w:sz="4" w:space="0" w:color="auto"/>
              <w:right w:val="single" w:sz="4" w:space="0" w:color="auto"/>
            </w:tcBorders>
            <w:shd w:val="clear" w:color="000000" w:fill="D9E1F2"/>
            <w:noWrap/>
            <w:vAlign w:val="center"/>
            <w:hideMark/>
          </w:tcPr>
          <w:p w14:paraId="3F86D460"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c>
          <w:tcPr>
            <w:tcW w:w="992" w:type="dxa"/>
            <w:tcBorders>
              <w:top w:val="single" w:sz="4" w:space="0" w:color="auto"/>
              <w:left w:val="nil"/>
              <w:bottom w:val="single" w:sz="4" w:space="0" w:color="auto"/>
              <w:right w:val="single" w:sz="4" w:space="0" w:color="auto"/>
            </w:tcBorders>
            <w:shd w:val="clear" w:color="000000" w:fill="D9E1F2"/>
            <w:noWrap/>
            <w:vAlign w:val="center"/>
            <w:hideMark/>
          </w:tcPr>
          <w:p w14:paraId="328E41EA"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w:t>
            </w:r>
          </w:p>
        </w:tc>
      </w:tr>
      <w:tr w:rsidR="00B065F3" w:rsidRPr="00953B54" w14:paraId="21DA5DA4" w14:textId="77777777" w:rsidTr="002F3A91">
        <w:trPr>
          <w:trHeight w:val="315"/>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4D3C15CF"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F656100</w:t>
            </w:r>
          </w:p>
        </w:tc>
        <w:tc>
          <w:tcPr>
            <w:tcW w:w="3544" w:type="dxa"/>
            <w:tcBorders>
              <w:top w:val="nil"/>
              <w:left w:val="nil"/>
              <w:bottom w:val="single" w:sz="4" w:space="0" w:color="auto"/>
              <w:right w:val="single" w:sz="4" w:space="0" w:color="auto"/>
            </w:tcBorders>
            <w:shd w:val="clear" w:color="auto" w:fill="auto"/>
            <w:noWrap/>
            <w:vAlign w:val="center"/>
            <w:hideMark/>
          </w:tcPr>
          <w:p w14:paraId="151D7A6C"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Pénalités et Amendes Fiscales</w:t>
            </w:r>
          </w:p>
        </w:tc>
        <w:tc>
          <w:tcPr>
            <w:tcW w:w="1579" w:type="dxa"/>
            <w:tcBorders>
              <w:top w:val="nil"/>
              <w:left w:val="nil"/>
              <w:bottom w:val="single" w:sz="4" w:space="0" w:color="auto"/>
              <w:right w:val="single" w:sz="4" w:space="0" w:color="auto"/>
            </w:tcBorders>
            <w:shd w:val="clear" w:color="auto" w:fill="auto"/>
            <w:noWrap/>
            <w:vAlign w:val="center"/>
            <w:hideMark/>
          </w:tcPr>
          <w:p w14:paraId="26EE3B02"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xml:space="preserve">                         100   </w:t>
            </w:r>
          </w:p>
        </w:tc>
        <w:tc>
          <w:tcPr>
            <w:tcW w:w="992" w:type="dxa"/>
            <w:tcBorders>
              <w:top w:val="nil"/>
              <w:left w:val="nil"/>
              <w:bottom w:val="single" w:sz="4" w:space="0" w:color="auto"/>
              <w:right w:val="single" w:sz="4" w:space="0" w:color="auto"/>
            </w:tcBorders>
            <w:shd w:val="clear" w:color="auto" w:fill="auto"/>
            <w:noWrap/>
            <w:vAlign w:val="center"/>
            <w:hideMark/>
          </w:tcPr>
          <w:p w14:paraId="1C5A70EE"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50   </w:t>
            </w:r>
          </w:p>
        </w:tc>
        <w:tc>
          <w:tcPr>
            <w:tcW w:w="993" w:type="dxa"/>
            <w:tcBorders>
              <w:top w:val="nil"/>
              <w:left w:val="nil"/>
              <w:bottom w:val="single" w:sz="4" w:space="0" w:color="auto"/>
              <w:right w:val="single" w:sz="4" w:space="0" w:color="auto"/>
            </w:tcBorders>
            <w:shd w:val="clear" w:color="auto" w:fill="auto"/>
            <w:noWrap/>
            <w:vAlign w:val="center"/>
            <w:hideMark/>
          </w:tcPr>
          <w:p w14:paraId="54AB0C96"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50   </w:t>
            </w:r>
          </w:p>
        </w:tc>
        <w:tc>
          <w:tcPr>
            <w:tcW w:w="992" w:type="dxa"/>
            <w:tcBorders>
              <w:top w:val="nil"/>
              <w:left w:val="nil"/>
              <w:bottom w:val="single" w:sz="4" w:space="0" w:color="auto"/>
              <w:right w:val="single" w:sz="4" w:space="0" w:color="auto"/>
            </w:tcBorders>
            <w:shd w:val="clear" w:color="auto" w:fill="auto"/>
            <w:noWrap/>
            <w:vAlign w:val="center"/>
            <w:hideMark/>
          </w:tcPr>
          <w:p w14:paraId="410EC430"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50%</w:t>
            </w:r>
          </w:p>
        </w:tc>
        <w:tc>
          <w:tcPr>
            <w:tcW w:w="992" w:type="dxa"/>
            <w:tcBorders>
              <w:top w:val="nil"/>
              <w:left w:val="nil"/>
              <w:bottom w:val="single" w:sz="4" w:space="0" w:color="auto"/>
              <w:right w:val="single" w:sz="4" w:space="0" w:color="auto"/>
            </w:tcBorders>
            <w:shd w:val="clear" w:color="auto" w:fill="auto"/>
            <w:noWrap/>
            <w:vAlign w:val="center"/>
            <w:hideMark/>
          </w:tcPr>
          <w:p w14:paraId="6E893C47"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50%</w:t>
            </w:r>
          </w:p>
        </w:tc>
      </w:tr>
      <w:tr w:rsidR="00B065F3" w:rsidRPr="00953B54" w14:paraId="1CC8C92D" w14:textId="77777777" w:rsidTr="002F3A91">
        <w:trPr>
          <w:trHeight w:val="315"/>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51471B24"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F657800</w:t>
            </w:r>
          </w:p>
        </w:tc>
        <w:tc>
          <w:tcPr>
            <w:tcW w:w="3544" w:type="dxa"/>
            <w:tcBorders>
              <w:top w:val="nil"/>
              <w:left w:val="nil"/>
              <w:bottom w:val="single" w:sz="4" w:space="0" w:color="auto"/>
              <w:right w:val="single" w:sz="4" w:space="0" w:color="auto"/>
            </w:tcBorders>
            <w:shd w:val="clear" w:color="auto" w:fill="auto"/>
            <w:noWrap/>
            <w:vAlign w:val="center"/>
            <w:hideMark/>
          </w:tcPr>
          <w:p w14:paraId="2FE9279E"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Autres Charges Exceptionnelles</w:t>
            </w:r>
          </w:p>
        </w:tc>
        <w:tc>
          <w:tcPr>
            <w:tcW w:w="1579" w:type="dxa"/>
            <w:tcBorders>
              <w:top w:val="nil"/>
              <w:left w:val="nil"/>
              <w:bottom w:val="single" w:sz="4" w:space="0" w:color="auto"/>
              <w:right w:val="single" w:sz="4" w:space="0" w:color="auto"/>
            </w:tcBorders>
            <w:shd w:val="clear" w:color="auto" w:fill="auto"/>
            <w:noWrap/>
            <w:vAlign w:val="center"/>
            <w:hideMark/>
          </w:tcPr>
          <w:p w14:paraId="1EA1B5B0" w14:textId="77777777" w:rsidR="00B065F3" w:rsidRPr="00953B54" w:rsidRDefault="00B065F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xml:space="preserve">                      5 000   </w:t>
            </w:r>
          </w:p>
        </w:tc>
        <w:tc>
          <w:tcPr>
            <w:tcW w:w="992" w:type="dxa"/>
            <w:tcBorders>
              <w:top w:val="nil"/>
              <w:left w:val="nil"/>
              <w:bottom w:val="single" w:sz="4" w:space="0" w:color="auto"/>
              <w:right w:val="single" w:sz="4" w:space="0" w:color="auto"/>
            </w:tcBorders>
            <w:shd w:val="clear" w:color="auto" w:fill="auto"/>
            <w:noWrap/>
            <w:vAlign w:val="center"/>
            <w:hideMark/>
          </w:tcPr>
          <w:p w14:paraId="3CC3D9E2"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4 000   </w:t>
            </w:r>
          </w:p>
        </w:tc>
        <w:tc>
          <w:tcPr>
            <w:tcW w:w="993" w:type="dxa"/>
            <w:tcBorders>
              <w:top w:val="nil"/>
              <w:left w:val="nil"/>
              <w:bottom w:val="single" w:sz="4" w:space="0" w:color="auto"/>
              <w:right w:val="single" w:sz="4" w:space="0" w:color="auto"/>
            </w:tcBorders>
            <w:shd w:val="clear" w:color="auto" w:fill="auto"/>
            <w:noWrap/>
            <w:vAlign w:val="center"/>
            <w:hideMark/>
          </w:tcPr>
          <w:p w14:paraId="408A8EBD"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 xml:space="preserve">                 4 000   </w:t>
            </w:r>
          </w:p>
        </w:tc>
        <w:tc>
          <w:tcPr>
            <w:tcW w:w="992" w:type="dxa"/>
            <w:tcBorders>
              <w:top w:val="nil"/>
              <w:left w:val="nil"/>
              <w:bottom w:val="single" w:sz="4" w:space="0" w:color="auto"/>
              <w:right w:val="single" w:sz="4" w:space="0" w:color="auto"/>
            </w:tcBorders>
            <w:shd w:val="clear" w:color="auto" w:fill="auto"/>
            <w:noWrap/>
            <w:vAlign w:val="center"/>
            <w:hideMark/>
          </w:tcPr>
          <w:p w14:paraId="1E92C81F"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80%</w:t>
            </w:r>
          </w:p>
        </w:tc>
        <w:tc>
          <w:tcPr>
            <w:tcW w:w="992" w:type="dxa"/>
            <w:tcBorders>
              <w:top w:val="nil"/>
              <w:left w:val="nil"/>
              <w:bottom w:val="single" w:sz="4" w:space="0" w:color="auto"/>
              <w:right w:val="single" w:sz="4" w:space="0" w:color="auto"/>
            </w:tcBorders>
            <w:shd w:val="clear" w:color="auto" w:fill="auto"/>
            <w:noWrap/>
            <w:vAlign w:val="center"/>
            <w:hideMark/>
          </w:tcPr>
          <w:p w14:paraId="0014107A" w14:textId="77777777" w:rsidR="00B065F3" w:rsidRPr="00953B54" w:rsidRDefault="00B065F3" w:rsidP="00AE3850">
            <w:pPr>
              <w:spacing w:line="360" w:lineRule="auto"/>
              <w:jc w:val="both"/>
              <w:rPr>
                <w:rFonts w:asciiTheme="majorBidi" w:hAnsiTheme="majorBidi" w:cstheme="majorBidi"/>
              </w:rPr>
            </w:pPr>
            <w:r w:rsidRPr="00953B54">
              <w:rPr>
                <w:rFonts w:asciiTheme="majorBidi" w:hAnsiTheme="majorBidi" w:cstheme="majorBidi"/>
              </w:rPr>
              <w:t>80%</w:t>
            </w:r>
          </w:p>
        </w:tc>
      </w:tr>
      <w:tr w:rsidR="00B065F3" w:rsidRPr="00953B54" w14:paraId="2E4040FC" w14:textId="77777777" w:rsidTr="002F3A91">
        <w:trPr>
          <w:trHeight w:val="315"/>
          <w:jc w:val="center"/>
        </w:trPr>
        <w:tc>
          <w:tcPr>
            <w:tcW w:w="1271" w:type="dxa"/>
            <w:tcBorders>
              <w:top w:val="nil"/>
              <w:left w:val="single" w:sz="4" w:space="0" w:color="auto"/>
              <w:bottom w:val="nil"/>
              <w:right w:val="single" w:sz="4" w:space="0" w:color="auto"/>
            </w:tcBorders>
            <w:shd w:val="clear" w:color="000000" w:fill="C6E0B4"/>
            <w:noWrap/>
            <w:vAlign w:val="center"/>
            <w:hideMark/>
          </w:tcPr>
          <w:p w14:paraId="5DDA874F"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544" w:type="dxa"/>
            <w:tcBorders>
              <w:top w:val="nil"/>
              <w:left w:val="nil"/>
              <w:bottom w:val="nil"/>
              <w:right w:val="single" w:sz="4" w:space="0" w:color="auto"/>
            </w:tcBorders>
            <w:shd w:val="clear" w:color="000000" w:fill="C6E0B4"/>
            <w:noWrap/>
            <w:vAlign w:val="center"/>
            <w:hideMark/>
          </w:tcPr>
          <w:p w14:paraId="2385BF83"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Total Autres Charges Opérationnelles (Compte 65) </w:t>
            </w:r>
          </w:p>
        </w:tc>
        <w:tc>
          <w:tcPr>
            <w:tcW w:w="1579" w:type="dxa"/>
            <w:tcBorders>
              <w:top w:val="nil"/>
              <w:left w:val="nil"/>
              <w:bottom w:val="nil"/>
              <w:right w:val="single" w:sz="4" w:space="0" w:color="auto"/>
            </w:tcBorders>
            <w:shd w:val="clear" w:color="000000" w:fill="C6E0B4"/>
            <w:noWrap/>
            <w:vAlign w:val="center"/>
            <w:hideMark/>
          </w:tcPr>
          <w:p w14:paraId="5D10C7F3"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 xml:space="preserve">                      5 100   </w:t>
            </w:r>
          </w:p>
        </w:tc>
        <w:tc>
          <w:tcPr>
            <w:tcW w:w="992" w:type="dxa"/>
            <w:tcBorders>
              <w:top w:val="nil"/>
              <w:left w:val="nil"/>
              <w:bottom w:val="nil"/>
              <w:right w:val="single" w:sz="4" w:space="0" w:color="auto"/>
            </w:tcBorders>
            <w:shd w:val="clear" w:color="000000" w:fill="C6E0B4"/>
            <w:noWrap/>
            <w:vAlign w:val="center"/>
            <w:hideMark/>
          </w:tcPr>
          <w:p w14:paraId="67D39A6E"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 xml:space="preserve">                    4 050   </w:t>
            </w:r>
          </w:p>
        </w:tc>
        <w:tc>
          <w:tcPr>
            <w:tcW w:w="993" w:type="dxa"/>
            <w:tcBorders>
              <w:top w:val="nil"/>
              <w:left w:val="nil"/>
              <w:bottom w:val="nil"/>
              <w:right w:val="single" w:sz="4" w:space="0" w:color="auto"/>
            </w:tcBorders>
            <w:shd w:val="clear" w:color="000000" w:fill="C6E0B4"/>
            <w:noWrap/>
            <w:vAlign w:val="center"/>
            <w:hideMark/>
          </w:tcPr>
          <w:p w14:paraId="3BD8500B"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 xml:space="preserve">                 4 050   </w:t>
            </w:r>
          </w:p>
        </w:tc>
        <w:tc>
          <w:tcPr>
            <w:tcW w:w="992" w:type="dxa"/>
            <w:tcBorders>
              <w:top w:val="nil"/>
              <w:left w:val="nil"/>
              <w:bottom w:val="nil"/>
              <w:right w:val="single" w:sz="4" w:space="0" w:color="auto"/>
            </w:tcBorders>
            <w:shd w:val="clear" w:color="000000" w:fill="C6E0B4"/>
            <w:noWrap/>
            <w:vAlign w:val="center"/>
            <w:hideMark/>
          </w:tcPr>
          <w:p w14:paraId="748386EA"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79%</w:t>
            </w:r>
          </w:p>
        </w:tc>
        <w:tc>
          <w:tcPr>
            <w:tcW w:w="992" w:type="dxa"/>
            <w:tcBorders>
              <w:top w:val="nil"/>
              <w:left w:val="nil"/>
              <w:bottom w:val="nil"/>
              <w:right w:val="single" w:sz="4" w:space="0" w:color="auto"/>
            </w:tcBorders>
            <w:shd w:val="clear" w:color="000000" w:fill="C6E0B4"/>
            <w:noWrap/>
            <w:vAlign w:val="center"/>
            <w:hideMark/>
          </w:tcPr>
          <w:p w14:paraId="74DBC5CD"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79%</w:t>
            </w:r>
          </w:p>
        </w:tc>
      </w:tr>
      <w:tr w:rsidR="00B065F3" w:rsidRPr="00953B54" w14:paraId="2B2FDBA7" w14:textId="77777777" w:rsidTr="002F3A91">
        <w:trPr>
          <w:trHeight w:val="315"/>
          <w:jc w:val="center"/>
        </w:trPr>
        <w:tc>
          <w:tcPr>
            <w:tcW w:w="1271" w:type="dxa"/>
            <w:tcBorders>
              <w:top w:val="nil"/>
              <w:left w:val="single" w:sz="4" w:space="0" w:color="auto"/>
              <w:bottom w:val="single" w:sz="4" w:space="0" w:color="auto"/>
              <w:right w:val="single" w:sz="4" w:space="0" w:color="auto"/>
            </w:tcBorders>
            <w:shd w:val="clear" w:color="000000" w:fill="C6E0B4"/>
            <w:noWrap/>
            <w:vAlign w:val="center"/>
          </w:tcPr>
          <w:p w14:paraId="7209D298"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3544" w:type="dxa"/>
            <w:tcBorders>
              <w:top w:val="nil"/>
              <w:left w:val="nil"/>
              <w:bottom w:val="single" w:sz="4" w:space="0" w:color="auto"/>
              <w:right w:val="single" w:sz="4" w:space="0" w:color="auto"/>
            </w:tcBorders>
            <w:shd w:val="clear" w:color="000000" w:fill="C6E0B4"/>
            <w:noWrap/>
            <w:vAlign w:val="center"/>
          </w:tcPr>
          <w:p w14:paraId="7DE10342"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1579" w:type="dxa"/>
            <w:tcBorders>
              <w:top w:val="nil"/>
              <w:left w:val="nil"/>
              <w:bottom w:val="single" w:sz="4" w:space="0" w:color="auto"/>
              <w:right w:val="single" w:sz="4" w:space="0" w:color="auto"/>
            </w:tcBorders>
            <w:shd w:val="clear" w:color="000000" w:fill="C6E0B4"/>
            <w:noWrap/>
            <w:vAlign w:val="center"/>
          </w:tcPr>
          <w:p w14:paraId="3C46E680" w14:textId="77777777" w:rsidR="00B065F3" w:rsidRPr="00953B54" w:rsidRDefault="00B065F3" w:rsidP="00AE3850">
            <w:pPr>
              <w:spacing w:line="360" w:lineRule="auto"/>
              <w:jc w:val="both"/>
              <w:rPr>
                <w:rFonts w:asciiTheme="majorBidi" w:eastAsia="Times New Roman" w:hAnsiTheme="majorBidi" w:cstheme="majorBidi"/>
                <w:b/>
                <w:bCs/>
                <w:lang w:eastAsia="fr-FR"/>
              </w:rPr>
            </w:pPr>
          </w:p>
        </w:tc>
        <w:tc>
          <w:tcPr>
            <w:tcW w:w="992" w:type="dxa"/>
            <w:tcBorders>
              <w:top w:val="nil"/>
              <w:left w:val="nil"/>
              <w:bottom w:val="single" w:sz="4" w:space="0" w:color="auto"/>
              <w:right w:val="single" w:sz="4" w:space="0" w:color="auto"/>
            </w:tcBorders>
            <w:shd w:val="clear" w:color="000000" w:fill="C6E0B4"/>
            <w:noWrap/>
            <w:vAlign w:val="center"/>
          </w:tcPr>
          <w:p w14:paraId="07058928" w14:textId="77777777" w:rsidR="00B065F3" w:rsidRPr="00953B54" w:rsidRDefault="00B065F3" w:rsidP="00AE3850">
            <w:pPr>
              <w:spacing w:line="360" w:lineRule="auto"/>
              <w:jc w:val="both"/>
              <w:rPr>
                <w:rFonts w:asciiTheme="majorBidi" w:hAnsiTheme="majorBidi" w:cstheme="majorBidi"/>
                <w:b/>
                <w:bCs/>
              </w:rPr>
            </w:pPr>
          </w:p>
        </w:tc>
        <w:tc>
          <w:tcPr>
            <w:tcW w:w="993" w:type="dxa"/>
            <w:tcBorders>
              <w:top w:val="nil"/>
              <w:left w:val="nil"/>
              <w:bottom w:val="single" w:sz="4" w:space="0" w:color="auto"/>
              <w:right w:val="single" w:sz="4" w:space="0" w:color="auto"/>
            </w:tcBorders>
            <w:shd w:val="clear" w:color="000000" w:fill="C6E0B4"/>
            <w:noWrap/>
            <w:vAlign w:val="center"/>
          </w:tcPr>
          <w:p w14:paraId="7A6B7009" w14:textId="77777777" w:rsidR="00B065F3" w:rsidRPr="00953B54" w:rsidRDefault="00B065F3" w:rsidP="00AE3850">
            <w:pPr>
              <w:spacing w:line="360" w:lineRule="auto"/>
              <w:jc w:val="both"/>
              <w:rPr>
                <w:rFonts w:asciiTheme="majorBidi" w:hAnsiTheme="majorBidi" w:cstheme="majorBidi"/>
                <w:b/>
                <w:bCs/>
              </w:rPr>
            </w:pPr>
          </w:p>
        </w:tc>
        <w:tc>
          <w:tcPr>
            <w:tcW w:w="992" w:type="dxa"/>
            <w:tcBorders>
              <w:top w:val="nil"/>
              <w:left w:val="nil"/>
              <w:bottom w:val="single" w:sz="4" w:space="0" w:color="auto"/>
              <w:right w:val="single" w:sz="4" w:space="0" w:color="auto"/>
            </w:tcBorders>
            <w:shd w:val="clear" w:color="000000" w:fill="C6E0B4"/>
            <w:noWrap/>
            <w:vAlign w:val="center"/>
          </w:tcPr>
          <w:p w14:paraId="06B6056E" w14:textId="77777777" w:rsidR="00B065F3" w:rsidRPr="00953B54" w:rsidRDefault="00B065F3" w:rsidP="00AE3850">
            <w:pPr>
              <w:spacing w:line="360" w:lineRule="auto"/>
              <w:jc w:val="both"/>
              <w:rPr>
                <w:rFonts w:asciiTheme="majorBidi" w:hAnsiTheme="majorBidi" w:cstheme="majorBidi"/>
                <w:b/>
                <w:bCs/>
              </w:rPr>
            </w:pPr>
          </w:p>
        </w:tc>
        <w:tc>
          <w:tcPr>
            <w:tcW w:w="992" w:type="dxa"/>
            <w:tcBorders>
              <w:top w:val="nil"/>
              <w:left w:val="nil"/>
              <w:bottom w:val="single" w:sz="4" w:space="0" w:color="auto"/>
              <w:right w:val="single" w:sz="4" w:space="0" w:color="auto"/>
            </w:tcBorders>
            <w:shd w:val="clear" w:color="000000" w:fill="C6E0B4"/>
            <w:noWrap/>
            <w:vAlign w:val="center"/>
          </w:tcPr>
          <w:p w14:paraId="0FFAFFB1" w14:textId="77777777" w:rsidR="00B065F3" w:rsidRPr="00953B54" w:rsidRDefault="00B065F3" w:rsidP="00AE3850">
            <w:pPr>
              <w:spacing w:line="360" w:lineRule="auto"/>
              <w:jc w:val="both"/>
              <w:rPr>
                <w:rFonts w:asciiTheme="majorBidi" w:hAnsiTheme="majorBidi" w:cstheme="majorBidi"/>
                <w:b/>
                <w:bCs/>
              </w:rPr>
            </w:pPr>
          </w:p>
        </w:tc>
      </w:tr>
    </w:tbl>
    <w:p w14:paraId="660A71E7" w14:textId="5E207213" w:rsidR="00B065F3" w:rsidRPr="002F3A91" w:rsidRDefault="00B065F3" w:rsidP="00AE3850">
      <w:pPr>
        <w:spacing w:line="360" w:lineRule="auto"/>
        <w:jc w:val="both"/>
        <w:rPr>
          <w:rFonts w:asciiTheme="majorBidi" w:eastAsia="Times New Roman" w:hAnsiTheme="majorBidi" w:cstheme="majorBidi"/>
          <w:lang w:eastAsia="fr-FR"/>
        </w:rPr>
      </w:pPr>
      <w:r w:rsidRPr="002F3A91">
        <w:rPr>
          <w:rFonts w:asciiTheme="majorBidi" w:eastAsia="Times New Roman" w:hAnsiTheme="majorBidi" w:cstheme="majorBidi"/>
          <w:b/>
          <w:bCs/>
          <w:lang w:eastAsia="fr-FR"/>
        </w:rPr>
        <w:t>Source : DOT de Beni Messous – Département Budget</w:t>
      </w:r>
    </w:p>
    <w:p w14:paraId="39C09BC3" w14:textId="6B6F60D3" w:rsidR="00B065F3" w:rsidRPr="00DD7C06"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78" w:name="_Toc199314775"/>
      <w:r w:rsidRPr="00DD7C06">
        <w:rPr>
          <w:rFonts w:asciiTheme="majorBidi" w:hAnsiTheme="majorBidi" w:cstheme="majorBidi"/>
          <w:b/>
          <w:bCs/>
          <w:i w:val="0"/>
          <w:iCs w:val="0"/>
          <w:color w:val="auto"/>
          <w:sz w:val="24"/>
          <w:szCs w:val="24"/>
        </w:rPr>
        <w:lastRenderedPageBreak/>
        <w:t xml:space="preserve">Figure N°2- </w:t>
      </w:r>
      <w:r w:rsidRPr="00DD7C06">
        <w:rPr>
          <w:rFonts w:asciiTheme="majorBidi" w:hAnsiTheme="majorBidi" w:cstheme="majorBidi"/>
          <w:b/>
          <w:bCs/>
          <w:i w:val="0"/>
          <w:iCs w:val="0"/>
          <w:color w:val="auto"/>
          <w:sz w:val="24"/>
          <w:szCs w:val="24"/>
        </w:rPr>
        <w:fldChar w:fldCharType="begin"/>
      </w:r>
      <w:r w:rsidRPr="00DD7C06">
        <w:rPr>
          <w:rFonts w:asciiTheme="majorBidi" w:hAnsiTheme="majorBidi" w:cstheme="majorBidi"/>
          <w:b/>
          <w:bCs/>
          <w:i w:val="0"/>
          <w:iCs w:val="0"/>
          <w:color w:val="auto"/>
          <w:sz w:val="24"/>
          <w:szCs w:val="24"/>
        </w:rPr>
        <w:instrText xml:space="preserve"> SEQ Figure_N°2- \* ARABIC </w:instrText>
      </w:r>
      <w:r w:rsidRPr="00DD7C06">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9</w:t>
      </w:r>
      <w:r w:rsidRPr="00DD7C06">
        <w:rPr>
          <w:rFonts w:asciiTheme="majorBidi" w:hAnsiTheme="majorBidi" w:cstheme="majorBidi"/>
          <w:b/>
          <w:bCs/>
          <w:i w:val="0"/>
          <w:iCs w:val="0"/>
          <w:color w:val="auto"/>
          <w:sz w:val="24"/>
          <w:szCs w:val="24"/>
        </w:rPr>
        <w:fldChar w:fldCharType="end"/>
      </w:r>
      <w:r w:rsidRPr="00DD7C06">
        <w:rPr>
          <w:rFonts w:asciiTheme="majorBidi" w:hAnsiTheme="majorBidi" w:cstheme="majorBidi"/>
          <w:b/>
          <w:bCs/>
          <w:i w:val="0"/>
          <w:iCs w:val="0"/>
          <w:color w:val="auto"/>
          <w:sz w:val="24"/>
          <w:szCs w:val="24"/>
        </w:rPr>
        <w:t>: Histogramme de l’exécution budgétaire – Compte 65 : Autres charges opérationnelles</w:t>
      </w:r>
      <w:bookmarkEnd w:id="178"/>
    </w:p>
    <w:p w14:paraId="2D245072" w14:textId="77777777" w:rsidR="00B065F3" w:rsidRPr="009C648E"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noProof/>
          <w:lang w:eastAsia="fr-FR"/>
        </w:rPr>
        <w:drawing>
          <wp:inline distT="0" distB="0" distL="0" distR="0" wp14:anchorId="6E89E19C" wp14:editId="3AA10A35">
            <wp:extent cx="5548729" cy="2630340"/>
            <wp:effectExtent l="0" t="0" r="0" b="0"/>
            <wp:docPr id="35" name="Image 35" descr="C:\Users\HP\Downloads\IMG_02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Downloads\IMG_0275.jpe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17303" cy="2662847"/>
                    </a:xfrm>
                    <a:prstGeom prst="rect">
                      <a:avLst/>
                    </a:prstGeom>
                    <a:noFill/>
                    <a:ln>
                      <a:noFill/>
                    </a:ln>
                  </pic:spPr>
                </pic:pic>
              </a:graphicData>
            </a:graphic>
          </wp:inline>
        </w:drawing>
      </w:r>
      <w:r w:rsidRPr="00953B54">
        <w:rPr>
          <w:rFonts w:asciiTheme="majorBidi" w:eastAsia="Times New Roman" w:hAnsiTheme="majorBidi" w:cstheme="majorBidi"/>
          <w:b/>
          <w:bCs/>
          <w:lang w:eastAsia="fr-FR"/>
        </w:rPr>
        <w:t>Source : Élaboré par les étudiants selon les données de la DFC de la DOT de Beni Messous</w:t>
      </w:r>
    </w:p>
    <w:p w14:paraId="652EFFA0" w14:textId="77777777" w:rsidR="00B065F3" w:rsidRPr="00953B54" w:rsidRDefault="00B065F3" w:rsidP="00AE3850">
      <w:pPr>
        <w:spacing w:line="360" w:lineRule="auto"/>
        <w:jc w:val="both"/>
        <w:rPr>
          <w:rFonts w:asciiTheme="majorBidi" w:hAnsiTheme="majorBidi" w:cstheme="majorBidi"/>
          <w:b/>
          <w:bCs/>
        </w:rPr>
      </w:pPr>
    </w:p>
    <w:p w14:paraId="571191A3"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 xml:space="preserve">Les commentaires : </w:t>
      </w:r>
    </w:p>
    <w:p w14:paraId="580D055C" w14:textId="77777777" w:rsidR="00B065F3" w:rsidRPr="00953B54" w:rsidRDefault="00B065F3" w:rsidP="00AE3850">
      <w:pPr>
        <w:spacing w:line="360" w:lineRule="auto"/>
        <w:ind w:firstLine="708"/>
        <w:jc w:val="both"/>
        <w:rPr>
          <w:rFonts w:asciiTheme="majorBidi" w:hAnsiTheme="majorBidi" w:cstheme="majorBidi"/>
        </w:rPr>
      </w:pPr>
      <w:r w:rsidRPr="00953B54">
        <w:rPr>
          <w:rFonts w:asciiTheme="majorBidi" w:hAnsiTheme="majorBidi" w:cstheme="majorBidi"/>
        </w:rPr>
        <w:t xml:space="preserve">L’analyse du tableau des </w:t>
      </w:r>
      <w:r w:rsidRPr="00953B54">
        <w:rPr>
          <w:rStyle w:val="lev"/>
          <w:rFonts w:asciiTheme="majorBidi" w:hAnsiTheme="majorBidi"/>
        </w:rPr>
        <w:t>Autres Charges Opérationnelles (Compte 65)</w:t>
      </w:r>
      <w:r w:rsidRPr="00953B54">
        <w:rPr>
          <w:rFonts w:asciiTheme="majorBidi" w:hAnsiTheme="majorBidi" w:cstheme="majorBidi"/>
        </w:rPr>
        <w:t xml:space="preserve"> révèle un taux global d’engagement et de réalisation de </w:t>
      </w:r>
      <w:r w:rsidRPr="00953B54">
        <w:rPr>
          <w:rStyle w:val="lev"/>
          <w:rFonts w:asciiTheme="majorBidi" w:hAnsiTheme="majorBidi"/>
        </w:rPr>
        <w:t>79 %</w:t>
      </w:r>
      <w:r w:rsidRPr="00953B54">
        <w:rPr>
          <w:rFonts w:asciiTheme="majorBidi" w:hAnsiTheme="majorBidi" w:cstheme="majorBidi"/>
        </w:rPr>
        <w:t xml:space="preserve">, ce qui reflète une exécution budgétaire globalement satisfaisante. La rubrique </w:t>
      </w:r>
      <w:r w:rsidRPr="00953B54">
        <w:rPr>
          <w:rStyle w:val="lev"/>
          <w:rFonts w:asciiTheme="majorBidi" w:hAnsiTheme="majorBidi"/>
        </w:rPr>
        <w:t>Pénalités et Amendes Fiscales</w:t>
      </w:r>
      <w:r w:rsidRPr="00953B54">
        <w:rPr>
          <w:rFonts w:asciiTheme="majorBidi" w:hAnsiTheme="majorBidi" w:cstheme="majorBidi"/>
        </w:rPr>
        <w:t xml:space="preserve"> présente un taux d’engagement et de réalisation de </w:t>
      </w:r>
      <w:r w:rsidRPr="00953B54">
        <w:rPr>
          <w:rStyle w:val="lev"/>
          <w:rFonts w:asciiTheme="majorBidi" w:hAnsiTheme="majorBidi"/>
        </w:rPr>
        <w:t>50 %</w:t>
      </w:r>
      <w:r w:rsidRPr="00953B54">
        <w:rPr>
          <w:rFonts w:asciiTheme="majorBidi" w:hAnsiTheme="majorBidi" w:cstheme="majorBidi"/>
        </w:rPr>
        <w:t xml:space="preserve">, indiquant soit une bonne maîtrise des obligations fiscales avec moins de pénalités que prévu, soit une surestimation du budget initialement alloué à ce poste. En revanche, la rubrique </w:t>
      </w:r>
      <w:r w:rsidRPr="00953B54">
        <w:rPr>
          <w:rStyle w:val="lev"/>
          <w:rFonts w:asciiTheme="majorBidi" w:hAnsiTheme="majorBidi"/>
        </w:rPr>
        <w:t>Autres Charges Exceptionnelles</w:t>
      </w:r>
      <w:r w:rsidRPr="00953B54">
        <w:rPr>
          <w:rFonts w:asciiTheme="majorBidi" w:hAnsiTheme="majorBidi" w:cstheme="majorBidi"/>
        </w:rPr>
        <w:t xml:space="preserve"> affiche un taux élevé de </w:t>
      </w:r>
      <w:r w:rsidRPr="00953B54">
        <w:rPr>
          <w:rStyle w:val="lev"/>
          <w:rFonts w:asciiTheme="majorBidi" w:hAnsiTheme="majorBidi"/>
        </w:rPr>
        <w:t>80 %</w:t>
      </w:r>
      <w:r w:rsidRPr="00953B54">
        <w:rPr>
          <w:rFonts w:asciiTheme="majorBidi" w:hAnsiTheme="majorBidi" w:cstheme="majorBidi"/>
        </w:rPr>
        <w:t>, traduisant la survenance de dépenses imprévues ou exceptionnelles non suffisamment anticipées lors de la phase de budgétisation. Cette situation met en évidence la nécessité d’un meilleur dispositif de prévision ou de constitution de provisions pour faire face à ce type de charges. Globalement, la consommation budgétaire de ces charges opérationnelles reste maîtrisée, mais une révision plus fine des prévisions pourrait améliorer l'efficacité de la gestion budgétaire.</w:t>
      </w:r>
    </w:p>
    <w:p w14:paraId="069390E3" w14:textId="77777777" w:rsidR="00B065F3" w:rsidRPr="00953B54" w:rsidRDefault="00B065F3" w:rsidP="00AE3850">
      <w:pPr>
        <w:spacing w:line="360" w:lineRule="auto"/>
        <w:jc w:val="both"/>
        <w:rPr>
          <w:rFonts w:asciiTheme="majorBidi" w:hAnsiTheme="majorBidi" w:cstheme="majorBidi"/>
        </w:rPr>
      </w:pPr>
    </w:p>
    <w:p w14:paraId="662A0E9B" w14:textId="77777777" w:rsidR="00B065F3" w:rsidRDefault="00B065F3" w:rsidP="00AE3850">
      <w:pPr>
        <w:spacing w:line="360" w:lineRule="auto"/>
        <w:jc w:val="both"/>
        <w:rPr>
          <w:rFonts w:asciiTheme="majorBidi" w:hAnsiTheme="majorBidi" w:cstheme="majorBidi"/>
          <w:b/>
          <w:bCs/>
        </w:rPr>
      </w:pPr>
      <w:r>
        <w:rPr>
          <w:rFonts w:asciiTheme="majorBidi" w:hAnsiTheme="majorBidi" w:cstheme="majorBidi"/>
          <w:b/>
          <w:bCs/>
          <w:i/>
          <w:iCs/>
        </w:rPr>
        <w:br w:type="page"/>
      </w:r>
    </w:p>
    <w:p w14:paraId="767F4EB6" w14:textId="7E8F9022" w:rsidR="00B065F3" w:rsidRPr="00DD7C06" w:rsidRDefault="00B065F3" w:rsidP="000630FE">
      <w:pPr>
        <w:pStyle w:val="Lgende"/>
        <w:keepNext/>
        <w:spacing w:line="360" w:lineRule="auto"/>
        <w:jc w:val="both"/>
        <w:rPr>
          <w:rFonts w:asciiTheme="majorBidi" w:hAnsiTheme="majorBidi" w:cstheme="majorBidi"/>
          <w:b/>
          <w:bCs/>
          <w:i w:val="0"/>
          <w:iCs w:val="0"/>
          <w:color w:val="auto"/>
          <w:sz w:val="24"/>
          <w:szCs w:val="24"/>
        </w:rPr>
      </w:pPr>
      <w:bookmarkStart w:id="179" w:name="_Toc199314995"/>
      <w:r w:rsidRPr="00DD7C06">
        <w:rPr>
          <w:rFonts w:asciiTheme="majorBidi" w:hAnsiTheme="majorBidi" w:cstheme="majorBidi"/>
          <w:b/>
          <w:bCs/>
          <w:i w:val="0"/>
          <w:iCs w:val="0"/>
          <w:color w:val="auto"/>
          <w:sz w:val="24"/>
          <w:szCs w:val="24"/>
        </w:rPr>
        <w:lastRenderedPageBreak/>
        <w:t xml:space="preserve">Tableau N°2- </w:t>
      </w:r>
      <w:r w:rsidRPr="00DD7C06">
        <w:rPr>
          <w:rFonts w:asciiTheme="majorBidi" w:hAnsiTheme="majorBidi" w:cstheme="majorBidi"/>
          <w:b/>
          <w:bCs/>
          <w:i w:val="0"/>
          <w:iCs w:val="0"/>
          <w:color w:val="auto"/>
          <w:sz w:val="24"/>
          <w:szCs w:val="24"/>
        </w:rPr>
        <w:fldChar w:fldCharType="begin"/>
      </w:r>
      <w:r w:rsidRPr="00DD7C06">
        <w:rPr>
          <w:rFonts w:asciiTheme="majorBidi" w:hAnsiTheme="majorBidi" w:cstheme="majorBidi"/>
          <w:b/>
          <w:bCs/>
          <w:i w:val="0"/>
          <w:iCs w:val="0"/>
          <w:color w:val="auto"/>
          <w:sz w:val="24"/>
          <w:szCs w:val="24"/>
        </w:rPr>
        <w:instrText xml:space="preserve"> SEQ Tableau_N°2- \* ARABIC </w:instrText>
      </w:r>
      <w:r w:rsidRPr="00DD7C06">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7</w:t>
      </w:r>
      <w:r w:rsidRPr="00DD7C06">
        <w:rPr>
          <w:rFonts w:asciiTheme="majorBidi" w:hAnsiTheme="majorBidi" w:cstheme="majorBidi"/>
          <w:b/>
          <w:bCs/>
          <w:i w:val="0"/>
          <w:iCs w:val="0"/>
          <w:color w:val="auto"/>
          <w:sz w:val="24"/>
          <w:szCs w:val="24"/>
        </w:rPr>
        <w:fldChar w:fldCharType="end"/>
      </w:r>
      <w:r w:rsidRPr="00DD7C06">
        <w:rPr>
          <w:rFonts w:asciiTheme="majorBidi" w:hAnsiTheme="majorBidi" w:cstheme="majorBidi"/>
          <w:b/>
          <w:bCs/>
          <w:i w:val="0"/>
          <w:iCs w:val="0"/>
          <w:color w:val="auto"/>
          <w:sz w:val="24"/>
          <w:szCs w:val="24"/>
        </w:rPr>
        <w:t>: Réaménagements budgétaires internes entre postes de dépenses – Compte 60 (</w:t>
      </w:r>
      <w:r w:rsidR="000630FE">
        <w:rPr>
          <w:rFonts w:asciiTheme="majorBidi" w:hAnsiTheme="majorBidi" w:cstheme="majorBidi"/>
          <w:b/>
          <w:bCs/>
          <w:i w:val="0"/>
          <w:iCs w:val="0"/>
          <w:color w:val="auto"/>
          <w:sz w:val="24"/>
          <w:szCs w:val="24"/>
        </w:rPr>
        <w:t>en KDA</w:t>
      </w:r>
      <w:r w:rsidRPr="00DD7C06">
        <w:rPr>
          <w:rFonts w:asciiTheme="majorBidi" w:hAnsiTheme="majorBidi" w:cstheme="majorBidi"/>
          <w:b/>
          <w:bCs/>
          <w:i w:val="0"/>
          <w:iCs w:val="0"/>
          <w:color w:val="auto"/>
          <w:sz w:val="24"/>
          <w:szCs w:val="24"/>
        </w:rPr>
        <w:t>)</w:t>
      </w:r>
      <w:bookmarkEnd w:id="179"/>
    </w:p>
    <w:tbl>
      <w:tblPr>
        <w:tblW w:w="12236" w:type="dxa"/>
        <w:jc w:val="center"/>
        <w:tblLayout w:type="fixed"/>
        <w:tblCellMar>
          <w:left w:w="70" w:type="dxa"/>
          <w:right w:w="70" w:type="dxa"/>
        </w:tblCellMar>
        <w:tblLook w:val="04A0" w:firstRow="1" w:lastRow="0" w:firstColumn="1" w:lastColumn="0" w:noHBand="0" w:noVBand="1"/>
      </w:tblPr>
      <w:tblGrid>
        <w:gridCol w:w="1244"/>
        <w:gridCol w:w="160"/>
        <w:gridCol w:w="1432"/>
        <w:gridCol w:w="251"/>
        <w:gridCol w:w="1056"/>
        <w:gridCol w:w="220"/>
        <w:gridCol w:w="1048"/>
        <w:gridCol w:w="511"/>
        <w:gridCol w:w="1842"/>
        <w:gridCol w:w="220"/>
        <w:gridCol w:w="851"/>
        <w:gridCol w:w="273"/>
        <w:gridCol w:w="435"/>
        <w:gridCol w:w="664"/>
        <w:gridCol w:w="1037"/>
        <w:gridCol w:w="239"/>
        <w:gridCol w:w="753"/>
      </w:tblGrid>
      <w:tr w:rsidR="00B065F3" w:rsidRPr="00DD7C06" w14:paraId="6F026192" w14:textId="77777777" w:rsidTr="009A4807">
        <w:trPr>
          <w:gridAfter w:val="1"/>
          <w:wAfter w:w="753" w:type="dxa"/>
          <w:trHeight w:val="810"/>
          <w:jc w:val="center"/>
        </w:trPr>
        <w:tc>
          <w:tcPr>
            <w:tcW w:w="4143" w:type="dxa"/>
            <w:gridSpan w:val="5"/>
            <w:tcBorders>
              <w:top w:val="single" w:sz="4" w:space="0" w:color="auto"/>
              <w:left w:val="single" w:sz="4" w:space="0" w:color="auto"/>
              <w:bottom w:val="single" w:sz="4" w:space="0" w:color="auto"/>
              <w:right w:val="single" w:sz="4" w:space="0" w:color="auto"/>
            </w:tcBorders>
            <w:shd w:val="clear" w:color="auto" w:fill="70A9E0" w:themeFill="text2" w:themeFillTint="66"/>
            <w:noWrap/>
            <w:vAlign w:val="center"/>
            <w:hideMark/>
          </w:tcPr>
          <w:p w14:paraId="0CFB865E"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Code Budget Cédant</w:t>
            </w:r>
          </w:p>
        </w:tc>
        <w:tc>
          <w:tcPr>
            <w:tcW w:w="3621" w:type="dxa"/>
            <w:gridSpan w:val="4"/>
            <w:tcBorders>
              <w:top w:val="single" w:sz="4" w:space="0" w:color="auto"/>
              <w:left w:val="nil"/>
              <w:bottom w:val="single" w:sz="4" w:space="0" w:color="auto"/>
              <w:right w:val="single" w:sz="4" w:space="0" w:color="auto"/>
            </w:tcBorders>
            <w:shd w:val="clear" w:color="auto" w:fill="70A9E0" w:themeFill="text2" w:themeFillTint="66"/>
            <w:noWrap/>
            <w:vAlign w:val="center"/>
            <w:hideMark/>
          </w:tcPr>
          <w:p w14:paraId="285E8D81"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Code Budget Bénéficiaire</w:t>
            </w:r>
          </w:p>
        </w:tc>
        <w:tc>
          <w:tcPr>
            <w:tcW w:w="3719" w:type="dxa"/>
            <w:gridSpan w:val="7"/>
            <w:tcBorders>
              <w:top w:val="single" w:sz="4" w:space="0" w:color="auto"/>
              <w:left w:val="nil"/>
              <w:bottom w:val="single" w:sz="4" w:space="0" w:color="auto"/>
              <w:right w:val="single" w:sz="4" w:space="0" w:color="auto"/>
            </w:tcBorders>
            <w:shd w:val="clear" w:color="auto" w:fill="70A9E0" w:themeFill="text2" w:themeFillTint="66"/>
            <w:noWrap/>
            <w:vAlign w:val="center"/>
            <w:hideMark/>
          </w:tcPr>
          <w:p w14:paraId="4E676108"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noProof/>
                <w:lang w:eastAsia="fr-FR"/>
              </w:rPr>
              <mc:AlternateContent>
                <mc:Choice Requires="wps">
                  <w:drawing>
                    <wp:anchor distT="0" distB="0" distL="114300" distR="114300" simplePos="0" relativeHeight="251714560" behindDoc="0" locked="0" layoutInCell="1" allowOverlap="1" wp14:anchorId="4F115E1B" wp14:editId="68541D41">
                      <wp:simplePos x="0" y="0"/>
                      <wp:positionH relativeFrom="column">
                        <wp:posOffset>-48260</wp:posOffset>
                      </wp:positionH>
                      <wp:positionV relativeFrom="paragraph">
                        <wp:posOffset>328930</wp:posOffset>
                      </wp:positionV>
                      <wp:extent cx="29210" cy="5332730"/>
                      <wp:effectExtent l="0" t="0" r="27940" b="20320"/>
                      <wp:wrapNone/>
                      <wp:docPr id="6" name="Connecteur droit 6"/>
                      <wp:cNvGraphicFramePr/>
                      <a:graphic xmlns:a="http://schemas.openxmlformats.org/drawingml/2006/main">
                        <a:graphicData uri="http://schemas.microsoft.com/office/word/2010/wordprocessingShape">
                          <wps:wsp>
                            <wps:cNvCnPr/>
                            <wps:spPr>
                              <a:xfrm>
                                <a:off x="0" y="0"/>
                                <a:ext cx="29210" cy="533273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4E6B8EC2" id="Connecteur droit 6"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pt,25.9pt" to="-1.5pt,44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" strokecolor="black [3213]" strokeweight=".5pt">
                      <v:stroke joinstyle="miter"/>
                    </v:line>
                  </w:pict>
                </mc:Fallback>
              </mc:AlternateContent>
            </w:r>
            <w:r w:rsidRPr="00DD7C06">
              <w:rPr>
                <w:rFonts w:asciiTheme="majorBidi" w:eastAsia="Times New Roman" w:hAnsiTheme="majorBidi" w:cstheme="majorBidi"/>
                <w:b/>
                <w:bCs/>
                <w:lang w:eastAsia="fr-FR"/>
              </w:rPr>
              <w:t xml:space="preserve">Montant </w:t>
            </w:r>
          </w:p>
        </w:tc>
      </w:tr>
      <w:tr w:rsidR="00B065F3" w:rsidRPr="00DD7C06" w14:paraId="5B4F43EE" w14:textId="77777777" w:rsidTr="005C262F">
        <w:trPr>
          <w:gridAfter w:val="1"/>
          <w:wAfter w:w="753" w:type="dxa"/>
          <w:trHeight w:val="1440"/>
          <w:jc w:val="center"/>
        </w:trPr>
        <w:tc>
          <w:tcPr>
            <w:tcW w:w="1244" w:type="dxa"/>
            <w:tcBorders>
              <w:top w:val="nil"/>
              <w:left w:val="single" w:sz="8" w:space="0" w:color="auto"/>
              <w:bottom w:val="single" w:sz="4" w:space="0" w:color="auto"/>
              <w:right w:val="single" w:sz="8" w:space="0" w:color="auto"/>
            </w:tcBorders>
            <w:shd w:val="clear" w:color="auto" w:fill="auto"/>
            <w:vAlign w:val="center"/>
            <w:hideMark/>
          </w:tcPr>
          <w:p w14:paraId="49660CEF"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Code Budgétaire</w:t>
            </w:r>
          </w:p>
        </w:tc>
        <w:tc>
          <w:tcPr>
            <w:tcW w:w="1592" w:type="dxa"/>
            <w:gridSpan w:val="2"/>
            <w:tcBorders>
              <w:top w:val="nil"/>
              <w:left w:val="nil"/>
              <w:bottom w:val="single" w:sz="4" w:space="0" w:color="auto"/>
              <w:right w:val="single" w:sz="4" w:space="0" w:color="000000"/>
            </w:tcBorders>
            <w:shd w:val="clear" w:color="auto" w:fill="auto"/>
            <w:vAlign w:val="center"/>
            <w:hideMark/>
          </w:tcPr>
          <w:p w14:paraId="6B0B0011"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Désignation</w:t>
            </w:r>
          </w:p>
        </w:tc>
        <w:tc>
          <w:tcPr>
            <w:tcW w:w="1307" w:type="dxa"/>
            <w:gridSpan w:val="2"/>
            <w:tcBorders>
              <w:top w:val="nil"/>
              <w:left w:val="nil"/>
              <w:bottom w:val="single" w:sz="4" w:space="0" w:color="auto"/>
              <w:right w:val="nil"/>
            </w:tcBorders>
            <w:shd w:val="clear" w:color="auto" w:fill="auto"/>
            <w:vAlign w:val="center"/>
            <w:hideMark/>
          </w:tcPr>
          <w:p w14:paraId="200E84D0"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 xml:space="preserve">Disponible </w:t>
            </w:r>
          </w:p>
        </w:tc>
        <w:tc>
          <w:tcPr>
            <w:tcW w:w="1268" w:type="dxa"/>
            <w:gridSpan w:val="2"/>
            <w:tcBorders>
              <w:top w:val="nil"/>
              <w:left w:val="single" w:sz="4" w:space="0" w:color="auto"/>
              <w:bottom w:val="single" w:sz="4" w:space="0" w:color="auto"/>
              <w:right w:val="single" w:sz="4" w:space="0" w:color="auto"/>
            </w:tcBorders>
            <w:shd w:val="clear" w:color="auto" w:fill="auto"/>
            <w:vAlign w:val="center"/>
            <w:hideMark/>
          </w:tcPr>
          <w:p w14:paraId="6809E41F"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Code Budgétaire</w:t>
            </w:r>
          </w:p>
        </w:tc>
        <w:tc>
          <w:tcPr>
            <w:tcW w:w="2353" w:type="dxa"/>
            <w:gridSpan w:val="2"/>
            <w:tcBorders>
              <w:top w:val="nil"/>
              <w:left w:val="nil"/>
              <w:bottom w:val="single" w:sz="4" w:space="0" w:color="auto"/>
              <w:right w:val="nil"/>
            </w:tcBorders>
            <w:shd w:val="clear" w:color="auto" w:fill="auto"/>
            <w:vAlign w:val="center"/>
            <w:hideMark/>
          </w:tcPr>
          <w:p w14:paraId="5E815AD1"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Désignation</w:t>
            </w:r>
          </w:p>
        </w:tc>
        <w:tc>
          <w:tcPr>
            <w:tcW w:w="1344" w:type="dxa"/>
            <w:gridSpan w:val="3"/>
            <w:tcBorders>
              <w:top w:val="nil"/>
              <w:left w:val="nil"/>
              <w:bottom w:val="single" w:sz="4" w:space="0" w:color="auto"/>
              <w:right w:val="single" w:sz="4" w:space="0" w:color="auto"/>
            </w:tcBorders>
            <w:shd w:val="clear" w:color="auto" w:fill="auto"/>
            <w:vAlign w:val="center"/>
            <w:hideMark/>
          </w:tcPr>
          <w:p w14:paraId="2385F0CC"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noProof/>
                <w:lang w:eastAsia="fr-FR"/>
              </w:rPr>
              <mc:AlternateContent>
                <mc:Choice Requires="wps">
                  <w:drawing>
                    <wp:anchor distT="0" distB="0" distL="114300" distR="114300" simplePos="0" relativeHeight="251713536" behindDoc="0" locked="0" layoutInCell="1" allowOverlap="1" wp14:anchorId="7DF33295" wp14:editId="75E87483">
                      <wp:simplePos x="0" y="0"/>
                      <wp:positionH relativeFrom="column">
                        <wp:posOffset>1962150</wp:posOffset>
                      </wp:positionH>
                      <wp:positionV relativeFrom="paragraph">
                        <wp:posOffset>95250</wp:posOffset>
                      </wp:positionV>
                      <wp:extent cx="0" cy="171450"/>
                      <wp:effectExtent l="0" t="0" r="0" b="0"/>
                      <wp:wrapNone/>
                      <wp:docPr id="9" name="Zone de texte 9"/>
                      <wp:cNvGraphicFramePr/>
                      <a:graphic xmlns:a="http://schemas.openxmlformats.org/drawingml/2006/main">
                        <a:graphicData uri="http://schemas.microsoft.com/office/word/2010/wordprocessingShape">
                          <wps:wsp>
                            <wps:cNvSpPr txBox="1"/>
                            <wps:spPr>
                              <a:xfrm>
                                <a:off x="0" y="0"/>
                                <a:ext cx="65" cy="17222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shapetype w14:anchorId="72BFC837" id="_x0000_t202" coordsize="21600,21600" o:spt="202" path="m,l,21600r21600,l21600,xe">
                      <v:stroke joinstyle="miter"/>
                      <v:path gradientshapeok="t" o:connecttype="rect"/>
                    </v:shapetype>
                    <v:shape id="Zone de texte 9" o:spid="_x0000_s1026" type="#_x0000_t202" style="position:absolute;margin-left:154.5pt;margin-top:7.5pt;width:0;height:13.5pt;z-index:2517135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" filled="f" stroked="f">
                      <v:textbox style="mso-fit-shape-to-text:t" inset="0,0,0,0"/>
                    </v:shape>
                  </w:pict>
                </mc:Fallback>
              </mc:AlternateContent>
            </w:r>
            <w:r w:rsidRPr="00DD7C06">
              <w:rPr>
                <w:rFonts w:asciiTheme="majorBidi" w:eastAsia="Times New Roman" w:hAnsiTheme="majorBidi" w:cstheme="majorBidi"/>
                <w:b/>
                <w:bCs/>
                <w:lang w:eastAsia="fr-FR"/>
              </w:rPr>
              <w:t>Montant notifié</w:t>
            </w:r>
          </w:p>
        </w:tc>
        <w:tc>
          <w:tcPr>
            <w:tcW w:w="1099" w:type="dxa"/>
            <w:gridSpan w:val="2"/>
            <w:tcBorders>
              <w:top w:val="nil"/>
              <w:left w:val="nil"/>
              <w:bottom w:val="single" w:sz="4" w:space="0" w:color="auto"/>
              <w:right w:val="single" w:sz="4" w:space="0" w:color="auto"/>
            </w:tcBorders>
            <w:shd w:val="clear" w:color="auto" w:fill="auto"/>
            <w:vAlign w:val="center"/>
            <w:hideMark/>
          </w:tcPr>
          <w:p w14:paraId="64739906"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Montant Additif</w:t>
            </w:r>
          </w:p>
        </w:tc>
        <w:tc>
          <w:tcPr>
            <w:tcW w:w="1276" w:type="dxa"/>
            <w:gridSpan w:val="2"/>
            <w:tcBorders>
              <w:top w:val="nil"/>
              <w:left w:val="nil"/>
              <w:bottom w:val="single" w:sz="4" w:space="0" w:color="auto"/>
              <w:right w:val="single" w:sz="4" w:space="0" w:color="auto"/>
            </w:tcBorders>
            <w:shd w:val="clear" w:color="auto" w:fill="auto"/>
            <w:vAlign w:val="center"/>
            <w:hideMark/>
          </w:tcPr>
          <w:p w14:paraId="41C26FFE"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Montant Actualisé</w:t>
            </w:r>
          </w:p>
        </w:tc>
      </w:tr>
      <w:tr w:rsidR="00B065F3" w:rsidRPr="00DD7C06" w14:paraId="077AC1D7" w14:textId="77777777" w:rsidTr="005C262F">
        <w:trPr>
          <w:gridAfter w:val="1"/>
          <w:wAfter w:w="753" w:type="dxa"/>
          <w:trHeight w:val="1245"/>
          <w:jc w:val="center"/>
        </w:trPr>
        <w:tc>
          <w:tcPr>
            <w:tcW w:w="1244" w:type="dxa"/>
            <w:tcBorders>
              <w:top w:val="nil"/>
              <w:left w:val="single" w:sz="4" w:space="0" w:color="auto"/>
              <w:bottom w:val="single" w:sz="4" w:space="0" w:color="auto"/>
              <w:right w:val="single" w:sz="4" w:space="0" w:color="auto"/>
            </w:tcBorders>
            <w:shd w:val="clear" w:color="auto" w:fill="auto"/>
            <w:noWrap/>
            <w:vAlign w:val="center"/>
            <w:hideMark/>
          </w:tcPr>
          <w:p w14:paraId="0AEDE771"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F601130</w:t>
            </w:r>
          </w:p>
        </w:tc>
        <w:tc>
          <w:tcPr>
            <w:tcW w:w="1592"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63D495B1" w14:textId="3A43B0B5" w:rsidR="00B065F3" w:rsidRPr="00DD7C06" w:rsidRDefault="00A30704" w:rsidP="00A30704">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t>Fourniture d’Energie</w:t>
            </w:r>
          </w:p>
        </w:tc>
        <w:tc>
          <w:tcPr>
            <w:tcW w:w="1307" w:type="dxa"/>
            <w:gridSpan w:val="2"/>
            <w:tcBorders>
              <w:top w:val="nil"/>
              <w:left w:val="nil"/>
              <w:bottom w:val="single" w:sz="4" w:space="0" w:color="auto"/>
              <w:right w:val="single" w:sz="4" w:space="0" w:color="auto"/>
            </w:tcBorders>
            <w:shd w:val="clear" w:color="auto" w:fill="auto"/>
            <w:noWrap/>
            <w:vAlign w:val="center"/>
            <w:hideMark/>
          </w:tcPr>
          <w:p w14:paraId="6D7F979E"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800,00</w:t>
            </w:r>
          </w:p>
        </w:tc>
        <w:tc>
          <w:tcPr>
            <w:tcW w:w="1268" w:type="dxa"/>
            <w:gridSpan w:val="2"/>
            <w:tcBorders>
              <w:top w:val="nil"/>
              <w:left w:val="nil"/>
              <w:bottom w:val="single" w:sz="4" w:space="0" w:color="auto"/>
              <w:right w:val="single" w:sz="4" w:space="0" w:color="auto"/>
            </w:tcBorders>
            <w:shd w:val="clear" w:color="auto" w:fill="auto"/>
            <w:noWrap/>
            <w:vAlign w:val="center"/>
            <w:hideMark/>
          </w:tcPr>
          <w:p w14:paraId="52E86CF4"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F60110</w:t>
            </w:r>
          </w:p>
        </w:tc>
        <w:tc>
          <w:tcPr>
            <w:tcW w:w="2353" w:type="dxa"/>
            <w:gridSpan w:val="2"/>
            <w:tcBorders>
              <w:top w:val="single" w:sz="4" w:space="0" w:color="auto"/>
              <w:left w:val="nil"/>
              <w:bottom w:val="single" w:sz="4" w:space="0" w:color="auto"/>
              <w:right w:val="nil"/>
            </w:tcBorders>
            <w:shd w:val="clear" w:color="auto" w:fill="auto"/>
            <w:vAlign w:val="center"/>
            <w:hideMark/>
          </w:tcPr>
          <w:p w14:paraId="39A89D7D" w14:textId="45EC6A6E" w:rsidR="00B065F3" w:rsidRPr="00DD7C06" w:rsidRDefault="00A30704" w:rsidP="009A4807">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t>Fourniture</w:t>
            </w:r>
            <w:r w:rsidR="00B065F3" w:rsidRPr="00DD7C06">
              <w:rPr>
                <w:rFonts w:asciiTheme="majorBidi" w:eastAsia="Times New Roman" w:hAnsiTheme="majorBidi" w:cstheme="majorBidi"/>
                <w:b/>
                <w:bCs/>
                <w:lang w:eastAsia="fr-FR"/>
              </w:rPr>
              <w:t xml:space="preserve"> </w:t>
            </w:r>
            <w:r w:rsidR="009A4807">
              <w:rPr>
                <w:rFonts w:asciiTheme="majorBidi" w:eastAsia="Times New Roman" w:hAnsiTheme="majorBidi" w:cstheme="majorBidi"/>
                <w:b/>
                <w:bCs/>
                <w:lang w:eastAsia="fr-FR"/>
              </w:rPr>
              <w:t>de commutation</w:t>
            </w:r>
          </w:p>
        </w:tc>
        <w:tc>
          <w:tcPr>
            <w:tcW w:w="1344" w:type="dxa"/>
            <w:gridSpan w:val="3"/>
            <w:tcBorders>
              <w:top w:val="nil"/>
              <w:left w:val="nil"/>
              <w:bottom w:val="single" w:sz="4" w:space="0" w:color="auto"/>
              <w:right w:val="single" w:sz="4" w:space="0" w:color="auto"/>
            </w:tcBorders>
            <w:shd w:val="clear" w:color="auto" w:fill="auto"/>
            <w:noWrap/>
            <w:vAlign w:val="center"/>
            <w:hideMark/>
          </w:tcPr>
          <w:p w14:paraId="14AE9DE1"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10 000,00</w:t>
            </w:r>
          </w:p>
        </w:tc>
        <w:tc>
          <w:tcPr>
            <w:tcW w:w="1099" w:type="dxa"/>
            <w:gridSpan w:val="2"/>
            <w:tcBorders>
              <w:top w:val="nil"/>
              <w:left w:val="nil"/>
              <w:bottom w:val="single" w:sz="4" w:space="0" w:color="auto"/>
              <w:right w:val="single" w:sz="4" w:space="0" w:color="auto"/>
            </w:tcBorders>
            <w:shd w:val="clear" w:color="auto" w:fill="auto"/>
            <w:vAlign w:val="center"/>
            <w:hideMark/>
          </w:tcPr>
          <w:p w14:paraId="09EB6F92"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800,00</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2823FBAC"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10 800,00</w:t>
            </w:r>
          </w:p>
        </w:tc>
      </w:tr>
      <w:tr w:rsidR="00B065F3" w:rsidRPr="00DD7C06" w14:paraId="6B7412A0" w14:textId="77777777" w:rsidTr="005C262F">
        <w:trPr>
          <w:gridAfter w:val="1"/>
          <w:wAfter w:w="753" w:type="dxa"/>
          <w:trHeight w:val="945"/>
          <w:jc w:val="center"/>
        </w:trPr>
        <w:tc>
          <w:tcPr>
            <w:tcW w:w="1244" w:type="dxa"/>
            <w:tcBorders>
              <w:top w:val="nil"/>
              <w:left w:val="single" w:sz="4" w:space="0" w:color="auto"/>
              <w:bottom w:val="single" w:sz="4" w:space="0" w:color="auto"/>
              <w:right w:val="single" w:sz="4" w:space="0" w:color="auto"/>
            </w:tcBorders>
            <w:shd w:val="clear" w:color="auto" w:fill="auto"/>
            <w:noWrap/>
            <w:vAlign w:val="center"/>
            <w:hideMark/>
          </w:tcPr>
          <w:p w14:paraId="0B6B0C1B"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F602113</w:t>
            </w:r>
          </w:p>
        </w:tc>
        <w:tc>
          <w:tcPr>
            <w:tcW w:w="1592"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24BC27B9" w14:textId="4E50B1CA" w:rsidR="00B065F3" w:rsidRPr="00DD7C06" w:rsidRDefault="00FE4D3A"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t>Pne</w:t>
            </w:r>
            <w:r w:rsidR="00A30704">
              <w:rPr>
                <w:rFonts w:asciiTheme="majorBidi" w:eastAsia="Times New Roman" w:hAnsiTheme="majorBidi" w:cstheme="majorBidi"/>
                <w:b/>
                <w:bCs/>
                <w:lang w:eastAsia="fr-FR"/>
              </w:rPr>
              <w:t>u</w:t>
            </w:r>
            <w:r>
              <w:rPr>
                <w:rFonts w:asciiTheme="majorBidi" w:eastAsia="Times New Roman" w:hAnsiTheme="majorBidi" w:cstheme="majorBidi"/>
                <w:b/>
                <w:bCs/>
                <w:lang w:eastAsia="fr-FR"/>
              </w:rPr>
              <w:t>matique</w:t>
            </w:r>
          </w:p>
        </w:tc>
        <w:tc>
          <w:tcPr>
            <w:tcW w:w="1307" w:type="dxa"/>
            <w:gridSpan w:val="2"/>
            <w:tcBorders>
              <w:top w:val="nil"/>
              <w:left w:val="nil"/>
              <w:bottom w:val="single" w:sz="4" w:space="0" w:color="auto"/>
              <w:right w:val="single" w:sz="4" w:space="0" w:color="auto"/>
            </w:tcBorders>
            <w:shd w:val="clear" w:color="auto" w:fill="auto"/>
            <w:noWrap/>
            <w:vAlign w:val="center"/>
            <w:hideMark/>
          </w:tcPr>
          <w:p w14:paraId="614CBBB9"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1 979,00</w:t>
            </w:r>
          </w:p>
        </w:tc>
        <w:tc>
          <w:tcPr>
            <w:tcW w:w="1268" w:type="dxa"/>
            <w:gridSpan w:val="2"/>
            <w:tcBorders>
              <w:top w:val="nil"/>
              <w:left w:val="nil"/>
              <w:bottom w:val="single" w:sz="4" w:space="0" w:color="auto"/>
              <w:right w:val="single" w:sz="4" w:space="0" w:color="auto"/>
            </w:tcBorders>
            <w:shd w:val="clear" w:color="auto" w:fill="auto"/>
            <w:noWrap/>
            <w:vAlign w:val="center"/>
            <w:hideMark/>
          </w:tcPr>
          <w:p w14:paraId="57CA880A"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F602111</w:t>
            </w:r>
          </w:p>
        </w:tc>
        <w:tc>
          <w:tcPr>
            <w:tcW w:w="2353" w:type="dxa"/>
            <w:gridSpan w:val="2"/>
            <w:tcBorders>
              <w:top w:val="single" w:sz="4" w:space="0" w:color="auto"/>
              <w:left w:val="nil"/>
              <w:bottom w:val="single" w:sz="4" w:space="0" w:color="auto"/>
              <w:right w:val="nil"/>
            </w:tcBorders>
            <w:shd w:val="clear" w:color="auto" w:fill="auto"/>
            <w:vAlign w:val="center"/>
            <w:hideMark/>
          </w:tcPr>
          <w:p w14:paraId="0FD1CDB0" w14:textId="6C16A2D6" w:rsidR="00B065F3" w:rsidRPr="00DD7C06" w:rsidRDefault="00B065F3" w:rsidP="009A4807">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C</w:t>
            </w:r>
            <w:r w:rsidR="009A4807">
              <w:rPr>
                <w:rFonts w:asciiTheme="majorBidi" w:eastAsia="Times New Roman" w:hAnsiTheme="majorBidi" w:cstheme="majorBidi"/>
                <w:b/>
                <w:bCs/>
                <w:lang w:eastAsia="fr-FR"/>
              </w:rPr>
              <w:t>arburant</w:t>
            </w:r>
          </w:p>
        </w:tc>
        <w:tc>
          <w:tcPr>
            <w:tcW w:w="1344" w:type="dxa"/>
            <w:gridSpan w:val="3"/>
            <w:tcBorders>
              <w:top w:val="nil"/>
              <w:left w:val="nil"/>
              <w:bottom w:val="single" w:sz="4" w:space="0" w:color="auto"/>
              <w:right w:val="single" w:sz="4" w:space="0" w:color="auto"/>
            </w:tcBorders>
            <w:shd w:val="clear" w:color="auto" w:fill="auto"/>
            <w:noWrap/>
            <w:vAlign w:val="center"/>
            <w:hideMark/>
          </w:tcPr>
          <w:p w14:paraId="7ECC9B8C"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7 000,00</w:t>
            </w:r>
          </w:p>
        </w:tc>
        <w:tc>
          <w:tcPr>
            <w:tcW w:w="1099" w:type="dxa"/>
            <w:gridSpan w:val="2"/>
            <w:tcBorders>
              <w:top w:val="nil"/>
              <w:left w:val="nil"/>
              <w:bottom w:val="single" w:sz="4" w:space="0" w:color="auto"/>
              <w:right w:val="single" w:sz="4" w:space="0" w:color="auto"/>
            </w:tcBorders>
            <w:shd w:val="clear" w:color="auto" w:fill="auto"/>
            <w:vAlign w:val="center"/>
            <w:hideMark/>
          </w:tcPr>
          <w:p w14:paraId="0A78360F"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200,00</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40BE9C04"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7 200,00</w:t>
            </w:r>
          </w:p>
        </w:tc>
      </w:tr>
      <w:tr w:rsidR="00B065F3" w:rsidRPr="00DD7C06" w14:paraId="3AD4D4E0" w14:textId="77777777" w:rsidTr="005C262F">
        <w:trPr>
          <w:gridAfter w:val="1"/>
          <w:wAfter w:w="753" w:type="dxa"/>
          <w:trHeight w:val="1515"/>
          <w:jc w:val="center"/>
        </w:trPr>
        <w:tc>
          <w:tcPr>
            <w:tcW w:w="1244" w:type="dxa"/>
            <w:tcBorders>
              <w:top w:val="nil"/>
              <w:left w:val="single" w:sz="4" w:space="0" w:color="auto"/>
              <w:bottom w:val="single" w:sz="4" w:space="0" w:color="auto"/>
              <w:right w:val="single" w:sz="4" w:space="0" w:color="auto"/>
            </w:tcBorders>
            <w:shd w:val="clear" w:color="auto" w:fill="auto"/>
            <w:noWrap/>
            <w:vAlign w:val="center"/>
            <w:hideMark/>
          </w:tcPr>
          <w:p w14:paraId="5EFB87C6"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F602284</w:t>
            </w:r>
          </w:p>
        </w:tc>
        <w:tc>
          <w:tcPr>
            <w:tcW w:w="1592" w:type="dxa"/>
            <w:gridSpan w:val="2"/>
            <w:tcBorders>
              <w:top w:val="single" w:sz="4" w:space="0" w:color="auto"/>
              <w:left w:val="nil"/>
              <w:bottom w:val="single" w:sz="4" w:space="0" w:color="auto"/>
              <w:right w:val="single" w:sz="4" w:space="0" w:color="000000"/>
            </w:tcBorders>
            <w:shd w:val="clear" w:color="auto" w:fill="auto"/>
            <w:vAlign w:val="center"/>
            <w:hideMark/>
          </w:tcPr>
          <w:p w14:paraId="72949650" w14:textId="3345C4A3" w:rsidR="00B065F3" w:rsidRPr="00DD7C06" w:rsidRDefault="00FE4D3A"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t>Petit Outillage</w:t>
            </w:r>
          </w:p>
        </w:tc>
        <w:tc>
          <w:tcPr>
            <w:tcW w:w="1307" w:type="dxa"/>
            <w:gridSpan w:val="2"/>
            <w:tcBorders>
              <w:top w:val="nil"/>
              <w:left w:val="nil"/>
              <w:bottom w:val="single" w:sz="4" w:space="0" w:color="auto"/>
              <w:right w:val="single" w:sz="4" w:space="0" w:color="auto"/>
            </w:tcBorders>
            <w:shd w:val="clear" w:color="auto" w:fill="auto"/>
            <w:noWrap/>
            <w:vAlign w:val="center"/>
            <w:hideMark/>
          </w:tcPr>
          <w:p w14:paraId="49575DAB"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7 500,00</w:t>
            </w:r>
          </w:p>
        </w:tc>
        <w:tc>
          <w:tcPr>
            <w:tcW w:w="1268" w:type="dxa"/>
            <w:gridSpan w:val="2"/>
            <w:tcBorders>
              <w:top w:val="nil"/>
              <w:left w:val="nil"/>
              <w:bottom w:val="single" w:sz="4" w:space="0" w:color="auto"/>
              <w:right w:val="single" w:sz="4" w:space="0" w:color="auto"/>
            </w:tcBorders>
            <w:shd w:val="clear" w:color="auto" w:fill="auto"/>
            <w:noWrap/>
            <w:vAlign w:val="center"/>
            <w:hideMark/>
          </w:tcPr>
          <w:p w14:paraId="37B14476"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F602222</w:t>
            </w:r>
          </w:p>
        </w:tc>
        <w:tc>
          <w:tcPr>
            <w:tcW w:w="2353" w:type="dxa"/>
            <w:gridSpan w:val="2"/>
            <w:tcBorders>
              <w:top w:val="single" w:sz="4" w:space="0" w:color="auto"/>
              <w:left w:val="nil"/>
              <w:bottom w:val="single" w:sz="4" w:space="0" w:color="auto"/>
              <w:right w:val="nil"/>
            </w:tcBorders>
            <w:shd w:val="clear" w:color="auto" w:fill="auto"/>
            <w:vAlign w:val="center"/>
            <w:hideMark/>
          </w:tcPr>
          <w:p w14:paraId="269C2674" w14:textId="45498C35" w:rsidR="00B065F3" w:rsidRPr="00DD7C06" w:rsidRDefault="009A4807" w:rsidP="009A4807">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t>Fourniture</w:t>
            </w:r>
            <w:r w:rsidR="00B065F3" w:rsidRPr="00DD7C06">
              <w:rPr>
                <w:rFonts w:asciiTheme="majorBidi" w:eastAsia="Times New Roman" w:hAnsiTheme="majorBidi" w:cstheme="majorBidi"/>
                <w:b/>
                <w:bCs/>
                <w:lang w:eastAsia="fr-FR"/>
              </w:rPr>
              <w:t xml:space="preserve"> I</w:t>
            </w:r>
            <w:r>
              <w:rPr>
                <w:rFonts w:asciiTheme="majorBidi" w:eastAsia="Times New Roman" w:hAnsiTheme="majorBidi" w:cstheme="majorBidi"/>
                <w:b/>
                <w:bCs/>
                <w:lang w:eastAsia="fr-FR"/>
              </w:rPr>
              <w:t>nformatique</w:t>
            </w:r>
          </w:p>
        </w:tc>
        <w:tc>
          <w:tcPr>
            <w:tcW w:w="1344" w:type="dxa"/>
            <w:gridSpan w:val="3"/>
            <w:tcBorders>
              <w:top w:val="nil"/>
              <w:left w:val="nil"/>
              <w:bottom w:val="single" w:sz="4" w:space="0" w:color="auto"/>
              <w:right w:val="single" w:sz="4" w:space="0" w:color="auto"/>
            </w:tcBorders>
            <w:shd w:val="clear" w:color="auto" w:fill="auto"/>
            <w:noWrap/>
            <w:vAlign w:val="center"/>
            <w:hideMark/>
          </w:tcPr>
          <w:p w14:paraId="4F7C03D6"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20 000,00</w:t>
            </w:r>
          </w:p>
        </w:tc>
        <w:tc>
          <w:tcPr>
            <w:tcW w:w="1099" w:type="dxa"/>
            <w:gridSpan w:val="2"/>
            <w:tcBorders>
              <w:top w:val="nil"/>
              <w:left w:val="nil"/>
              <w:bottom w:val="single" w:sz="4" w:space="0" w:color="auto"/>
              <w:right w:val="single" w:sz="4" w:space="0" w:color="auto"/>
            </w:tcBorders>
            <w:shd w:val="clear" w:color="auto" w:fill="auto"/>
            <w:vAlign w:val="center"/>
            <w:hideMark/>
          </w:tcPr>
          <w:p w14:paraId="63ABFE75"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3 500,00</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584DC6EA"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23 500,00</w:t>
            </w:r>
          </w:p>
        </w:tc>
      </w:tr>
      <w:tr w:rsidR="00B065F3" w:rsidRPr="00DD7C06" w14:paraId="2EA3480C" w14:textId="77777777" w:rsidTr="005C262F">
        <w:trPr>
          <w:gridAfter w:val="1"/>
          <w:wAfter w:w="753" w:type="dxa"/>
          <w:trHeight w:val="2040"/>
          <w:jc w:val="center"/>
        </w:trPr>
        <w:tc>
          <w:tcPr>
            <w:tcW w:w="1244" w:type="dxa"/>
            <w:tcBorders>
              <w:top w:val="nil"/>
              <w:left w:val="single" w:sz="4" w:space="0" w:color="auto"/>
              <w:bottom w:val="single" w:sz="4" w:space="0" w:color="auto"/>
              <w:right w:val="single" w:sz="4" w:space="0" w:color="auto"/>
            </w:tcBorders>
            <w:shd w:val="clear" w:color="auto" w:fill="auto"/>
            <w:noWrap/>
            <w:vAlign w:val="center"/>
            <w:hideMark/>
          </w:tcPr>
          <w:p w14:paraId="11F7755C"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F602288</w:t>
            </w:r>
          </w:p>
        </w:tc>
        <w:tc>
          <w:tcPr>
            <w:tcW w:w="1592" w:type="dxa"/>
            <w:gridSpan w:val="2"/>
            <w:tcBorders>
              <w:top w:val="single" w:sz="4" w:space="0" w:color="auto"/>
              <w:left w:val="nil"/>
              <w:bottom w:val="single" w:sz="4" w:space="0" w:color="auto"/>
              <w:right w:val="single" w:sz="4" w:space="0" w:color="000000"/>
            </w:tcBorders>
            <w:shd w:val="clear" w:color="auto" w:fill="auto"/>
            <w:vAlign w:val="bottom"/>
            <w:hideMark/>
          </w:tcPr>
          <w:p w14:paraId="5D5E180C" w14:textId="7768693E" w:rsidR="00B065F3" w:rsidRPr="00DD7C06" w:rsidRDefault="00FE4D3A"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t xml:space="preserve">Autre Fourniture </w:t>
            </w:r>
            <w:r w:rsidR="009A4807">
              <w:rPr>
                <w:rFonts w:asciiTheme="majorBidi" w:eastAsia="Times New Roman" w:hAnsiTheme="majorBidi" w:cstheme="majorBidi"/>
                <w:b/>
                <w:bCs/>
                <w:lang w:eastAsia="fr-FR"/>
              </w:rPr>
              <w:t>Consommables</w:t>
            </w:r>
          </w:p>
        </w:tc>
        <w:tc>
          <w:tcPr>
            <w:tcW w:w="1307" w:type="dxa"/>
            <w:gridSpan w:val="2"/>
            <w:tcBorders>
              <w:top w:val="nil"/>
              <w:left w:val="nil"/>
              <w:bottom w:val="single" w:sz="4" w:space="0" w:color="auto"/>
              <w:right w:val="single" w:sz="4" w:space="0" w:color="auto"/>
            </w:tcBorders>
            <w:shd w:val="clear" w:color="auto" w:fill="auto"/>
            <w:noWrap/>
            <w:vAlign w:val="center"/>
            <w:hideMark/>
          </w:tcPr>
          <w:p w14:paraId="7DCD6517"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2 000,00</w:t>
            </w:r>
          </w:p>
        </w:tc>
        <w:tc>
          <w:tcPr>
            <w:tcW w:w="1268" w:type="dxa"/>
            <w:gridSpan w:val="2"/>
            <w:tcBorders>
              <w:top w:val="nil"/>
              <w:left w:val="nil"/>
              <w:bottom w:val="single" w:sz="4" w:space="0" w:color="auto"/>
              <w:right w:val="single" w:sz="4" w:space="0" w:color="auto"/>
            </w:tcBorders>
            <w:shd w:val="clear" w:color="auto" w:fill="auto"/>
            <w:noWrap/>
            <w:vAlign w:val="center"/>
            <w:hideMark/>
          </w:tcPr>
          <w:p w14:paraId="4BAC104D"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F602286</w:t>
            </w:r>
          </w:p>
        </w:tc>
        <w:tc>
          <w:tcPr>
            <w:tcW w:w="2353" w:type="dxa"/>
            <w:gridSpan w:val="2"/>
            <w:tcBorders>
              <w:top w:val="single" w:sz="4" w:space="0" w:color="auto"/>
              <w:left w:val="nil"/>
              <w:bottom w:val="single" w:sz="4" w:space="0" w:color="auto"/>
              <w:right w:val="nil"/>
            </w:tcBorders>
            <w:shd w:val="clear" w:color="auto" w:fill="auto"/>
            <w:vAlign w:val="center"/>
            <w:hideMark/>
          </w:tcPr>
          <w:p w14:paraId="22FA3802" w14:textId="5B7FF73C" w:rsidR="00B065F3" w:rsidRPr="00DD7C06" w:rsidRDefault="00A30704"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t>Produits Pharmace</w:t>
            </w:r>
            <w:r w:rsidR="009A4807">
              <w:rPr>
                <w:rFonts w:asciiTheme="majorBidi" w:eastAsia="Times New Roman" w:hAnsiTheme="majorBidi" w:cstheme="majorBidi"/>
                <w:b/>
                <w:bCs/>
                <w:lang w:eastAsia="fr-FR"/>
              </w:rPr>
              <w:t>u</w:t>
            </w:r>
            <w:r>
              <w:rPr>
                <w:rFonts w:asciiTheme="majorBidi" w:eastAsia="Times New Roman" w:hAnsiTheme="majorBidi" w:cstheme="majorBidi"/>
                <w:b/>
                <w:bCs/>
                <w:lang w:eastAsia="fr-FR"/>
              </w:rPr>
              <w:t>tique</w:t>
            </w:r>
            <w:r w:rsidR="009A4807">
              <w:rPr>
                <w:rFonts w:asciiTheme="majorBidi" w:eastAsia="Times New Roman" w:hAnsiTheme="majorBidi" w:cstheme="majorBidi"/>
                <w:b/>
                <w:bCs/>
                <w:lang w:eastAsia="fr-FR"/>
              </w:rPr>
              <w:t>s</w:t>
            </w:r>
          </w:p>
        </w:tc>
        <w:tc>
          <w:tcPr>
            <w:tcW w:w="1344" w:type="dxa"/>
            <w:gridSpan w:val="3"/>
            <w:tcBorders>
              <w:top w:val="nil"/>
              <w:left w:val="nil"/>
              <w:bottom w:val="single" w:sz="4" w:space="0" w:color="auto"/>
              <w:right w:val="single" w:sz="4" w:space="0" w:color="auto"/>
            </w:tcBorders>
            <w:shd w:val="clear" w:color="auto" w:fill="auto"/>
            <w:noWrap/>
            <w:vAlign w:val="center"/>
            <w:hideMark/>
          </w:tcPr>
          <w:p w14:paraId="74437CFD"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1 000,00</w:t>
            </w:r>
          </w:p>
        </w:tc>
        <w:tc>
          <w:tcPr>
            <w:tcW w:w="1099" w:type="dxa"/>
            <w:gridSpan w:val="2"/>
            <w:tcBorders>
              <w:top w:val="nil"/>
              <w:left w:val="nil"/>
              <w:bottom w:val="single" w:sz="4" w:space="0" w:color="auto"/>
              <w:right w:val="single" w:sz="4" w:space="0" w:color="auto"/>
            </w:tcBorders>
            <w:shd w:val="clear" w:color="auto" w:fill="auto"/>
            <w:vAlign w:val="center"/>
            <w:hideMark/>
          </w:tcPr>
          <w:p w14:paraId="5C1EF510"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450,00</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2AAC4A18"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1 450,00</w:t>
            </w:r>
          </w:p>
        </w:tc>
      </w:tr>
      <w:tr w:rsidR="00B065F3" w:rsidRPr="00DD7C06" w14:paraId="368225C1" w14:textId="77777777" w:rsidTr="005C262F">
        <w:trPr>
          <w:gridAfter w:val="1"/>
          <w:wAfter w:w="753" w:type="dxa"/>
          <w:trHeight w:val="843"/>
          <w:jc w:val="center"/>
        </w:trPr>
        <w:tc>
          <w:tcPr>
            <w:tcW w:w="1244" w:type="dxa"/>
            <w:tcBorders>
              <w:top w:val="nil"/>
              <w:left w:val="single" w:sz="8" w:space="0" w:color="auto"/>
              <w:bottom w:val="single" w:sz="8" w:space="0" w:color="auto"/>
              <w:right w:val="single" w:sz="8" w:space="0" w:color="auto"/>
            </w:tcBorders>
            <w:shd w:val="clear" w:color="auto" w:fill="auto"/>
            <w:noWrap/>
            <w:vAlign w:val="bottom"/>
            <w:hideMark/>
          </w:tcPr>
          <w:p w14:paraId="490FB938" w14:textId="77777777" w:rsidR="00B065F3" w:rsidRPr="00DD7C06" w:rsidRDefault="00B065F3" w:rsidP="00AE3850">
            <w:pPr>
              <w:spacing w:line="360" w:lineRule="auto"/>
              <w:jc w:val="both"/>
              <w:rPr>
                <w:rFonts w:asciiTheme="majorBidi" w:eastAsia="Times New Roman" w:hAnsiTheme="majorBidi" w:cstheme="majorBidi"/>
                <w:lang w:eastAsia="fr-FR"/>
              </w:rPr>
            </w:pPr>
            <w:r w:rsidRPr="00DD7C06">
              <w:rPr>
                <w:rFonts w:asciiTheme="majorBidi" w:eastAsia="Times New Roman" w:hAnsiTheme="majorBidi" w:cstheme="majorBidi"/>
                <w:lang w:eastAsia="fr-FR"/>
              </w:rPr>
              <w:t> </w:t>
            </w:r>
          </w:p>
        </w:tc>
        <w:tc>
          <w:tcPr>
            <w:tcW w:w="1592" w:type="dxa"/>
            <w:gridSpan w:val="2"/>
            <w:tcBorders>
              <w:top w:val="nil"/>
              <w:left w:val="nil"/>
              <w:bottom w:val="single" w:sz="8" w:space="0" w:color="auto"/>
              <w:right w:val="single" w:sz="4" w:space="0" w:color="000000"/>
            </w:tcBorders>
            <w:shd w:val="clear" w:color="auto" w:fill="auto"/>
            <w:noWrap/>
            <w:vAlign w:val="bottom"/>
            <w:hideMark/>
          </w:tcPr>
          <w:p w14:paraId="7B417068"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Total</w:t>
            </w:r>
          </w:p>
        </w:tc>
        <w:tc>
          <w:tcPr>
            <w:tcW w:w="1307" w:type="dxa"/>
            <w:gridSpan w:val="2"/>
            <w:tcBorders>
              <w:top w:val="nil"/>
              <w:left w:val="nil"/>
              <w:bottom w:val="single" w:sz="4" w:space="0" w:color="auto"/>
              <w:right w:val="single" w:sz="4" w:space="0" w:color="auto"/>
            </w:tcBorders>
            <w:shd w:val="clear" w:color="auto" w:fill="auto"/>
            <w:noWrap/>
            <w:vAlign w:val="center"/>
            <w:hideMark/>
          </w:tcPr>
          <w:p w14:paraId="18824889"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12 279,00</w:t>
            </w:r>
          </w:p>
        </w:tc>
        <w:tc>
          <w:tcPr>
            <w:tcW w:w="1268" w:type="dxa"/>
            <w:gridSpan w:val="2"/>
            <w:tcBorders>
              <w:top w:val="nil"/>
              <w:left w:val="nil"/>
              <w:bottom w:val="single" w:sz="4" w:space="0" w:color="auto"/>
              <w:right w:val="single" w:sz="4" w:space="0" w:color="auto"/>
            </w:tcBorders>
            <w:shd w:val="clear" w:color="auto" w:fill="auto"/>
            <w:noWrap/>
            <w:vAlign w:val="center"/>
            <w:hideMark/>
          </w:tcPr>
          <w:p w14:paraId="592561E5"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 </w:t>
            </w:r>
          </w:p>
        </w:tc>
        <w:tc>
          <w:tcPr>
            <w:tcW w:w="2353" w:type="dxa"/>
            <w:gridSpan w:val="2"/>
            <w:tcBorders>
              <w:top w:val="single" w:sz="4" w:space="0" w:color="auto"/>
              <w:left w:val="nil"/>
              <w:bottom w:val="single" w:sz="4" w:space="0" w:color="auto"/>
              <w:right w:val="nil"/>
            </w:tcBorders>
            <w:shd w:val="clear" w:color="auto" w:fill="auto"/>
            <w:noWrap/>
            <w:vAlign w:val="bottom"/>
            <w:hideMark/>
          </w:tcPr>
          <w:p w14:paraId="0A297BE4"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Total</w:t>
            </w:r>
          </w:p>
        </w:tc>
        <w:tc>
          <w:tcPr>
            <w:tcW w:w="1344" w:type="dxa"/>
            <w:gridSpan w:val="3"/>
            <w:tcBorders>
              <w:top w:val="nil"/>
              <w:left w:val="nil"/>
              <w:bottom w:val="single" w:sz="4" w:space="0" w:color="auto"/>
              <w:right w:val="single" w:sz="4" w:space="0" w:color="auto"/>
            </w:tcBorders>
            <w:shd w:val="clear" w:color="auto" w:fill="auto"/>
            <w:noWrap/>
            <w:vAlign w:val="center"/>
            <w:hideMark/>
          </w:tcPr>
          <w:p w14:paraId="74828A4E"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38 000,00</w:t>
            </w:r>
          </w:p>
        </w:tc>
        <w:tc>
          <w:tcPr>
            <w:tcW w:w="1099" w:type="dxa"/>
            <w:gridSpan w:val="2"/>
            <w:tcBorders>
              <w:top w:val="nil"/>
              <w:left w:val="nil"/>
              <w:bottom w:val="single" w:sz="4" w:space="0" w:color="auto"/>
              <w:right w:val="single" w:sz="4" w:space="0" w:color="auto"/>
            </w:tcBorders>
            <w:shd w:val="clear" w:color="auto" w:fill="auto"/>
            <w:noWrap/>
            <w:vAlign w:val="center"/>
            <w:hideMark/>
          </w:tcPr>
          <w:p w14:paraId="4F00C02E"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4950,00</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6AD989A3" w14:textId="77777777" w:rsidR="00B065F3" w:rsidRPr="00A30704" w:rsidRDefault="00B065F3" w:rsidP="00AE3850">
            <w:pPr>
              <w:spacing w:line="360" w:lineRule="auto"/>
              <w:jc w:val="both"/>
              <w:rPr>
                <w:rFonts w:asciiTheme="majorBidi" w:eastAsia="Times New Roman" w:hAnsiTheme="majorBidi" w:cstheme="majorBidi"/>
                <w:lang w:eastAsia="fr-FR"/>
              </w:rPr>
            </w:pPr>
            <w:r w:rsidRPr="00A30704">
              <w:rPr>
                <w:rFonts w:asciiTheme="majorBidi" w:eastAsia="Times New Roman" w:hAnsiTheme="majorBidi" w:cstheme="majorBidi"/>
                <w:lang w:eastAsia="fr-FR"/>
              </w:rPr>
              <w:t>42950,00</w:t>
            </w:r>
          </w:p>
        </w:tc>
      </w:tr>
      <w:tr w:rsidR="00B065F3" w:rsidRPr="00DD7C06" w14:paraId="176B215D" w14:textId="77777777" w:rsidTr="005C262F">
        <w:trPr>
          <w:trHeight w:val="60"/>
          <w:jc w:val="center"/>
        </w:trPr>
        <w:tc>
          <w:tcPr>
            <w:tcW w:w="1244" w:type="dxa"/>
            <w:tcBorders>
              <w:top w:val="nil"/>
              <w:left w:val="nil"/>
              <w:bottom w:val="nil"/>
              <w:right w:val="nil"/>
            </w:tcBorders>
            <w:shd w:val="clear" w:color="auto" w:fill="auto"/>
            <w:noWrap/>
            <w:vAlign w:val="bottom"/>
            <w:hideMark/>
          </w:tcPr>
          <w:p w14:paraId="39EF3A8D" w14:textId="77777777" w:rsidR="00B065F3" w:rsidRPr="00DD7C06" w:rsidRDefault="00B065F3" w:rsidP="00AE3850">
            <w:pPr>
              <w:spacing w:line="360" w:lineRule="auto"/>
              <w:jc w:val="both"/>
              <w:rPr>
                <w:rFonts w:asciiTheme="majorBidi" w:eastAsia="Times New Roman" w:hAnsiTheme="majorBidi" w:cstheme="majorBidi"/>
                <w:b/>
                <w:bCs/>
                <w:lang w:eastAsia="fr-FR"/>
              </w:rPr>
            </w:pPr>
          </w:p>
        </w:tc>
        <w:tc>
          <w:tcPr>
            <w:tcW w:w="160" w:type="dxa"/>
            <w:tcBorders>
              <w:top w:val="nil"/>
              <w:left w:val="nil"/>
              <w:bottom w:val="nil"/>
              <w:right w:val="nil"/>
            </w:tcBorders>
            <w:shd w:val="clear" w:color="auto" w:fill="auto"/>
            <w:noWrap/>
            <w:vAlign w:val="bottom"/>
            <w:hideMark/>
          </w:tcPr>
          <w:p w14:paraId="29A5FA1B" w14:textId="77777777" w:rsidR="00B065F3" w:rsidRPr="00DD7C06" w:rsidRDefault="00B065F3" w:rsidP="00AE3850">
            <w:pPr>
              <w:spacing w:line="360" w:lineRule="auto"/>
              <w:jc w:val="both"/>
              <w:rPr>
                <w:rFonts w:asciiTheme="majorBidi" w:eastAsia="Times New Roman" w:hAnsiTheme="majorBidi" w:cstheme="majorBidi"/>
                <w:lang w:eastAsia="fr-FR"/>
              </w:rPr>
            </w:pPr>
          </w:p>
        </w:tc>
        <w:tc>
          <w:tcPr>
            <w:tcW w:w="1683" w:type="dxa"/>
            <w:gridSpan w:val="2"/>
            <w:tcBorders>
              <w:top w:val="nil"/>
              <w:left w:val="single" w:sz="8" w:space="0" w:color="auto"/>
              <w:bottom w:val="single" w:sz="8" w:space="0" w:color="auto"/>
              <w:right w:val="single" w:sz="4" w:space="0" w:color="auto"/>
            </w:tcBorders>
            <w:shd w:val="clear" w:color="auto" w:fill="auto"/>
            <w:noWrap/>
            <w:vAlign w:val="bottom"/>
            <w:hideMark/>
          </w:tcPr>
          <w:p w14:paraId="5F78B134"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Disponible après réménagement</w:t>
            </w:r>
          </w:p>
        </w:tc>
        <w:tc>
          <w:tcPr>
            <w:tcW w:w="1276" w:type="dxa"/>
            <w:gridSpan w:val="2"/>
            <w:tcBorders>
              <w:top w:val="nil"/>
              <w:left w:val="nil"/>
              <w:bottom w:val="single" w:sz="4" w:space="0" w:color="auto"/>
              <w:right w:val="single" w:sz="4" w:space="0" w:color="auto"/>
            </w:tcBorders>
            <w:shd w:val="clear" w:color="auto" w:fill="auto"/>
            <w:noWrap/>
            <w:vAlign w:val="center"/>
            <w:hideMark/>
          </w:tcPr>
          <w:p w14:paraId="3432F819" w14:textId="77777777" w:rsidR="00B065F3" w:rsidRPr="00DD7C06" w:rsidRDefault="00B065F3" w:rsidP="00AE3850">
            <w:pPr>
              <w:spacing w:line="360" w:lineRule="auto"/>
              <w:jc w:val="both"/>
              <w:rPr>
                <w:rFonts w:asciiTheme="majorBidi" w:eastAsia="Times New Roman" w:hAnsiTheme="majorBidi" w:cstheme="majorBidi"/>
                <w:b/>
                <w:bCs/>
                <w:lang w:eastAsia="fr-FR"/>
              </w:rPr>
            </w:pPr>
            <w:r w:rsidRPr="00DD7C06">
              <w:rPr>
                <w:rFonts w:asciiTheme="majorBidi" w:eastAsia="Times New Roman" w:hAnsiTheme="majorBidi" w:cstheme="majorBidi"/>
                <w:b/>
                <w:bCs/>
                <w:lang w:eastAsia="fr-FR"/>
              </w:rPr>
              <w:t>7329,00</w:t>
            </w:r>
          </w:p>
        </w:tc>
        <w:tc>
          <w:tcPr>
            <w:tcW w:w="1559" w:type="dxa"/>
            <w:gridSpan w:val="2"/>
            <w:tcBorders>
              <w:top w:val="nil"/>
              <w:left w:val="nil"/>
              <w:bottom w:val="nil"/>
              <w:right w:val="nil"/>
            </w:tcBorders>
            <w:shd w:val="clear" w:color="auto" w:fill="auto"/>
            <w:noWrap/>
            <w:vAlign w:val="bottom"/>
            <w:hideMark/>
          </w:tcPr>
          <w:p w14:paraId="2264B99D" w14:textId="77777777" w:rsidR="00B065F3" w:rsidRPr="00DD7C06" w:rsidRDefault="00B065F3" w:rsidP="00AE3850">
            <w:pPr>
              <w:spacing w:line="360" w:lineRule="auto"/>
              <w:jc w:val="both"/>
              <w:rPr>
                <w:rFonts w:asciiTheme="majorBidi" w:eastAsia="Times New Roman" w:hAnsiTheme="majorBidi" w:cstheme="majorBidi"/>
                <w:lang w:eastAsia="fr-FR"/>
              </w:rPr>
            </w:pPr>
          </w:p>
        </w:tc>
        <w:tc>
          <w:tcPr>
            <w:tcW w:w="2062" w:type="dxa"/>
            <w:gridSpan w:val="2"/>
            <w:tcBorders>
              <w:top w:val="nil"/>
              <w:left w:val="nil"/>
              <w:bottom w:val="nil"/>
              <w:right w:val="nil"/>
            </w:tcBorders>
            <w:shd w:val="clear" w:color="auto" w:fill="auto"/>
            <w:noWrap/>
            <w:vAlign w:val="bottom"/>
            <w:hideMark/>
          </w:tcPr>
          <w:p w14:paraId="0D319068" w14:textId="77777777" w:rsidR="00B065F3" w:rsidRPr="00DD7C06" w:rsidRDefault="00B065F3" w:rsidP="00AE3850">
            <w:pPr>
              <w:spacing w:line="360" w:lineRule="auto"/>
              <w:jc w:val="both"/>
              <w:rPr>
                <w:rFonts w:asciiTheme="majorBidi" w:eastAsia="Times New Roman" w:hAnsiTheme="majorBidi" w:cstheme="majorBidi"/>
                <w:lang w:eastAsia="fr-FR"/>
              </w:rPr>
            </w:pPr>
          </w:p>
        </w:tc>
        <w:tc>
          <w:tcPr>
            <w:tcW w:w="851" w:type="dxa"/>
            <w:tcBorders>
              <w:top w:val="nil"/>
              <w:left w:val="nil"/>
              <w:bottom w:val="nil"/>
              <w:right w:val="nil"/>
            </w:tcBorders>
            <w:shd w:val="clear" w:color="auto" w:fill="auto"/>
            <w:noWrap/>
            <w:vAlign w:val="bottom"/>
            <w:hideMark/>
          </w:tcPr>
          <w:p w14:paraId="417DAD7D" w14:textId="77777777" w:rsidR="00B065F3" w:rsidRPr="00DD7C06" w:rsidRDefault="00B065F3" w:rsidP="00AE3850">
            <w:pPr>
              <w:spacing w:line="360" w:lineRule="auto"/>
              <w:jc w:val="both"/>
              <w:rPr>
                <w:rFonts w:asciiTheme="majorBidi" w:eastAsia="Times New Roman" w:hAnsiTheme="majorBidi" w:cstheme="majorBidi"/>
                <w:lang w:eastAsia="fr-FR"/>
              </w:rPr>
            </w:pPr>
          </w:p>
        </w:tc>
        <w:tc>
          <w:tcPr>
            <w:tcW w:w="708" w:type="dxa"/>
            <w:gridSpan w:val="2"/>
            <w:tcBorders>
              <w:top w:val="nil"/>
              <w:left w:val="nil"/>
              <w:bottom w:val="nil"/>
              <w:right w:val="nil"/>
            </w:tcBorders>
            <w:shd w:val="clear" w:color="auto" w:fill="auto"/>
            <w:noWrap/>
            <w:vAlign w:val="bottom"/>
            <w:hideMark/>
          </w:tcPr>
          <w:p w14:paraId="0D7567BC" w14:textId="77777777" w:rsidR="00B065F3" w:rsidRPr="00DD7C06" w:rsidRDefault="00B065F3" w:rsidP="00AE3850">
            <w:pPr>
              <w:spacing w:line="360" w:lineRule="auto"/>
              <w:jc w:val="both"/>
              <w:rPr>
                <w:rFonts w:asciiTheme="majorBidi" w:eastAsia="Times New Roman" w:hAnsiTheme="majorBidi" w:cstheme="majorBidi"/>
                <w:lang w:eastAsia="fr-FR"/>
              </w:rPr>
            </w:pPr>
          </w:p>
        </w:tc>
        <w:tc>
          <w:tcPr>
            <w:tcW w:w="1701" w:type="dxa"/>
            <w:gridSpan w:val="2"/>
            <w:tcBorders>
              <w:top w:val="nil"/>
              <w:left w:val="nil"/>
              <w:bottom w:val="nil"/>
              <w:right w:val="nil"/>
            </w:tcBorders>
            <w:shd w:val="clear" w:color="auto" w:fill="auto"/>
            <w:noWrap/>
            <w:vAlign w:val="bottom"/>
            <w:hideMark/>
          </w:tcPr>
          <w:p w14:paraId="6C194A2C" w14:textId="77777777" w:rsidR="00B065F3" w:rsidRPr="00DD7C06" w:rsidRDefault="00B065F3" w:rsidP="00AE3850">
            <w:pPr>
              <w:spacing w:line="360" w:lineRule="auto"/>
              <w:jc w:val="both"/>
              <w:rPr>
                <w:rFonts w:asciiTheme="majorBidi" w:eastAsia="Times New Roman" w:hAnsiTheme="majorBidi" w:cstheme="majorBidi"/>
                <w:lang w:eastAsia="fr-FR"/>
              </w:rPr>
            </w:pPr>
          </w:p>
        </w:tc>
        <w:tc>
          <w:tcPr>
            <w:tcW w:w="992" w:type="dxa"/>
            <w:gridSpan w:val="2"/>
            <w:tcBorders>
              <w:top w:val="nil"/>
              <w:left w:val="nil"/>
              <w:bottom w:val="nil"/>
              <w:right w:val="nil"/>
            </w:tcBorders>
            <w:shd w:val="clear" w:color="auto" w:fill="auto"/>
            <w:noWrap/>
            <w:vAlign w:val="bottom"/>
            <w:hideMark/>
          </w:tcPr>
          <w:p w14:paraId="213F60A3" w14:textId="77777777" w:rsidR="00B065F3" w:rsidRPr="00DD7C06" w:rsidRDefault="00B065F3" w:rsidP="00AE3850">
            <w:pPr>
              <w:spacing w:line="360" w:lineRule="auto"/>
              <w:jc w:val="both"/>
              <w:rPr>
                <w:rFonts w:asciiTheme="majorBidi" w:eastAsia="Times New Roman" w:hAnsiTheme="majorBidi" w:cstheme="majorBidi"/>
                <w:lang w:eastAsia="fr-FR"/>
              </w:rPr>
            </w:pPr>
          </w:p>
        </w:tc>
      </w:tr>
    </w:tbl>
    <w:p w14:paraId="03EB9F97" w14:textId="2E02B35F" w:rsidR="00B065F3" w:rsidRPr="002F3A91" w:rsidRDefault="00B065F3" w:rsidP="00AE3850">
      <w:pPr>
        <w:spacing w:line="360" w:lineRule="auto"/>
        <w:jc w:val="both"/>
        <w:rPr>
          <w:rFonts w:asciiTheme="majorBidi" w:eastAsia="Times New Roman" w:hAnsiTheme="majorBidi" w:cstheme="majorBidi"/>
          <w:b/>
          <w:bCs/>
          <w:lang w:eastAsia="fr-FR"/>
        </w:rPr>
      </w:pPr>
      <w:r w:rsidRPr="002F3A91">
        <w:rPr>
          <w:rFonts w:asciiTheme="majorBidi" w:eastAsia="Times New Roman" w:hAnsiTheme="majorBidi" w:cstheme="majorBidi"/>
          <w:b/>
          <w:bCs/>
          <w:lang w:eastAsia="fr-FR"/>
        </w:rPr>
        <w:t>Source : DOT de Beni Messous – Département Budget</w:t>
      </w:r>
    </w:p>
    <w:p w14:paraId="01561D2E" w14:textId="77777777" w:rsidR="00B065F3" w:rsidRDefault="00B065F3"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br w:type="page"/>
      </w:r>
    </w:p>
    <w:p w14:paraId="5FAA1F76" w14:textId="77777777" w:rsidR="00B065F3" w:rsidRPr="00953B54" w:rsidRDefault="00B065F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lastRenderedPageBreak/>
        <w:t>Les commentaires :</w:t>
      </w:r>
    </w:p>
    <w:p w14:paraId="1C85E316" w14:textId="77777777" w:rsidR="00B065F3" w:rsidRPr="00953B54" w:rsidRDefault="00B065F3" w:rsidP="00AE3850">
      <w:pPr>
        <w:spacing w:line="360" w:lineRule="auto"/>
        <w:ind w:firstLine="708"/>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xml:space="preserve">Quatre opérations de réaménagement ont été effectuées, représentant un total de </w:t>
      </w:r>
      <w:r w:rsidRPr="00953B54">
        <w:rPr>
          <w:rFonts w:asciiTheme="majorBidi" w:eastAsia="Times New Roman" w:hAnsiTheme="majorBidi" w:cstheme="majorBidi"/>
          <w:b/>
          <w:bCs/>
          <w:lang w:eastAsia="fr-FR"/>
        </w:rPr>
        <w:t>4 950 DA</w:t>
      </w:r>
      <w:r w:rsidRPr="00953B54">
        <w:rPr>
          <w:rFonts w:asciiTheme="majorBidi" w:eastAsia="Times New Roman" w:hAnsiTheme="majorBidi" w:cstheme="majorBidi"/>
          <w:lang w:eastAsia="fr-FR"/>
        </w:rPr>
        <w:t xml:space="preserve"> transférés à des postes jugés prioritaires :</w:t>
      </w:r>
    </w:p>
    <w:p w14:paraId="5765938A" w14:textId="77777777" w:rsidR="00B065F3" w:rsidRPr="00953B54" w:rsidRDefault="00B065F3" w:rsidP="00AE3850">
      <w:pPr>
        <w:spacing w:line="360" w:lineRule="auto"/>
        <w:ind w:firstLine="708"/>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800 DA</w:t>
      </w:r>
      <w:r w:rsidRPr="00953B54">
        <w:rPr>
          <w:rFonts w:asciiTheme="majorBidi" w:eastAsia="Times New Roman" w:hAnsiTheme="majorBidi" w:cstheme="majorBidi"/>
          <w:lang w:eastAsia="fr-FR"/>
        </w:rPr>
        <w:t xml:space="preserve"> ont été réaffectés du poste </w:t>
      </w:r>
      <w:r w:rsidRPr="00953B54">
        <w:rPr>
          <w:rFonts w:asciiTheme="majorBidi" w:eastAsia="Times New Roman" w:hAnsiTheme="majorBidi" w:cstheme="majorBidi"/>
          <w:b/>
          <w:bCs/>
          <w:lang w:eastAsia="fr-FR"/>
        </w:rPr>
        <w:t>Fournitures d'énergie (F601130)</w:t>
      </w:r>
      <w:r w:rsidRPr="00953B54">
        <w:rPr>
          <w:rFonts w:asciiTheme="majorBidi" w:eastAsia="Times New Roman" w:hAnsiTheme="majorBidi" w:cstheme="majorBidi"/>
          <w:lang w:eastAsia="fr-FR"/>
        </w:rPr>
        <w:t xml:space="preserve"> vers </w:t>
      </w:r>
      <w:r w:rsidRPr="00953B54">
        <w:rPr>
          <w:rFonts w:asciiTheme="majorBidi" w:eastAsia="Times New Roman" w:hAnsiTheme="majorBidi" w:cstheme="majorBidi"/>
          <w:b/>
          <w:bCs/>
          <w:lang w:eastAsia="fr-FR"/>
        </w:rPr>
        <w:t>Fournitures de commutation (F601110)</w:t>
      </w:r>
      <w:r w:rsidRPr="00953B54">
        <w:rPr>
          <w:rFonts w:asciiTheme="majorBidi" w:eastAsia="Times New Roman" w:hAnsiTheme="majorBidi" w:cstheme="majorBidi"/>
          <w:lang w:eastAsia="fr-FR"/>
        </w:rPr>
        <w:t>. Cette opération reflète une priorité donnée aux équipements techniques indispensables à la continuité des services télécom.</w:t>
      </w:r>
    </w:p>
    <w:p w14:paraId="6ED9F916" w14:textId="77777777" w:rsidR="00B065F3" w:rsidRPr="00953B54" w:rsidRDefault="00B065F3" w:rsidP="00AE3850">
      <w:pPr>
        <w:spacing w:line="360" w:lineRule="auto"/>
        <w:ind w:firstLine="708"/>
        <w:jc w:val="both"/>
        <w:rPr>
          <w:rFonts w:asciiTheme="majorBidi" w:eastAsia="Times New Roman" w:hAnsiTheme="majorBidi" w:cstheme="majorBidi"/>
          <w:lang w:eastAsia="fr-FR"/>
        </w:rPr>
      </w:pPr>
      <w:r w:rsidRPr="00953B54">
        <w:rPr>
          <w:rFonts w:asciiTheme="majorBidi" w:eastAsia="Times New Roman" w:hAnsiTheme="majorBidi" w:cstheme="majorBidi"/>
          <w:b/>
          <w:bCs/>
          <w:lang w:eastAsia="fr-FR"/>
        </w:rPr>
        <w:t>200 DA</w:t>
      </w:r>
      <w:r w:rsidRPr="00953B54">
        <w:rPr>
          <w:rFonts w:asciiTheme="majorBidi" w:eastAsia="Times New Roman" w:hAnsiTheme="majorBidi" w:cstheme="majorBidi"/>
          <w:lang w:eastAsia="fr-FR"/>
        </w:rPr>
        <w:t xml:space="preserve"> ont été prélevés du budget </w:t>
      </w:r>
      <w:r w:rsidRPr="00953B54">
        <w:rPr>
          <w:rFonts w:asciiTheme="majorBidi" w:eastAsia="Times New Roman" w:hAnsiTheme="majorBidi" w:cstheme="majorBidi"/>
          <w:b/>
          <w:bCs/>
          <w:lang w:eastAsia="fr-FR"/>
        </w:rPr>
        <w:t>Pneumatiques (F602113)</w:t>
      </w:r>
      <w:r w:rsidRPr="00953B54">
        <w:rPr>
          <w:rFonts w:asciiTheme="majorBidi" w:eastAsia="Times New Roman" w:hAnsiTheme="majorBidi" w:cstheme="majorBidi"/>
          <w:lang w:eastAsia="fr-FR"/>
        </w:rPr>
        <w:t xml:space="preserve"> pour renforcer le poste </w:t>
      </w:r>
      <w:r w:rsidRPr="00953B54">
        <w:rPr>
          <w:rFonts w:asciiTheme="majorBidi" w:eastAsia="Times New Roman" w:hAnsiTheme="majorBidi" w:cstheme="majorBidi"/>
          <w:b/>
          <w:bCs/>
          <w:lang w:eastAsia="fr-FR"/>
        </w:rPr>
        <w:t>Carburant (F602111)</w:t>
      </w:r>
      <w:r w:rsidRPr="00953B54">
        <w:rPr>
          <w:rFonts w:asciiTheme="majorBidi" w:eastAsia="Times New Roman" w:hAnsiTheme="majorBidi" w:cstheme="majorBidi"/>
          <w:lang w:eastAsia="fr-FR"/>
        </w:rPr>
        <w:t>, probablement pour faire face à une augmentation des déplacements ou à une hausse des coûts.</w:t>
      </w:r>
    </w:p>
    <w:p w14:paraId="3B35A6AC" w14:textId="77777777" w:rsidR="00B065F3" w:rsidRPr="00953B54" w:rsidRDefault="00B065F3" w:rsidP="00AE3850">
      <w:pPr>
        <w:spacing w:line="360" w:lineRule="auto"/>
        <w:ind w:firstLine="708"/>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xml:space="preserve">Une somme plus importante de </w:t>
      </w:r>
      <w:r w:rsidRPr="00953B54">
        <w:rPr>
          <w:rFonts w:asciiTheme="majorBidi" w:eastAsia="Times New Roman" w:hAnsiTheme="majorBidi" w:cstheme="majorBidi"/>
          <w:b/>
          <w:bCs/>
          <w:lang w:eastAsia="fr-FR"/>
        </w:rPr>
        <w:t>3 500 DA</w:t>
      </w:r>
      <w:r w:rsidRPr="00953B54">
        <w:rPr>
          <w:rFonts w:asciiTheme="majorBidi" w:eastAsia="Times New Roman" w:hAnsiTheme="majorBidi" w:cstheme="majorBidi"/>
          <w:lang w:eastAsia="fr-FR"/>
        </w:rPr>
        <w:t xml:space="preserve"> a été transférée de </w:t>
      </w:r>
      <w:r w:rsidRPr="00953B54">
        <w:rPr>
          <w:rFonts w:asciiTheme="majorBidi" w:eastAsia="Times New Roman" w:hAnsiTheme="majorBidi" w:cstheme="majorBidi"/>
          <w:b/>
          <w:bCs/>
          <w:lang w:eastAsia="fr-FR"/>
        </w:rPr>
        <w:t>Petit outillage (F602284)</w:t>
      </w:r>
      <w:r w:rsidRPr="00953B54">
        <w:rPr>
          <w:rFonts w:asciiTheme="majorBidi" w:eastAsia="Times New Roman" w:hAnsiTheme="majorBidi" w:cstheme="majorBidi"/>
          <w:lang w:eastAsia="fr-FR"/>
        </w:rPr>
        <w:t xml:space="preserve"> vers </w:t>
      </w:r>
      <w:r w:rsidRPr="00953B54">
        <w:rPr>
          <w:rFonts w:asciiTheme="majorBidi" w:eastAsia="Times New Roman" w:hAnsiTheme="majorBidi" w:cstheme="majorBidi"/>
          <w:b/>
          <w:bCs/>
          <w:lang w:eastAsia="fr-FR"/>
        </w:rPr>
        <w:t>Fournitures informatiques (F602222)</w:t>
      </w:r>
      <w:r w:rsidRPr="00953B54">
        <w:rPr>
          <w:rFonts w:asciiTheme="majorBidi" w:eastAsia="Times New Roman" w:hAnsiTheme="majorBidi" w:cstheme="majorBidi"/>
          <w:lang w:eastAsia="fr-FR"/>
        </w:rPr>
        <w:t>, ce qui indique un effort particulier d’équipement numérique ou de modernisation du parc informatique.</w:t>
      </w:r>
    </w:p>
    <w:p w14:paraId="1447DAB2" w14:textId="77777777" w:rsidR="00B065F3" w:rsidRPr="00953B54" w:rsidRDefault="00B065F3" w:rsidP="00AE3850">
      <w:pPr>
        <w:spacing w:line="360" w:lineRule="auto"/>
        <w:ind w:firstLine="708"/>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 xml:space="preserve">Enfin, </w:t>
      </w:r>
      <w:r w:rsidRPr="00953B54">
        <w:rPr>
          <w:rFonts w:asciiTheme="majorBidi" w:eastAsia="Times New Roman" w:hAnsiTheme="majorBidi" w:cstheme="majorBidi"/>
          <w:b/>
          <w:bCs/>
          <w:lang w:eastAsia="fr-FR"/>
        </w:rPr>
        <w:t>450 DA</w:t>
      </w:r>
      <w:r w:rsidRPr="00953B54">
        <w:rPr>
          <w:rFonts w:asciiTheme="majorBidi" w:eastAsia="Times New Roman" w:hAnsiTheme="majorBidi" w:cstheme="majorBidi"/>
          <w:lang w:eastAsia="fr-FR"/>
        </w:rPr>
        <w:t xml:space="preserve"> ont été retirés du poste </w:t>
      </w:r>
      <w:r w:rsidRPr="00953B54">
        <w:rPr>
          <w:rFonts w:asciiTheme="majorBidi" w:eastAsia="Times New Roman" w:hAnsiTheme="majorBidi" w:cstheme="majorBidi"/>
          <w:b/>
          <w:bCs/>
          <w:lang w:eastAsia="fr-FR"/>
        </w:rPr>
        <w:t>Autres fournitures consommables (F602288)</w:t>
      </w:r>
      <w:r w:rsidRPr="00953B54">
        <w:rPr>
          <w:rFonts w:asciiTheme="majorBidi" w:eastAsia="Times New Roman" w:hAnsiTheme="majorBidi" w:cstheme="majorBidi"/>
          <w:lang w:eastAsia="fr-FR"/>
        </w:rPr>
        <w:t xml:space="preserve"> pour renforcer </w:t>
      </w:r>
      <w:r w:rsidRPr="00953B54">
        <w:rPr>
          <w:rFonts w:asciiTheme="majorBidi" w:eastAsia="Times New Roman" w:hAnsiTheme="majorBidi" w:cstheme="majorBidi"/>
          <w:b/>
          <w:bCs/>
          <w:lang w:eastAsia="fr-FR"/>
        </w:rPr>
        <w:t>Produits pharmaceutiques (F602286)</w:t>
      </w:r>
      <w:r w:rsidRPr="00953B54">
        <w:rPr>
          <w:rFonts w:asciiTheme="majorBidi" w:eastAsia="Times New Roman" w:hAnsiTheme="majorBidi" w:cstheme="majorBidi"/>
          <w:lang w:eastAsia="fr-FR"/>
        </w:rPr>
        <w:t>, soulignant une attention portée à la santé et à la sécurité, peut-être dans un contexte de prévention ou d’urgence sanitaire.</w:t>
      </w:r>
    </w:p>
    <w:p w14:paraId="239D99B6" w14:textId="77777777" w:rsidR="00B065F3" w:rsidRPr="00953B54" w:rsidRDefault="00B065F3" w:rsidP="00AE3850">
      <w:pPr>
        <w:spacing w:line="360" w:lineRule="auto"/>
        <w:ind w:firstLine="708"/>
        <w:jc w:val="both"/>
        <w:rPr>
          <w:rFonts w:asciiTheme="majorBidi" w:hAnsiTheme="majorBidi" w:cstheme="majorBidi"/>
        </w:rPr>
      </w:pPr>
      <w:r w:rsidRPr="00953B54">
        <w:rPr>
          <w:rFonts w:asciiTheme="majorBidi" w:hAnsiTheme="majorBidi" w:cstheme="majorBidi"/>
        </w:rPr>
        <w:t xml:space="preserve">Après ces ajustements, le budget disponible restant s’élève à </w:t>
      </w:r>
      <w:r w:rsidRPr="00953B54">
        <w:rPr>
          <w:rStyle w:val="lev"/>
          <w:rFonts w:asciiTheme="majorBidi" w:hAnsiTheme="majorBidi"/>
        </w:rPr>
        <w:t>7 329 DA</w:t>
      </w:r>
      <w:r w:rsidRPr="00953B54">
        <w:rPr>
          <w:rFonts w:asciiTheme="majorBidi" w:hAnsiTheme="majorBidi" w:cstheme="majorBidi"/>
        </w:rPr>
        <w:t>, ce qui montre que les réaménagements ont été réalisés de manière ciblée, tout en maintenant une certaine marge de manœuvre financière.</w:t>
      </w:r>
    </w:p>
    <w:p w14:paraId="6C6ADA65" w14:textId="77777777" w:rsidR="00AC13BD" w:rsidRDefault="00AC13BD" w:rsidP="00AE3850">
      <w:pPr>
        <w:spacing w:line="360" w:lineRule="auto"/>
        <w:jc w:val="both"/>
        <w:rPr>
          <w:rFonts w:asciiTheme="majorBidi" w:hAnsiTheme="majorBidi" w:cstheme="majorBidi"/>
          <w:b/>
          <w:bCs/>
        </w:rPr>
      </w:pPr>
      <w:r>
        <w:rPr>
          <w:rFonts w:asciiTheme="majorBidi" w:hAnsiTheme="majorBidi" w:cstheme="majorBidi"/>
          <w:b/>
          <w:bCs/>
          <w:i/>
          <w:iCs/>
        </w:rPr>
        <w:br w:type="page"/>
      </w:r>
    </w:p>
    <w:p w14:paraId="729B25A1" w14:textId="7119A11F" w:rsidR="002146FC"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80" w:name="_Toc199314996"/>
      <w:r w:rsidRPr="0088457B">
        <w:rPr>
          <w:rFonts w:asciiTheme="majorBidi" w:hAnsiTheme="majorBidi" w:cstheme="majorBidi"/>
          <w:b/>
          <w:bCs/>
          <w:i w:val="0"/>
          <w:iCs w:val="0"/>
          <w:color w:val="auto"/>
          <w:sz w:val="24"/>
          <w:szCs w:val="24"/>
        </w:rPr>
        <w:lastRenderedPageBreak/>
        <w:t xml:space="preserve">Tableau N°2- </w:t>
      </w:r>
      <w:r w:rsidRPr="0088457B">
        <w:rPr>
          <w:rFonts w:asciiTheme="majorBidi" w:hAnsiTheme="majorBidi" w:cstheme="majorBidi"/>
          <w:b/>
          <w:bCs/>
          <w:i w:val="0"/>
          <w:iCs w:val="0"/>
          <w:color w:val="auto"/>
          <w:sz w:val="24"/>
          <w:szCs w:val="24"/>
        </w:rPr>
        <w:fldChar w:fldCharType="begin"/>
      </w:r>
      <w:r w:rsidRPr="0088457B">
        <w:rPr>
          <w:rFonts w:asciiTheme="majorBidi" w:hAnsiTheme="majorBidi" w:cstheme="majorBidi"/>
          <w:b/>
          <w:bCs/>
          <w:i w:val="0"/>
          <w:iCs w:val="0"/>
          <w:color w:val="auto"/>
          <w:sz w:val="24"/>
          <w:szCs w:val="24"/>
        </w:rPr>
        <w:instrText xml:space="preserve"> SEQ Tableau_N°2- \* ARABIC </w:instrText>
      </w:r>
      <w:r w:rsidRPr="0088457B">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8</w:t>
      </w:r>
      <w:r w:rsidRPr="0088457B">
        <w:rPr>
          <w:rFonts w:asciiTheme="majorBidi" w:hAnsiTheme="majorBidi" w:cstheme="majorBidi"/>
          <w:b/>
          <w:bCs/>
          <w:i w:val="0"/>
          <w:iCs w:val="0"/>
          <w:color w:val="auto"/>
          <w:sz w:val="24"/>
          <w:szCs w:val="24"/>
        </w:rPr>
        <w:fldChar w:fldCharType="end"/>
      </w:r>
      <w:r w:rsidR="009A4807">
        <w:rPr>
          <w:rFonts w:asciiTheme="majorBidi" w:hAnsiTheme="majorBidi" w:cstheme="majorBidi"/>
          <w:b/>
          <w:bCs/>
          <w:i w:val="0"/>
          <w:iCs w:val="0"/>
          <w:color w:val="auto"/>
          <w:sz w:val="24"/>
          <w:szCs w:val="24"/>
        </w:rPr>
        <w:t xml:space="preserve">: Réaménagements </w:t>
      </w:r>
      <w:r w:rsidRPr="0088457B">
        <w:rPr>
          <w:rFonts w:asciiTheme="majorBidi" w:hAnsiTheme="majorBidi" w:cstheme="majorBidi"/>
          <w:b/>
          <w:bCs/>
          <w:i w:val="0"/>
          <w:iCs w:val="0"/>
          <w:color w:val="auto"/>
          <w:sz w:val="24"/>
          <w:szCs w:val="24"/>
        </w:rPr>
        <w:t>budgétaires inte</w:t>
      </w:r>
      <w:r w:rsidR="002146FC">
        <w:rPr>
          <w:rFonts w:asciiTheme="majorBidi" w:hAnsiTheme="majorBidi" w:cstheme="majorBidi"/>
          <w:b/>
          <w:bCs/>
          <w:i w:val="0"/>
          <w:iCs w:val="0"/>
          <w:color w:val="auto"/>
          <w:sz w:val="24"/>
          <w:szCs w:val="24"/>
        </w:rPr>
        <w:t xml:space="preserve">rnes entre postes de dépenses </w:t>
      </w:r>
      <w:r w:rsidRPr="0088457B">
        <w:rPr>
          <w:rFonts w:asciiTheme="majorBidi" w:hAnsiTheme="majorBidi" w:cstheme="majorBidi"/>
          <w:b/>
          <w:bCs/>
          <w:i w:val="0"/>
          <w:iCs w:val="0"/>
          <w:color w:val="auto"/>
          <w:sz w:val="24"/>
          <w:szCs w:val="24"/>
        </w:rPr>
        <w:t xml:space="preserve">Compte </w:t>
      </w:r>
    </w:p>
    <w:p w14:paraId="79F3761E" w14:textId="60A3B255" w:rsidR="002146FC" w:rsidRPr="002146FC" w:rsidRDefault="00F41FC7" w:rsidP="002146FC">
      <w:pPr>
        <w:pStyle w:val="Lgende"/>
        <w:keepNext/>
        <w:spacing w:line="360" w:lineRule="auto"/>
        <w:jc w:val="both"/>
        <w:rPr>
          <w:rFonts w:asciiTheme="majorBidi" w:hAnsiTheme="majorBidi" w:cstheme="majorBidi"/>
          <w:b/>
          <w:bCs/>
          <w:i w:val="0"/>
          <w:iCs w:val="0"/>
          <w:color w:val="auto"/>
          <w:sz w:val="24"/>
          <w:szCs w:val="24"/>
        </w:rPr>
      </w:pPr>
      <w:r>
        <w:rPr>
          <w:rFonts w:asciiTheme="majorBidi" w:hAnsiTheme="majorBidi" w:cstheme="majorBidi"/>
          <w:b/>
          <w:bCs/>
          <w:i w:val="0"/>
          <w:iCs w:val="0"/>
          <w:color w:val="auto"/>
          <w:sz w:val="24"/>
          <w:szCs w:val="24"/>
        </w:rPr>
        <w:t>60 (</w:t>
      </w:r>
      <w:r w:rsidR="000630FE">
        <w:rPr>
          <w:rFonts w:asciiTheme="majorBidi" w:hAnsiTheme="majorBidi" w:cstheme="majorBidi"/>
          <w:b/>
          <w:bCs/>
          <w:i w:val="0"/>
          <w:iCs w:val="0"/>
          <w:color w:val="auto"/>
          <w:sz w:val="24"/>
          <w:szCs w:val="24"/>
        </w:rPr>
        <w:t>en  KDA)</w:t>
      </w:r>
    </w:p>
    <w:bookmarkEnd w:id="180"/>
    <w:p w14:paraId="701E93AF" w14:textId="155AED7F" w:rsidR="00B065F3" w:rsidRPr="0088457B" w:rsidRDefault="00B065F3" w:rsidP="00AE3850">
      <w:pPr>
        <w:pStyle w:val="Lgende"/>
        <w:keepNext/>
        <w:spacing w:line="360" w:lineRule="auto"/>
        <w:jc w:val="both"/>
        <w:rPr>
          <w:rFonts w:asciiTheme="majorBidi" w:hAnsiTheme="majorBidi" w:cstheme="majorBidi"/>
          <w:b/>
          <w:bCs/>
          <w:i w:val="0"/>
          <w:iCs w:val="0"/>
          <w:color w:val="auto"/>
          <w:sz w:val="24"/>
          <w:szCs w:val="24"/>
        </w:rPr>
      </w:pPr>
    </w:p>
    <w:tbl>
      <w:tblPr>
        <w:tblpPr w:leftFromText="141" w:rightFromText="141" w:vertAnchor="text" w:horzAnchor="margin" w:tblpXSpec="center" w:tblpY="-38"/>
        <w:tblW w:w="10930" w:type="dxa"/>
        <w:tblLayout w:type="fixed"/>
        <w:tblCellMar>
          <w:left w:w="70" w:type="dxa"/>
          <w:right w:w="70" w:type="dxa"/>
        </w:tblCellMar>
        <w:tblLook w:val="04A0" w:firstRow="1" w:lastRow="0" w:firstColumn="1" w:lastColumn="0" w:noHBand="0" w:noVBand="1"/>
      </w:tblPr>
      <w:tblGrid>
        <w:gridCol w:w="1008"/>
        <w:gridCol w:w="3969"/>
        <w:gridCol w:w="1275"/>
        <w:gridCol w:w="1258"/>
        <w:gridCol w:w="1294"/>
        <w:gridCol w:w="1134"/>
        <w:gridCol w:w="992"/>
      </w:tblGrid>
      <w:tr w:rsidR="00975813" w:rsidRPr="00953B54" w14:paraId="0C303270" w14:textId="77777777" w:rsidTr="00975813">
        <w:trPr>
          <w:trHeight w:val="574"/>
        </w:trPr>
        <w:tc>
          <w:tcPr>
            <w:tcW w:w="1008"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08BEC1C2" w14:textId="77777777" w:rsidR="00975813" w:rsidRPr="00953B54" w:rsidRDefault="0097581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Code</w:t>
            </w:r>
          </w:p>
        </w:tc>
        <w:tc>
          <w:tcPr>
            <w:tcW w:w="3969"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191BD3AB" w14:textId="77777777" w:rsidR="00975813" w:rsidRPr="00953B54" w:rsidRDefault="0097581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Désignation</w:t>
            </w:r>
          </w:p>
        </w:tc>
        <w:tc>
          <w:tcPr>
            <w:tcW w:w="1275"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5B9416B2" w14:textId="77777777" w:rsidR="00975813" w:rsidRPr="00953B54" w:rsidRDefault="0097581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Budget 2023 (1)</w:t>
            </w:r>
          </w:p>
        </w:tc>
        <w:tc>
          <w:tcPr>
            <w:tcW w:w="1258"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5B3780C1" w14:textId="77777777" w:rsidR="00975813" w:rsidRPr="00953B54" w:rsidRDefault="0097581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cumul Engag au,,, (2)</w:t>
            </w:r>
          </w:p>
        </w:tc>
        <w:tc>
          <w:tcPr>
            <w:tcW w:w="1294"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7B536100" w14:textId="77777777" w:rsidR="00975813" w:rsidRPr="00953B54" w:rsidRDefault="0097581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cumul Réal au,,,,, (3)</w:t>
            </w:r>
          </w:p>
        </w:tc>
        <w:tc>
          <w:tcPr>
            <w:tcW w:w="1134"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48BD24A0" w14:textId="77777777" w:rsidR="00975813" w:rsidRPr="00953B54" w:rsidRDefault="0097581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Taux d'engag  (2)/(1)</w:t>
            </w:r>
          </w:p>
        </w:tc>
        <w:tc>
          <w:tcPr>
            <w:tcW w:w="992" w:type="dxa"/>
            <w:vMerge w:val="restart"/>
            <w:tcBorders>
              <w:top w:val="single" w:sz="4" w:space="0" w:color="auto"/>
              <w:left w:val="single" w:sz="4" w:space="0" w:color="auto"/>
              <w:bottom w:val="single" w:sz="4" w:space="0" w:color="000000"/>
              <w:right w:val="single" w:sz="4" w:space="0" w:color="auto"/>
            </w:tcBorders>
            <w:shd w:val="clear" w:color="000000" w:fill="9BC2E6"/>
            <w:vAlign w:val="center"/>
            <w:hideMark/>
          </w:tcPr>
          <w:p w14:paraId="1B32F00F" w14:textId="77777777" w:rsidR="00975813" w:rsidRPr="00953B54" w:rsidRDefault="0097581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Taux de Réal (3)/(1)</w:t>
            </w:r>
          </w:p>
        </w:tc>
      </w:tr>
      <w:tr w:rsidR="00975813" w:rsidRPr="00953B54" w14:paraId="404B83B3" w14:textId="77777777" w:rsidTr="00975813">
        <w:trPr>
          <w:trHeight w:val="647"/>
        </w:trPr>
        <w:tc>
          <w:tcPr>
            <w:tcW w:w="1008" w:type="dxa"/>
            <w:vMerge/>
            <w:tcBorders>
              <w:top w:val="single" w:sz="4" w:space="0" w:color="auto"/>
              <w:left w:val="single" w:sz="4" w:space="0" w:color="auto"/>
              <w:bottom w:val="single" w:sz="4" w:space="0" w:color="000000"/>
              <w:right w:val="single" w:sz="4" w:space="0" w:color="auto"/>
            </w:tcBorders>
            <w:vAlign w:val="center"/>
            <w:hideMark/>
          </w:tcPr>
          <w:p w14:paraId="300BB500" w14:textId="77777777" w:rsidR="00975813" w:rsidRPr="00953B54" w:rsidRDefault="00975813" w:rsidP="00AE3850">
            <w:pPr>
              <w:spacing w:line="360" w:lineRule="auto"/>
              <w:jc w:val="both"/>
              <w:rPr>
                <w:rFonts w:asciiTheme="majorBidi" w:eastAsia="Times New Roman" w:hAnsiTheme="majorBidi" w:cstheme="majorBidi"/>
                <w:b/>
                <w:bCs/>
                <w:lang w:eastAsia="fr-FR"/>
              </w:rPr>
            </w:pPr>
          </w:p>
        </w:tc>
        <w:tc>
          <w:tcPr>
            <w:tcW w:w="3969" w:type="dxa"/>
            <w:vMerge/>
            <w:tcBorders>
              <w:top w:val="single" w:sz="4" w:space="0" w:color="auto"/>
              <w:left w:val="single" w:sz="4" w:space="0" w:color="auto"/>
              <w:bottom w:val="single" w:sz="4" w:space="0" w:color="000000"/>
              <w:right w:val="single" w:sz="4" w:space="0" w:color="auto"/>
            </w:tcBorders>
            <w:vAlign w:val="center"/>
            <w:hideMark/>
          </w:tcPr>
          <w:p w14:paraId="4C2B9153" w14:textId="77777777" w:rsidR="00975813" w:rsidRPr="00953B54" w:rsidRDefault="00975813" w:rsidP="00AE3850">
            <w:pPr>
              <w:spacing w:line="360" w:lineRule="auto"/>
              <w:jc w:val="both"/>
              <w:rPr>
                <w:rFonts w:asciiTheme="majorBidi" w:eastAsia="Times New Roman" w:hAnsiTheme="majorBidi" w:cstheme="majorBidi"/>
                <w:b/>
                <w:bCs/>
                <w:lang w:eastAsia="fr-FR"/>
              </w:rPr>
            </w:pPr>
          </w:p>
        </w:tc>
        <w:tc>
          <w:tcPr>
            <w:tcW w:w="1275" w:type="dxa"/>
            <w:vMerge/>
            <w:tcBorders>
              <w:top w:val="single" w:sz="4" w:space="0" w:color="auto"/>
              <w:left w:val="single" w:sz="4" w:space="0" w:color="auto"/>
              <w:bottom w:val="single" w:sz="4" w:space="0" w:color="000000"/>
              <w:right w:val="single" w:sz="4" w:space="0" w:color="auto"/>
            </w:tcBorders>
            <w:vAlign w:val="center"/>
            <w:hideMark/>
          </w:tcPr>
          <w:p w14:paraId="3E72EC34" w14:textId="77777777" w:rsidR="00975813" w:rsidRPr="00953B54" w:rsidRDefault="00975813" w:rsidP="00AE3850">
            <w:pPr>
              <w:spacing w:line="360" w:lineRule="auto"/>
              <w:jc w:val="both"/>
              <w:rPr>
                <w:rFonts w:asciiTheme="majorBidi" w:eastAsia="Times New Roman" w:hAnsiTheme="majorBidi" w:cstheme="majorBidi"/>
                <w:b/>
                <w:bCs/>
                <w:lang w:eastAsia="fr-FR"/>
              </w:rPr>
            </w:pPr>
          </w:p>
        </w:tc>
        <w:tc>
          <w:tcPr>
            <w:tcW w:w="1258" w:type="dxa"/>
            <w:vMerge/>
            <w:tcBorders>
              <w:top w:val="single" w:sz="4" w:space="0" w:color="auto"/>
              <w:left w:val="single" w:sz="4" w:space="0" w:color="auto"/>
              <w:bottom w:val="single" w:sz="4" w:space="0" w:color="000000"/>
              <w:right w:val="single" w:sz="4" w:space="0" w:color="auto"/>
            </w:tcBorders>
            <w:vAlign w:val="center"/>
            <w:hideMark/>
          </w:tcPr>
          <w:p w14:paraId="59DC5291" w14:textId="77777777" w:rsidR="00975813" w:rsidRPr="00953B54" w:rsidRDefault="00975813" w:rsidP="00AE3850">
            <w:pPr>
              <w:spacing w:line="360" w:lineRule="auto"/>
              <w:jc w:val="both"/>
              <w:rPr>
                <w:rFonts w:asciiTheme="majorBidi" w:eastAsia="Times New Roman" w:hAnsiTheme="majorBidi" w:cstheme="majorBidi"/>
                <w:b/>
                <w:bCs/>
                <w:lang w:eastAsia="fr-FR"/>
              </w:rPr>
            </w:pPr>
          </w:p>
        </w:tc>
        <w:tc>
          <w:tcPr>
            <w:tcW w:w="1294" w:type="dxa"/>
            <w:vMerge/>
            <w:tcBorders>
              <w:top w:val="single" w:sz="4" w:space="0" w:color="auto"/>
              <w:left w:val="single" w:sz="4" w:space="0" w:color="auto"/>
              <w:bottom w:val="single" w:sz="4" w:space="0" w:color="000000"/>
              <w:right w:val="single" w:sz="4" w:space="0" w:color="auto"/>
            </w:tcBorders>
            <w:vAlign w:val="center"/>
            <w:hideMark/>
          </w:tcPr>
          <w:p w14:paraId="7458700C" w14:textId="77777777" w:rsidR="00975813" w:rsidRPr="00953B54" w:rsidRDefault="00975813" w:rsidP="00AE3850">
            <w:pPr>
              <w:spacing w:line="360" w:lineRule="auto"/>
              <w:jc w:val="both"/>
              <w:rPr>
                <w:rFonts w:asciiTheme="majorBidi" w:eastAsia="Times New Roman" w:hAnsiTheme="majorBidi" w:cstheme="majorBidi"/>
                <w:b/>
                <w:bCs/>
                <w:lang w:eastAsia="fr-FR"/>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7FCF615C" w14:textId="77777777" w:rsidR="00975813" w:rsidRPr="00953B54" w:rsidRDefault="00975813" w:rsidP="00AE3850">
            <w:pPr>
              <w:spacing w:line="360" w:lineRule="auto"/>
              <w:jc w:val="both"/>
              <w:rPr>
                <w:rFonts w:asciiTheme="majorBidi" w:eastAsia="Times New Roman" w:hAnsiTheme="majorBidi" w:cstheme="majorBidi"/>
                <w:b/>
                <w:bCs/>
                <w:lang w:eastAsia="fr-FR"/>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14:paraId="51D700EE" w14:textId="77777777" w:rsidR="00975813" w:rsidRPr="00953B54" w:rsidRDefault="00975813" w:rsidP="00AE3850">
            <w:pPr>
              <w:spacing w:line="360" w:lineRule="auto"/>
              <w:jc w:val="both"/>
              <w:rPr>
                <w:rFonts w:asciiTheme="majorBidi" w:eastAsia="Times New Roman" w:hAnsiTheme="majorBidi" w:cstheme="majorBidi"/>
                <w:b/>
                <w:bCs/>
                <w:lang w:eastAsia="fr-FR"/>
              </w:rPr>
            </w:pPr>
          </w:p>
        </w:tc>
      </w:tr>
      <w:tr w:rsidR="00975813" w:rsidRPr="00953B54" w14:paraId="2407C278" w14:textId="77777777" w:rsidTr="00975813">
        <w:trPr>
          <w:trHeight w:val="315"/>
        </w:trPr>
        <w:tc>
          <w:tcPr>
            <w:tcW w:w="1008" w:type="dxa"/>
            <w:tcBorders>
              <w:top w:val="nil"/>
              <w:left w:val="single" w:sz="4" w:space="0" w:color="auto"/>
              <w:bottom w:val="single" w:sz="4" w:space="0" w:color="auto"/>
              <w:right w:val="single" w:sz="4" w:space="0" w:color="auto"/>
            </w:tcBorders>
            <w:shd w:val="clear" w:color="000000" w:fill="D9E1F2"/>
            <w:noWrap/>
            <w:vAlign w:val="center"/>
            <w:hideMark/>
          </w:tcPr>
          <w:p w14:paraId="2C0850AE" w14:textId="77777777" w:rsidR="00975813" w:rsidRPr="00953B54" w:rsidRDefault="00975813" w:rsidP="00AE3850">
            <w:pPr>
              <w:spacing w:line="360" w:lineRule="auto"/>
              <w:jc w:val="both"/>
              <w:rPr>
                <w:rFonts w:asciiTheme="majorBidi" w:eastAsia="Times New Roman" w:hAnsiTheme="majorBidi" w:cstheme="majorBidi"/>
                <w:b/>
                <w:bCs/>
                <w:lang w:eastAsia="fr-FR"/>
              </w:rPr>
            </w:pPr>
          </w:p>
        </w:tc>
        <w:tc>
          <w:tcPr>
            <w:tcW w:w="3969" w:type="dxa"/>
            <w:tcBorders>
              <w:top w:val="nil"/>
              <w:left w:val="nil"/>
              <w:bottom w:val="single" w:sz="4" w:space="0" w:color="auto"/>
              <w:right w:val="single" w:sz="4" w:space="0" w:color="auto"/>
            </w:tcBorders>
            <w:shd w:val="clear" w:color="000000" w:fill="D9E1F2"/>
            <w:noWrap/>
            <w:vAlign w:val="center"/>
            <w:hideMark/>
          </w:tcPr>
          <w:p w14:paraId="560BF734" w14:textId="77777777" w:rsidR="00975813" w:rsidRPr="00953B54" w:rsidRDefault="00975813" w:rsidP="00AE3850">
            <w:pPr>
              <w:spacing w:line="360" w:lineRule="auto"/>
              <w:jc w:val="both"/>
              <w:rPr>
                <w:rFonts w:asciiTheme="majorBidi" w:eastAsia="Times New Roman" w:hAnsiTheme="majorBidi" w:cstheme="majorBidi"/>
                <w:b/>
                <w:bCs/>
                <w:lang w:eastAsia="fr-FR"/>
              </w:rPr>
            </w:pPr>
            <w:r w:rsidRPr="00953B54">
              <w:rPr>
                <w:rFonts w:asciiTheme="majorBidi" w:eastAsia="Times New Roman" w:hAnsiTheme="majorBidi" w:cstheme="majorBidi"/>
                <w:b/>
                <w:bCs/>
                <w:lang w:eastAsia="fr-FR"/>
              </w:rPr>
              <w:t>Achats Consommés (Compte 60)</w:t>
            </w:r>
          </w:p>
        </w:tc>
        <w:tc>
          <w:tcPr>
            <w:tcW w:w="1275" w:type="dxa"/>
            <w:tcBorders>
              <w:top w:val="nil"/>
              <w:left w:val="nil"/>
              <w:bottom w:val="single" w:sz="4" w:space="0" w:color="auto"/>
              <w:right w:val="single" w:sz="4" w:space="0" w:color="auto"/>
            </w:tcBorders>
            <w:shd w:val="clear" w:color="000000" w:fill="D9E1F2"/>
            <w:noWrap/>
            <w:vAlign w:val="center"/>
            <w:hideMark/>
          </w:tcPr>
          <w:p w14:paraId="2417777C" w14:textId="77777777" w:rsidR="00975813" w:rsidRPr="00953B54" w:rsidRDefault="00975813" w:rsidP="00AE3850">
            <w:pPr>
              <w:spacing w:line="360" w:lineRule="auto"/>
              <w:jc w:val="both"/>
              <w:rPr>
                <w:rFonts w:asciiTheme="majorBidi" w:eastAsia="Times New Roman" w:hAnsiTheme="majorBidi" w:cstheme="majorBidi"/>
                <w:lang w:eastAsia="fr-FR"/>
              </w:rPr>
            </w:pPr>
          </w:p>
        </w:tc>
        <w:tc>
          <w:tcPr>
            <w:tcW w:w="1258" w:type="dxa"/>
            <w:tcBorders>
              <w:top w:val="nil"/>
              <w:left w:val="nil"/>
              <w:bottom w:val="single" w:sz="4" w:space="0" w:color="auto"/>
              <w:right w:val="single" w:sz="4" w:space="0" w:color="auto"/>
            </w:tcBorders>
            <w:shd w:val="clear" w:color="000000" w:fill="D9E1F2"/>
            <w:noWrap/>
            <w:vAlign w:val="center"/>
            <w:hideMark/>
          </w:tcPr>
          <w:p w14:paraId="334F919C" w14:textId="77777777" w:rsidR="00975813" w:rsidRPr="00953B54" w:rsidRDefault="00975813" w:rsidP="00AE3850">
            <w:pPr>
              <w:spacing w:line="360" w:lineRule="auto"/>
              <w:jc w:val="both"/>
              <w:rPr>
                <w:rFonts w:asciiTheme="majorBidi" w:eastAsia="Times New Roman" w:hAnsiTheme="majorBidi" w:cstheme="majorBidi"/>
                <w:lang w:eastAsia="fr-FR"/>
              </w:rPr>
            </w:pPr>
          </w:p>
        </w:tc>
        <w:tc>
          <w:tcPr>
            <w:tcW w:w="1294" w:type="dxa"/>
            <w:tcBorders>
              <w:top w:val="nil"/>
              <w:left w:val="nil"/>
              <w:bottom w:val="single" w:sz="4" w:space="0" w:color="auto"/>
              <w:right w:val="single" w:sz="4" w:space="0" w:color="auto"/>
            </w:tcBorders>
            <w:shd w:val="clear" w:color="000000" w:fill="D9E1F2"/>
            <w:noWrap/>
            <w:vAlign w:val="center"/>
            <w:hideMark/>
          </w:tcPr>
          <w:p w14:paraId="0E91E50B" w14:textId="77777777" w:rsidR="00975813" w:rsidRPr="00953B54" w:rsidRDefault="00975813" w:rsidP="00AE3850">
            <w:pPr>
              <w:spacing w:line="360" w:lineRule="auto"/>
              <w:jc w:val="both"/>
              <w:rPr>
                <w:rFonts w:asciiTheme="majorBidi" w:eastAsia="Times New Roman" w:hAnsiTheme="majorBidi" w:cstheme="majorBidi"/>
                <w:lang w:eastAsia="fr-FR"/>
              </w:rPr>
            </w:pPr>
          </w:p>
        </w:tc>
        <w:tc>
          <w:tcPr>
            <w:tcW w:w="1134" w:type="dxa"/>
            <w:tcBorders>
              <w:top w:val="nil"/>
              <w:left w:val="nil"/>
              <w:bottom w:val="single" w:sz="4" w:space="0" w:color="auto"/>
              <w:right w:val="single" w:sz="4" w:space="0" w:color="auto"/>
            </w:tcBorders>
            <w:shd w:val="clear" w:color="000000" w:fill="D9E1F2"/>
            <w:noWrap/>
            <w:vAlign w:val="center"/>
            <w:hideMark/>
          </w:tcPr>
          <w:p w14:paraId="0E0C8288" w14:textId="77777777" w:rsidR="00975813" w:rsidRPr="00953B54" w:rsidRDefault="00975813" w:rsidP="00AE3850">
            <w:pPr>
              <w:spacing w:line="360" w:lineRule="auto"/>
              <w:jc w:val="both"/>
              <w:rPr>
                <w:rFonts w:asciiTheme="majorBidi" w:eastAsia="Times New Roman" w:hAnsiTheme="majorBidi" w:cstheme="majorBidi"/>
                <w:lang w:eastAsia="fr-FR"/>
              </w:rPr>
            </w:pPr>
          </w:p>
        </w:tc>
        <w:tc>
          <w:tcPr>
            <w:tcW w:w="992" w:type="dxa"/>
            <w:tcBorders>
              <w:top w:val="nil"/>
              <w:left w:val="nil"/>
              <w:bottom w:val="single" w:sz="4" w:space="0" w:color="auto"/>
              <w:right w:val="single" w:sz="4" w:space="0" w:color="auto"/>
            </w:tcBorders>
            <w:shd w:val="clear" w:color="000000" w:fill="D9E1F2"/>
            <w:noWrap/>
            <w:vAlign w:val="center"/>
            <w:hideMark/>
          </w:tcPr>
          <w:p w14:paraId="10F86357" w14:textId="77777777" w:rsidR="00975813" w:rsidRPr="00953B54" w:rsidRDefault="00975813" w:rsidP="00AE3850">
            <w:pPr>
              <w:spacing w:line="360" w:lineRule="auto"/>
              <w:jc w:val="both"/>
              <w:rPr>
                <w:rFonts w:asciiTheme="majorBidi" w:eastAsia="Times New Roman" w:hAnsiTheme="majorBidi" w:cstheme="majorBidi"/>
                <w:lang w:eastAsia="fr-FR"/>
              </w:rPr>
            </w:pPr>
          </w:p>
        </w:tc>
      </w:tr>
      <w:tr w:rsidR="00975813" w:rsidRPr="00953B54" w14:paraId="061A6705"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58BC4278"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F600100</w:t>
            </w:r>
          </w:p>
        </w:tc>
        <w:tc>
          <w:tcPr>
            <w:tcW w:w="3969" w:type="dxa"/>
            <w:tcBorders>
              <w:top w:val="nil"/>
              <w:left w:val="nil"/>
              <w:bottom w:val="single" w:sz="4" w:space="0" w:color="auto"/>
              <w:right w:val="single" w:sz="4" w:space="0" w:color="auto"/>
            </w:tcBorders>
            <w:shd w:val="clear" w:color="auto" w:fill="auto"/>
            <w:noWrap/>
            <w:vAlign w:val="center"/>
            <w:hideMark/>
          </w:tcPr>
          <w:p w14:paraId="494EDD5F"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Appareils Téléphoniques</w:t>
            </w:r>
          </w:p>
        </w:tc>
        <w:tc>
          <w:tcPr>
            <w:tcW w:w="1275" w:type="dxa"/>
            <w:tcBorders>
              <w:top w:val="nil"/>
              <w:left w:val="nil"/>
              <w:bottom w:val="single" w:sz="4" w:space="0" w:color="auto"/>
              <w:right w:val="single" w:sz="4" w:space="0" w:color="auto"/>
            </w:tcBorders>
            <w:shd w:val="clear" w:color="auto" w:fill="auto"/>
            <w:noWrap/>
            <w:vAlign w:val="center"/>
            <w:hideMark/>
          </w:tcPr>
          <w:p w14:paraId="718F4EF0"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200</w:t>
            </w:r>
          </w:p>
        </w:tc>
        <w:tc>
          <w:tcPr>
            <w:tcW w:w="1258" w:type="dxa"/>
            <w:tcBorders>
              <w:top w:val="nil"/>
              <w:left w:val="nil"/>
              <w:bottom w:val="single" w:sz="4" w:space="0" w:color="auto"/>
              <w:right w:val="single" w:sz="4" w:space="0" w:color="auto"/>
            </w:tcBorders>
            <w:shd w:val="clear" w:color="auto" w:fill="auto"/>
            <w:noWrap/>
            <w:vAlign w:val="center"/>
            <w:hideMark/>
          </w:tcPr>
          <w:p w14:paraId="21D44DB1" w14:textId="77777777" w:rsidR="00975813" w:rsidRPr="00953B54" w:rsidRDefault="00975813" w:rsidP="00AE3850">
            <w:pPr>
              <w:spacing w:line="360" w:lineRule="auto"/>
              <w:jc w:val="both"/>
              <w:rPr>
                <w:rFonts w:asciiTheme="majorBidi" w:eastAsia="Times New Roman" w:hAnsiTheme="majorBidi" w:cstheme="majorBidi"/>
                <w:lang w:eastAsia="fr-FR"/>
              </w:rPr>
            </w:pPr>
          </w:p>
        </w:tc>
        <w:tc>
          <w:tcPr>
            <w:tcW w:w="1294" w:type="dxa"/>
            <w:tcBorders>
              <w:top w:val="nil"/>
              <w:left w:val="nil"/>
              <w:bottom w:val="single" w:sz="4" w:space="0" w:color="auto"/>
              <w:right w:val="single" w:sz="4" w:space="0" w:color="auto"/>
            </w:tcBorders>
            <w:shd w:val="clear" w:color="auto" w:fill="auto"/>
            <w:noWrap/>
            <w:vAlign w:val="center"/>
            <w:hideMark/>
          </w:tcPr>
          <w:p w14:paraId="68B5468E" w14:textId="77777777" w:rsidR="00975813" w:rsidRPr="00953B54" w:rsidRDefault="00975813" w:rsidP="00AE3850">
            <w:pPr>
              <w:spacing w:line="360" w:lineRule="auto"/>
              <w:jc w:val="both"/>
              <w:rPr>
                <w:rFonts w:asciiTheme="majorBidi" w:eastAsia="Times New Roman" w:hAnsiTheme="majorBidi" w:cstheme="majorBidi"/>
                <w:lang w:eastAsia="fr-FR"/>
              </w:rPr>
            </w:pPr>
          </w:p>
        </w:tc>
        <w:tc>
          <w:tcPr>
            <w:tcW w:w="1134" w:type="dxa"/>
            <w:tcBorders>
              <w:top w:val="nil"/>
              <w:left w:val="nil"/>
              <w:bottom w:val="single" w:sz="4" w:space="0" w:color="auto"/>
              <w:right w:val="single" w:sz="4" w:space="0" w:color="auto"/>
            </w:tcBorders>
            <w:shd w:val="clear" w:color="auto" w:fill="auto"/>
            <w:noWrap/>
            <w:vAlign w:val="center"/>
            <w:hideMark/>
          </w:tcPr>
          <w:p w14:paraId="0D60ABD4"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0%</w:t>
            </w:r>
          </w:p>
        </w:tc>
        <w:tc>
          <w:tcPr>
            <w:tcW w:w="992" w:type="dxa"/>
            <w:tcBorders>
              <w:top w:val="nil"/>
              <w:left w:val="nil"/>
              <w:bottom w:val="single" w:sz="4" w:space="0" w:color="auto"/>
              <w:right w:val="single" w:sz="4" w:space="0" w:color="auto"/>
            </w:tcBorders>
            <w:shd w:val="clear" w:color="auto" w:fill="auto"/>
            <w:noWrap/>
            <w:vAlign w:val="center"/>
            <w:hideMark/>
          </w:tcPr>
          <w:p w14:paraId="50AC8941"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0%</w:t>
            </w:r>
          </w:p>
        </w:tc>
      </w:tr>
      <w:tr w:rsidR="00975813" w:rsidRPr="00953B54" w14:paraId="3673A07B"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3DEEED94"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F601110</w:t>
            </w:r>
          </w:p>
        </w:tc>
        <w:tc>
          <w:tcPr>
            <w:tcW w:w="3969" w:type="dxa"/>
            <w:tcBorders>
              <w:top w:val="nil"/>
              <w:left w:val="nil"/>
              <w:bottom w:val="single" w:sz="4" w:space="0" w:color="auto"/>
              <w:right w:val="single" w:sz="4" w:space="0" w:color="auto"/>
            </w:tcBorders>
            <w:shd w:val="clear" w:color="auto" w:fill="auto"/>
            <w:noWrap/>
            <w:vAlign w:val="center"/>
            <w:hideMark/>
          </w:tcPr>
          <w:p w14:paraId="121D1A8A"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Fournitures de Commutation</w:t>
            </w:r>
          </w:p>
        </w:tc>
        <w:tc>
          <w:tcPr>
            <w:tcW w:w="1275" w:type="dxa"/>
            <w:tcBorders>
              <w:top w:val="nil"/>
              <w:left w:val="nil"/>
              <w:bottom w:val="single" w:sz="4" w:space="0" w:color="auto"/>
              <w:right w:val="single" w:sz="4" w:space="0" w:color="auto"/>
            </w:tcBorders>
            <w:shd w:val="clear" w:color="000000" w:fill="FFFF00"/>
            <w:noWrap/>
            <w:vAlign w:val="center"/>
            <w:hideMark/>
          </w:tcPr>
          <w:p w14:paraId="018FD676"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10 800</w:t>
            </w:r>
          </w:p>
        </w:tc>
        <w:tc>
          <w:tcPr>
            <w:tcW w:w="1258" w:type="dxa"/>
            <w:tcBorders>
              <w:top w:val="nil"/>
              <w:left w:val="nil"/>
              <w:bottom w:val="single" w:sz="4" w:space="0" w:color="auto"/>
              <w:right w:val="single" w:sz="4" w:space="0" w:color="auto"/>
            </w:tcBorders>
            <w:shd w:val="clear" w:color="auto" w:fill="auto"/>
            <w:noWrap/>
            <w:vAlign w:val="center"/>
            <w:hideMark/>
          </w:tcPr>
          <w:p w14:paraId="0623146F"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10 800</w:t>
            </w:r>
          </w:p>
        </w:tc>
        <w:tc>
          <w:tcPr>
            <w:tcW w:w="1294" w:type="dxa"/>
            <w:tcBorders>
              <w:top w:val="nil"/>
              <w:left w:val="nil"/>
              <w:bottom w:val="single" w:sz="4" w:space="0" w:color="auto"/>
              <w:right w:val="single" w:sz="4" w:space="0" w:color="auto"/>
            </w:tcBorders>
            <w:shd w:val="clear" w:color="auto" w:fill="auto"/>
            <w:noWrap/>
            <w:vAlign w:val="center"/>
            <w:hideMark/>
          </w:tcPr>
          <w:p w14:paraId="0AD39635"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6 000</w:t>
            </w:r>
          </w:p>
        </w:tc>
        <w:tc>
          <w:tcPr>
            <w:tcW w:w="1134" w:type="dxa"/>
            <w:tcBorders>
              <w:top w:val="nil"/>
              <w:left w:val="nil"/>
              <w:bottom w:val="single" w:sz="4" w:space="0" w:color="auto"/>
              <w:right w:val="single" w:sz="4" w:space="0" w:color="auto"/>
            </w:tcBorders>
            <w:shd w:val="clear" w:color="000000" w:fill="FF0000"/>
            <w:noWrap/>
            <w:vAlign w:val="center"/>
            <w:hideMark/>
          </w:tcPr>
          <w:p w14:paraId="723630D9"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23FCDB3E"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55%</w:t>
            </w:r>
          </w:p>
        </w:tc>
      </w:tr>
      <w:tr w:rsidR="00975813" w:rsidRPr="00953B54" w14:paraId="4B978883"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0CE0690D"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F601130</w:t>
            </w:r>
          </w:p>
        </w:tc>
        <w:tc>
          <w:tcPr>
            <w:tcW w:w="3969" w:type="dxa"/>
            <w:tcBorders>
              <w:top w:val="nil"/>
              <w:left w:val="nil"/>
              <w:bottom w:val="single" w:sz="4" w:space="0" w:color="auto"/>
              <w:right w:val="single" w:sz="4" w:space="0" w:color="auto"/>
            </w:tcBorders>
            <w:shd w:val="clear" w:color="auto" w:fill="auto"/>
            <w:noWrap/>
            <w:vAlign w:val="center"/>
            <w:hideMark/>
          </w:tcPr>
          <w:p w14:paraId="182ACD73"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Fournitures  d'Energie</w:t>
            </w:r>
          </w:p>
        </w:tc>
        <w:tc>
          <w:tcPr>
            <w:tcW w:w="1275" w:type="dxa"/>
            <w:tcBorders>
              <w:top w:val="nil"/>
              <w:left w:val="nil"/>
              <w:bottom w:val="single" w:sz="4" w:space="0" w:color="auto"/>
              <w:right w:val="single" w:sz="4" w:space="0" w:color="auto"/>
            </w:tcBorders>
            <w:shd w:val="clear" w:color="000000" w:fill="92D050"/>
            <w:noWrap/>
            <w:vAlign w:val="center"/>
            <w:hideMark/>
          </w:tcPr>
          <w:p w14:paraId="3D187152"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4 200</w:t>
            </w:r>
          </w:p>
        </w:tc>
        <w:tc>
          <w:tcPr>
            <w:tcW w:w="1258" w:type="dxa"/>
            <w:tcBorders>
              <w:top w:val="nil"/>
              <w:left w:val="nil"/>
              <w:bottom w:val="single" w:sz="4" w:space="0" w:color="auto"/>
              <w:right w:val="single" w:sz="4" w:space="0" w:color="auto"/>
            </w:tcBorders>
            <w:shd w:val="clear" w:color="auto" w:fill="auto"/>
            <w:noWrap/>
            <w:vAlign w:val="center"/>
            <w:hideMark/>
          </w:tcPr>
          <w:p w14:paraId="6DC027A2"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4 200</w:t>
            </w:r>
          </w:p>
        </w:tc>
        <w:tc>
          <w:tcPr>
            <w:tcW w:w="1294" w:type="dxa"/>
            <w:tcBorders>
              <w:top w:val="nil"/>
              <w:left w:val="nil"/>
              <w:bottom w:val="single" w:sz="4" w:space="0" w:color="auto"/>
              <w:right w:val="single" w:sz="4" w:space="0" w:color="auto"/>
            </w:tcBorders>
            <w:shd w:val="clear" w:color="auto" w:fill="auto"/>
            <w:noWrap/>
            <w:vAlign w:val="center"/>
            <w:hideMark/>
          </w:tcPr>
          <w:p w14:paraId="7FBD71AD"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3 000</w:t>
            </w:r>
          </w:p>
        </w:tc>
        <w:tc>
          <w:tcPr>
            <w:tcW w:w="1134" w:type="dxa"/>
            <w:tcBorders>
              <w:top w:val="nil"/>
              <w:left w:val="nil"/>
              <w:bottom w:val="single" w:sz="4" w:space="0" w:color="auto"/>
              <w:right w:val="single" w:sz="4" w:space="0" w:color="auto"/>
            </w:tcBorders>
            <w:shd w:val="clear" w:color="auto" w:fill="auto"/>
            <w:noWrap/>
            <w:vAlign w:val="center"/>
            <w:hideMark/>
          </w:tcPr>
          <w:p w14:paraId="21BEF58E"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35DF1E3B"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71%</w:t>
            </w:r>
          </w:p>
        </w:tc>
      </w:tr>
      <w:tr w:rsidR="00975813" w:rsidRPr="00953B54" w14:paraId="387DF8A5"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0F5CE395"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F602111</w:t>
            </w:r>
          </w:p>
        </w:tc>
        <w:tc>
          <w:tcPr>
            <w:tcW w:w="3969" w:type="dxa"/>
            <w:tcBorders>
              <w:top w:val="nil"/>
              <w:left w:val="nil"/>
              <w:bottom w:val="single" w:sz="4" w:space="0" w:color="auto"/>
              <w:right w:val="single" w:sz="4" w:space="0" w:color="auto"/>
            </w:tcBorders>
            <w:shd w:val="clear" w:color="auto" w:fill="auto"/>
            <w:noWrap/>
            <w:vAlign w:val="center"/>
            <w:hideMark/>
          </w:tcPr>
          <w:p w14:paraId="7993845F"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Carburant</w:t>
            </w:r>
          </w:p>
        </w:tc>
        <w:tc>
          <w:tcPr>
            <w:tcW w:w="1275" w:type="dxa"/>
            <w:tcBorders>
              <w:top w:val="nil"/>
              <w:left w:val="nil"/>
              <w:bottom w:val="single" w:sz="4" w:space="0" w:color="auto"/>
              <w:right w:val="single" w:sz="4" w:space="0" w:color="auto"/>
            </w:tcBorders>
            <w:shd w:val="clear" w:color="000000" w:fill="FFFF00"/>
            <w:noWrap/>
            <w:vAlign w:val="center"/>
            <w:hideMark/>
          </w:tcPr>
          <w:p w14:paraId="2B4A2806"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7 200</w:t>
            </w:r>
          </w:p>
        </w:tc>
        <w:tc>
          <w:tcPr>
            <w:tcW w:w="1258" w:type="dxa"/>
            <w:tcBorders>
              <w:top w:val="nil"/>
              <w:left w:val="nil"/>
              <w:bottom w:val="single" w:sz="4" w:space="0" w:color="auto"/>
              <w:right w:val="single" w:sz="4" w:space="0" w:color="auto"/>
            </w:tcBorders>
            <w:shd w:val="clear" w:color="auto" w:fill="auto"/>
            <w:noWrap/>
            <w:vAlign w:val="center"/>
            <w:hideMark/>
          </w:tcPr>
          <w:p w14:paraId="56EE3D3A"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7 200</w:t>
            </w:r>
          </w:p>
        </w:tc>
        <w:tc>
          <w:tcPr>
            <w:tcW w:w="1294" w:type="dxa"/>
            <w:tcBorders>
              <w:top w:val="nil"/>
              <w:left w:val="nil"/>
              <w:bottom w:val="single" w:sz="4" w:space="0" w:color="auto"/>
              <w:right w:val="single" w:sz="4" w:space="0" w:color="auto"/>
            </w:tcBorders>
            <w:shd w:val="clear" w:color="auto" w:fill="auto"/>
            <w:noWrap/>
            <w:vAlign w:val="center"/>
            <w:hideMark/>
          </w:tcPr>
          <w:p w14:paraId="0CAFCC1D"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7 200</w:t>
            </w:r>
          </w:p>
        </w:tc>
        <w:tc>
          <w:tcPr>
            <w:tcW w:w="1134" w:type="dxa"/>
            <w:tcBorders>
              <w:top w:val="nil"/>
              <w:left w:val="nil"/>
              <w:bottom w:val="single" w:sz="4" w:space="0" w:color="auto"/>
              <w:right w:val="single" w:sz="4" w:space="0" w:color="auto"/>
            </w:tcBorders>
            <w:shd w:val="clear" w:color="000000" w:fill="FF0000"/>
            <w:noWrap/>
            <w:vAlign w:val="center"/>
            <w:hideMark/>
          </w:tcPr>
          <w:p w14:paraId="4F36398B"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6E4A6E7F"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r>
      <w:tr w:rsidR="00975813" w:rsidRPr="00953B54" w14:paraId="4F3C6CCC"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53B8AB2E"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F602112</w:t>
            </w:r>
          </w:p>
        </w:tc>
        <w:tc>
          <w:tcPr>
            <w:tcW w:w="3969" w:type="dxa"/>
            <w:tcBorders>
              <w:top w:val="nil"/>
              <w:left w:val="nil"/>
              <w:bottom w:val="single" w:sz="4" w:space="0" w:color="auto"/>
              <w:right w:val="single" w:sz="4" w:space="0" w:color="auto"/>
            </w:tcBorders>
            <w:shd w:val="clear" w:color="auto" w:fill="auto"/>
            <w:noWrap/>
            <w:vAlign w:val="center"/>
            <w:hideMark/>
          </w:tcPr>
          <w:p w14:paraId="6E8BEA5C"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Lubrifiant</w:t>
            </w:r>
          </w:p>
        </w:tc>
        <w:tc>
          <w:tcPr>
            <w:tcW w:w="1275" w:type="dxa"/>
            <w:tcBorders>
              <w:top w:val="nil"/>
              <w:left w:val="nil"/>
              <w:bottom w:val="single" w:sz="4" w:space="0" w:color="auto"/>
              <w:right w:val="single" w:sz="4" w:space="0" w:color="auto"/>
            </w:tcBorders>
            <w:shd w:val="clear" w:color="auto" w:fill="auto"/>
            <w:noWrap/>
            <w:vAlign w:val="center"/>
            <w:hideMark/>
          </w:tcPr>
          <w:p w14:paraId="08AAC5C9"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1 000</w:t>
            </w:r>
          </w:p>
        </w:tc>
        <w:tc>
          <w:tcPr>
            <w:tcW w:w="1258" w:type="dxa"/>
            <w:tcBorders>
              <w:top w:val="nil"/>
              <w:left w:val="nil"/>
              <w:bottom w:val="single" w:sz="4" w:space="0" w:color="auto"/>
              <w:right w:val="single" w:sz="4" w:space="0" w:color="auto"/>
            </w:tcBorders>
            <w:shd w:val="clear" w:color="auto" w:fill="auto"/>
            <w:noWrap/>
            <w:vAlign w:val="center"/>
            <w:hideMark/>
          </w:tcPr>
          <w:p w14:paraId="1A7254F6"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50</w:t>
            </w:r>
          </w:p>
        </w:tc>
        <w:tc>
          <w:tcPr>
            <w:tcW w:w="1294" w:type="dxa"/>
            <w:tcBorders>
              <w:top w:val="nil"/>
              <w:left w:val="nil"/>
              <w:bottom w:val="single" w:sz="4" w:space="0" w:color="auto"/>
              <w:right w:val="single" w:sz="4" w:space="0" w:color="auto"/>
            </w:tcBorders>
            <w:shd w:val="clear" w:color="auto" w:fill="auto"/>
            <w:noWrap/>
            <w:vAlign w:val="center"/>
            <w:hideMark/>
          </w:tcPr>
          <w:p w14:paraId="2F3229E6"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50</w:t>
            </w:r>
          </w:p>
        </w:tc>
        <w:tc>
          <w:tcPr>
            <w:tcW w:w="1134" w:type="dxa"/>
            <w:tcBorders>
              <w:top w:val="nil"/>
              <w:left w:val="nil"/>
              <w:bottom w:val="single" w:sz="4" w:space="0" w:color="auto"/>
              <w:right w:val="single" w:sz="4" w:space="0" w:color="auto"/>
            </w:tcBorders>
            <w:shd w:val="clear" w:color="auto" w:fill="auto"/>
            <w:noWrap/>
            <w:vAlign w:val="center"/>
            <w:hideMark/>
          </w:tcPr>
          <w:p w14:paraId="327E2FCD"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w:t>
            </w:r>
          </w:p>
        </w:tc>
        <w:tc>
          <w:tcPr>
            <w:tcW w:w="992" w:type="dxa"/>
            <w:tcBorders>
              <w:top w:val="nil"/>
              <w:left w:val="nil"/>
              <w:bottom w:val="single" w:sz="4" w:space="0" w:color="auto"/>
              <w:right w:val="single" w:sz="4" w:space="0" w:color="auto"/>
            </w:tcBorders>
            <w:shd w:val="clear" w:color="auto" w:fill="auto"/>
            <w:noWrap/>
            <w:vAlign w:val="center"/>
            <w:hideMark/>
          </w:tcPr>
          <w:p w14:paraId="2DFC9DBF"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w:t>
            </w:r>
          </w:p>
        </w:tc>
      </w:tr>
      <w:tr w:rsidR="00975813" w:rsidRPr="00953B54" w14:paraId="655AF7CC"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5C26A1BA"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F602113</w:t>
            </w:r>
          </w:p>
        </w:tc>
        <w:tc>
          <w:tcPr>
            <w:tcW w:w="3969" w:type="dxa"/>
            <w:tcBorders>
              <w:top w:val="nil"/>
              <w:left w:val="nil"/>
              <w:bottom w:val="single" w:sz="4" w:space="0" w:color="auto"/>
              <w:right w:val="single" w:sz="4" w:space="0" w:color="auto"/>
            </w:tcBorders>
            <w:shd w:val="clear" w:color="auto" w:fill="auto"/>
            <w:noWrap/>
            <w:vAlign w:val="center"/>
            <w:hideMark/>
          </w:tcPr>
          <w:p w14:paraId="511751AF"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Pneumatiques</w:t>
            </w:r>
          </w:p>
        </w:tc>
        <w:tc>
          <w:tcPr>
            <w:tcW w:w="1275" w:type="dxa"/>
            <w:tcBorders>
              <w:top w:val="nil"/>
              <w:left w:val="nil"/>
              <w:bottom w:val="single" w:sz="4" w:space="0" w:color="auto"/>
              <w:right w:val="single" w:sz="4" w:space="0" w:color="auto"/>
            </w:tcBorders>
            <w:shd w:val="clear" w:color="000000" w:fill="92D050"/>
            <w:noWrap/>
            <w:vAlign w:val="center"/>
            <w:hideMark/>
          </w:tcPr>
          <w:p w14:paraId="06A57CBF"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1 021</w:t>
            </w:r>
          </w:p>
        </w:tc>
        <w:tc>
          <w:tcPr>
            <w:tcW w:w="1258" w:type="dxa"/>
            <w:tcBorders>
              <w:top w:val="nil"/>
              <w:left w:val="nil"/>
              <w:bottom w:val="single" w:sz="4" w:space="0" w:color="auto"/>
              <w:right w:val="single" w:sz="4" w:space="0" w:color="auto"/>
            </w:tcBorders>
            <w:shd w:val="clear" w:color="auto" w:fill="auto"/>
            <w:noWrap/>
            <w:vAlign w:val="center"/>
            <w:hideMark/>
          </w:tcPr>
          <w:p w14:paraId="15AF5A85"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1 021</w:t>
            </w:r>
          </w:p>
        </w:tc>
        <w:tc>
          <w:tcPr>
            <w:tcW w:w="1294" w:type="dxa"/>
            <w:tcBorders>
              <w:top w:val="nil"/>
              <w:left w:val="nil"/>
              <w:bottom w:val="single" w:sz="4" w:space="0" w:color="auto"/>
              <w:right w:val="single" w:sz="4" w:space="0" w:color="auto"/>
            </w:tcBorders>
            <w:shd w:val="clear" w:color="auto" w:fill="auto"/>
            <w:noWrap/>
            <w:vAlign w:val="center"/>
            <w:hideMark/>
          </w:tcPr>
          <w:p w14:paraId="03305D76"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1 021</w:t>
            </w:r>
          </w:p>
        </w:tc>
        <w:tc>
          <w:tcPr>
            <w:tcW w:w="1134" w:type="dxa"/>
            <w:tcBorders>
              <w:top w:val="nil"/>
              <w:left w:val="nil"/>
              <w:bottom w:val="single" w:sz="4" w:space="0" w:color="auto"/>
              <w:right w:val="single" w:sz="4" w:space="0" w:color="auto"/>
            </w:tcBorders>
            <w:shd w:val="clear" w:color="auto" w:fill="auto"/>
            <w:noWrap/>
            <w:vAlign w:val="center"/>
            <w:hideMark/>
          </w:tcPr>
          <w:p w14:paraId="717E33BB"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11939229"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r>
      <w:tr w:rsidR="00975813" w:rsidRPr="00953B54" w14:paraId="160A1EA1"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6DE14332"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F602221</w:t>
            </w:r>
          </w:p>
        </w:tc>
        <w:tc>
          <w:tcPr>
            <w:tcW w:w="3969" w:type="dxa"/>
            <w:tcBorders>
              <w:top w:val="nil"/>
              <w:left w:val="nil"/>
              <w:bottom w:val="single" w:sz="4" w:space="0" w:color="auto"/>
              <w:right w:val="single" w:sz="4" w:space="0" w:color="auto"/>
            </w:tcBorders>
            <w:shd w:val="clear" w:color="auto" w:fill="auto"/>
            <w:noWrap/>
            <w:vAlign w:val="center"/>
            <w:hideMark/>
          </w:tcPr>
          <w:p w14:paraId="75DBB931"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Fournitures de Bureau et  Imprimés</w:t>
            </w:r>
          </w:p>
        </w:tc>
        <w:tc>
          <w:tcPr>
            <w:tcW w:w="1275" w:type="dxa"/>
            <w:tcBorders>
              <w:top w:val="nil"/>
              <w:left w:val="nil"/>
              <w:bottom w:val="single" w:sz="4" w:space="0" w:color="auto"/>
              <w:right w:val="single" w:sz="4" w:space="0" w:color="auto"/>
            </w:tcBorders>
            <w:shd w:val="clear" w:color="auto" w:fill="auto"/>
            <w:noWrap/>
            <w:vAlign w:val="center"/>
            <w:hideMark/>
          </w:tcPr>
          <w:p w14:paraId="095C7987"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10 000</w:t>
            </w:r>
          </w:p>
        </w:tc>
        <w:tc>
          <w:tcPr>
            <w:tcW w:w="1258" w:type="dxa"/>
            <w:tcBorders>
              <w:top w:val="nil"/>
              <w:left w:val="nil"/>
              <w:bottom w:val="single" w:sz="4" w:space="0" w:color="auto"/>
              <w:right w:val="single" w:sz="4" w:space="0" w:color="auto"/>
            </w:tcBorders>
            <w:shd w:val="clear" w:color="auto" w:fill="auto"/>
            <w:noWrap/>
            <w:vAlign w:val="center"/>
            <w:hideMark/>
          </w:tcPr>
          <w:p w14:paraId="3BAED2BC"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10 000</w:t>
            </w:r>
          </w:p>
        </w:tc>
        <w:tc>
          <w:tcPr>
            <w:tcW w:w="1294" w:type="dxa"/>
            <w:tcBorders>
              <w:top w:val="nil"/>
              <w:left w:val="nil"/>
              <w:bottom w:val="single" w:sz="4" w:space="0" w:color="auto"/>
              <w:right w:val="single" w:sz="4" w:space="0" w:color="auto"/>
            </w:tcBorders>
            <w:shd w:val="clear" w:color="auto" w:fill="auto"/>
            <w:noWrap/>
            <w:vAlign w:val="center"/>
            <w:hideMark/>
          </w:tcPr>
          <w:p w14:paraId="3CD753F5"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9 500</w:t>
            </w:r>
          </w:p>
        </w:tc>
        <w:tc>
          <w:tcPr>
            <w:tcW w:w="1134" w:type="dxa"/>
            <w:tcBorders>
              <w:top w:val="nil"/>
              <w:left w:val="nil"/>
              <w:bottom w:val="single" w:sz="4" w:space="0" w:color="auto"/>
              <w:right w:val="single" w:sz="4" w:space="0" w:color="auto"/>
            </w:tcBorders>
            <w:shd w:val="clear" w:color="auto" w:fill="auto"/>
            <w:noWrap/>
            <w:vAlign w:val="center"/>
            <w:hideMark/>
          </w:tcPr>
          <w:p w14:paraId="2BBCB9CB"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023067C8"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95%</w:t>
            </w:r>
          </w:p>
        </w:tc>
      </w:tr>
      <w:tr w:rsidR="00975813" w:rsidRPr="00953B54" w14:paraId="14E63403"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1D45B818"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F602222</w:t>
            </w:r>
          </w:p>
        </w:tc>
        <w:tc>
          <w:tcPr>
            <w:tcW w:w="3969" w:type="dxa"/>
            <w:tcBorders>
              <w:top w:val="nil"/>
              <w:left w:val="nil"/>
              <w:bottom w:val="single" w:sz="4" w:space="0" w:color="auto"/>
              <w:right w:val="single" w:sz="4" w:space="0" w:color="auto"/>
            </w:tcBorders>
            <w:shd w:val="clear" w:color="auto" w:fill="auto"/>
            <w:noWrap/>
            <w:vAlign w:val="center"/>
            <w:hideMark/>
          </w:tcPr>
          <w:p w14:paraId="16B444A4"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Fournitures Informatiques</w:t>
            </w:r>
          </w:p>
        </w:tc>
        <w:tc>
          <w:tcPr>
            <w:tcW w:w="1275" w:type="dxa"/>
            <w:tcBorders>
              <w:top w:val="nil"/>
              <w:left w:val="nil"/>
              <w:bottom w:val="single" w:sz="4" w:space="0" w:color="auto"/>
              <w:right w:val="single" w:sz="4" w:space="0" w:color="auto"/>
            </w:tcBorders>
            <w:shd w:val="clear" w:color="000000" w:fill="FFFF00"/>
            <w:noWrap/>
            <w:vAlign w:val="center"/>
            <w:hideMark/>
          </w:tcPr>
          <w:p w14:paraId="1CBA0BD7"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23 500</w:t>
            </w:r>
          </w:p>
        </w:tc>
        <w:tc>
          <w:tcPr>
            <w:tcW w:w="1258" w:type="dxa"/>
            <w:tcBorders>
              <w:top w:val="nil"/>
              <w:left w:val="nil"/>
              <w:bottom w:val="single" w:sz="4" w:space="0" w:color="auto"/>
              <w:right w:val="single" w:sz="4" w:space="0" w:color="auto"/>
            </w:tcBorders>
            <w:shd w:val="clear" w:color="auto" w:fill="auto"/>
            <w:noWrap/>
            <w:vAlign w:val="center"/>
            <w:hideMark/>
          </w:tcPr>
          <w:p w14:paraId="2864FCCA"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23 500</w:t>
            </w:r>
          </w:p>
        </w:tc>
        <w:tc>
          <w:tcPr>
            <w:tcW w:w="1294" w:type="dxa"/>
            <w:tcBorders>
              <w:top w:val="nil"/>
              <w:left w:val="nil"/>
              <w:bottom w:val="single" w:sz="4" w:space="0" w:color="auto"/>
              <w:right w:val="single" w:sz="4" w:space="0" w:color="auto"/>
            </w:tcBorders>
            <w:shd w:val="clear" w:color="auto" w:fill="auto"/>
            <w:noWrap/>
            <w:vAlign w:val="center"/>
            <w:hideMark/>
          </w:tcPr>
          <w:p w14:paraId="4542A860"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15 500</w:t>
            </w:r>
          </w:p>
        </w:tc>
        <w:tc>
          <w:tcPr>
            <w:tcW w:w="1134" w:type="dxa"/>
            <w:tcBorders>
              <w:top w:val="nil"/>
              <w:left w:val="nil"/>
              <w:bottom w:val="single" w:sz="4" w:space="0" w:color="auto"/>
              <w:right w:val="single" w:sz="4" w:space="0" w:color="auto"/>
            </w:tcBorders>
            <w:shd w:val="clear" w:color="000000" w:fill="FF0000"/>
            <w:noWrap/>
            <w:vAlign w:val="center"/>
            <w:hideMark/>
          </w:tcPr>
          <w:p w14:paraId="2942404C"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6DA959C8"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66%</w:t>
            </w:r>
          </w:p>
        </w:tc>
      </w:tr>
      <w:tr w:rsidR="00975813" w:rsidRPr="00953B54" w14:paraId="5AFD0561"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5E660F5C"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F602284</w:t>
            </w:r>
          </w:p>
        </w:tc>
        <w:tc>
          <w:tcPr>
            <w:tcW w:w="3969" w:type="dxa"/>
            <w:tcBorders>
              <w:top w:val="nil"/>
              <w:left w:val="nil"/>
              <w:bottom w:val="single" w:sz="4" w:space="0" w:color="auto"/>
              <w:right w:val="single" w:sz="4" w:space="0" w:color="auto"/>
            </w:tcBorders>
            <w:shd w:val="clear" w:color="auto" w:fill="auto"/>
            <w:noWrap/>
            <w:vAlign w:val="center"/>
            <w:hideMark/>
          </w:tcPr>
          <w:p w14:paraId="0C682613"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Petit Outillage</w:t>
            </w:r>
          </w:p>
        </w:tc>
        <w:tc>
          <w:tcPr>
            <w:tcW w:w="1275" w:type="dxa"/>
            <w:tcBorders>
              <w:top w:val="nil"/>
              <w:left w:val="nil"/>
              <w:bottom w:val="single" w:sz="4" w:space="0" w:color="auto"/>
              <w:right w:val="single" w:sz="4" w:space="0" w:color="auto"/>
            </w:tcBorders>
            <w:shd w:val="clear" w:color="000000" w:fill="92D050"/>
            <w:noWrap/>
            <w:vAlign w:val="center"/>
            <w:hideMark/>
          </w:tcPr>
          <w:p w14:paraId="12895EBA"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7 500</w:t>
            </w:r>
          </w:p>
        </w:tc>
        <w:tc>
          <w:tcPr>
            <w:tcW w:w="1258" w:type="dxa"/>
            <w:tcBorders>
              <w:top w:val="nil"/>
              <w:left w:val="nil"/>
              <w:bottom w:val="single" w:sz="4" w:space="0" w:color="auto"/>
              <w:right w:val="single" w:sz="4" w:space="0" w:color="auto"/>
            </w:tcBorders>
            <w:shd w:val="clear" w:color="auto" w:fill="auto"/>
            <w:noWrap/>
            <w:vAlign w:val="center"/>
            <w:hideMark/>
          </w:tcPr>
          <w:p w14:paraId="3B03C569"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7 500</w:t>
            </w:r>
          </w:p>
        </w:tc>
        <w:tc>
          <w:tcPr>
            <w:tcW w:w="1294" w:type="dxa"/>
            <w:tcBorders>
              <w:top w:val="nil"/>
              <w:left w:val="nil"/>
              <w:bottom w:val="single" w:sz="4" w:space="0" w:color="auto"/>
              <w:right w:val="single" w:sz="4" w:space="0" w:color="auto"/>
            </w:tcBorders>
            <w:shd w:val="clear" w:color="auto" w:fill="auto"/>
            <w:noWrap/>
            <w:vAlign w:val="center"/>
            <w:hideMark/>
          </w:tcPr>
          <w:p w14:paraId="1AB91DB2"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5 800</w:t>
            </w:r>
          </w:p>
        </w:tc>
        <w:tc>
          <w:tcPr>
            <w:tcW w:w="1134" w:type="dxa"/>
            <w:tcBorders>
              <w:top w:val="nil"/>
              <w:left w:val="nil"/>
              <w:bottom w:val="single" w:sz="4" w:space="0" w:color="auto"/>
              <w:right w:val="single" w:sz="4" w:space="0" w:color="auto"/>
            </w:tcBorders>
            <w:shd w:val="clear" w:color="auto" w:fill="auto"/>
            <w:noWrap/>
            <w:vAlign w:val="center"/>
            <w:hideMark/>
          </w:tcPr>
          <w:p w14:paraId="4AB4F341"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1AE4EA4B"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77%</w:t>
            </w:r>
          </w:p>
        </w:tc>
      </w:tr>
      <w:tr w:rsidR="00975813" w:rsidRPr="00953B54" w14:paraId="1638DDCE"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37C434AD"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F602286</w:t>
            </w:r>
          </w:p>
        </w:tc>
        <w:tc>
          <w:tcPr>
            <w:tcW w:w="3969" w:type="dxa"/>
            <w:tcBorders>
              <w:top w:val="nil"/>
              <w:left w:val="nil"/>
              <w:bottom w:val="single" w:sz="4" w:space="0" w:color="auto"/>
              <w:right w:val="single" w:sz="4" w:space="0" w:color="auto"/>
            </w:tcBorders>
            <w:shd w:val="clear" w:color="auto" w:fill="auto"/>
            <w:noWrap/>
            <w:vAlign w:val="center"/>
            <w:hideMark/>
          </w:tcPr>
          <w:p w14:paraId="7D25B3E6"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Produits Pharmaceutiques</w:t>
            </w:r>
          </w:p>
        </w:tc>
        <w:tc>
          <w:tcPr>
            <w:tcW w:w="1275" w:type="dxa"/>
            <w:tcBorders>
              <w:top w:val="nil"/>
              <w:left w:val="nil"/>
              <w:bottom w:val="single" w:sz="4" w:space="0" w:color="auto"/>
              <w:right w:val="single" w:sz="4" w:space="0" w:color="auto"/>
            </w:tcBorders>
            <w:shd w:val="clear" w:color="000000" w:fill="FFFF00"/>
            <w:noWrap/>
            <w:vAlign w:val="center"/>
            <w:hideMark/>
          </w:tcPr>
          <w:p w14:paraId="2A7383B4"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1 450</w:t>
            </w:r>
          </w:p>
        </w:tc>
        <w:tc>
          <w:tcPr>
            <w:tcW w:w="1258" w:type="dxa"/>
            <w:tcBorders>
              <w:top w:val="nil"/>
              <w:left w:val="nil"/>
              <w:bottom w:val="single" w:sz="4" w:space="0" w:color="auto"/>
              <w:right w:val="single" w:sz="4" w:space="0" w:color="auto"/>
            </w:tcBorders>
            <w:shd w:val="clear" w:color="auto" w:fill="auto"/>
            <w:noWrap/>
            <w:vAlign w:val="center"/>
            <w:hideMark/>
          </w:tcPr>
          <w:p w14:paraId="2C9061B0"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1 450</w:t>
            </w:r>
          </w:p>
        </w:tc>
        <w:tc>
          <w:tcPr>
            <w:tcW w:w="1294" w:type="dxa"/>
            <w:tcBorders>
              <w:top w:val="nil"/>
              <w:left w:val="nil"/>
              <w:bottom w:val="single" w:sz="4" w:space="0" w:color="auto"/>
              <w:right w:val="single" w:sz="4" w:space="0" w:color="auto"/>
            </w:tcBorders>
            <w:shd w:val="clear" w:color="auto" w:fill="auto"/>
            <w:noWrap/>
            <w:vAlign w:val="center"/>
            <w:hideMark/>
          </w:tcPr>
          <w:p w14:paraId="3A0079D9"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950</w:t>
            </w:r>
          </w:p>
        </w:tc>
        <w:tc>
          <w:tcPr>
            <w:tcW w:w="1134" w:type="dxa"/>
            <w:tcBorders>
              <w:top w:val="nil"/>
              <w:left w:val="nil"/>
              <w:bottom w:val="single" w:sz="4" w:space="0" w:color="auto"/>
              <w:right w:val="single" w:sz="4" w:space="0" w:color="auto"/>
            </w:tcBorders>
            <w:shd w:val="clear" w:color="000000" w:fill="FF0000"/>
            <w:noWrap/>
            <w:vAlign w:val="center"/>
            <w:hideMark/>
          </w:tcPr>
          <w:p w14:paraId="3F4F5CAA"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100%</w:t>
            </w:r>
          </w:p>
        </w:tc>
        <w:tc>
          <w:tcPr>
            <w:tcW w:w="992" w:type="dxa"/>
            <w:tcBorders>
              <w:top w:val="nil"/>
              <w:left w:val="nil"/>
              <w:bottom w:val="single" w:sz="4" w:space="0" w:color="auto"/>
              <w:right w:val="single" w:sz="4" w:space="0" w:color="auto"/>
            </w:tcBorders>
            <w:shd w:val="clear" w:color="auto" w:fill="auto"/>
            <w:noWrap/>
            <w:vAlign w:val="center"/>
            <w:hideMark/>
          </w:tcPr>
          <w:p w14:paraId="62A2AFA3"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66%</w:t>
            </w:r>
          </w:p>
        </w:tc>
      </w:tr>
      <w:tr w:rsidR="00975813" w:rsidRPr="00953B54" w14:paraId="22CA991F"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1EA1D64B"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F602288</w:t>
            </w:r>
          </w:p>
        </w:tc>
        <w:tc>
          <w:tcPr>
            <w:tcW w:w="3969" w:type="dxa"/>
            <w:tcBorders>
              <w:top w:val="nil"/>
              <w:left w:val="nil"/>
              <w:bottom w:val="single" w:sz="4" w:space="0" w:color="auto"/>
              <w:right w:val="single" w:sz="4" w:space="0" w:color="auto"/>
            </w:tcBorders>
            <w:shd w:val="clear" w:color="auto" w:fill="auto"/>
            <w:noWrap/>
            <w:vAlign w:val="center"/>
            <w:hideMark/>
          </w:tcPr>
          <w:p w14:paraId="41A6C666"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Autres Fournitures Consommables</w:t>
            </w:r>
          </w:p>
        </w:tc>
        <w:tc>
          <w:tcPr>
            <w:tcW w:w="1275" w:type="dxa"/>
            <w:tcBorders>
              <w:top w:val="nil"/>
              <w:left w:val="nil"/>
              <w:bottom w:val="single" w:sz="4" w:space="0" w:color="auto"/>
              <w:right w:val="single" w:sz="4" w:space="0" w:color="auto"/>
            </w:tcBorders>
            <w:shd w:val="clear" w:color="000000" w:fill="92D050"/>
            <w:noWrap/>
            <w:vAlign w:val="center"/>
            <w:hideMark/>
          </w:tcPr>
          <w:p w14:paraId="36161803"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1 129</w:t>
            </w:r>
          </w:p>
        </w:tc>
        <w:tc>
          <w:tcPr>
            <w:tcW w:w="1258" w:type="dxa"/>
            <w:tcBorders>
              <w:top w:val="nil"/>
              <w:left w:val="nil"/>
              <w:bottom w:val="single" w:sz="4" w:space="0" w:color="auto"/>
              <w:right w:val="single" w:sz="4" w:space="0" w:color="auto"/>
            </w:tcBorders>
            <w:shd w:val="clear" w:color="auto" w:fill="auto"/>
            <w:noWrap/>
            <w:vAlign w:val="center"/>
            <w:hideMark/>
          </w:tcPr>
          <w:p w14:paraId="08A40695" w14:textId="77777777" w:rsidR="00975813" w:rsidRPr="00953B54" w:rsidRDefault="00975813" w:rsidP="00AE3850">
            <w:pPr>
              <w:spacing w:line="360" w:lineRule="auto"/>
              <w:jc w:val="both"/>
              <w:rPr>
                <w:rFonts w:asciiTheme="majorBidi" w:eastAsia="Times New Roman" w:hAnsiTheme="majorBidi" w:cstheme="majorBidi"/>
                <w:lang w:eastAsia="fr-FR"/>
              </w:rPr>
            </w:pPr>
          </w:p>
        </w:tc>
        <w:tc>
          <w:tcPr>
            <w:tcW w:w="1294" w:type="dxa"/>
            <w:tcBorders>
              <w:top w:val="nil"/>
              <w:left w:val="nil"/>
              <w:bottom w:val="single" w:sz="4" w:space="0" w:color="auto"/>
              <w:right w:val="single" w:sz="4" w:space="0" w:color="auto"/>
            </w:tcBorders>
            <w:shd w:val="clear" w:color="auto" w:fill="auto"/>
            <w:noWrap/>
            <w:vAlign w:val="center"/>
            <w:hideMark/>
          </w:tcPr>
          <w:p w14:paraId="179D2D4A" w14:textId="77777777" w:rsidR="00975813" w:rsidRPr="00953B54" w:rsidRDefault="00975813" w:rsidP="00AE3850">
            <w:pPr>
              <w:spacing w:line="360" w:lineRule="auto"/>
              <w:jc w:val="both"/>
              <w:rPr>
                <w:rFonts w:asciiTheme="majorBidi" w:eastAsia="Times New Roman" w:hAnsiTheme="majorBidi" w:cstheme="majorBidi"/>
                <w:lang w:eastAsia="fr-FR"/>
              </w:rPr>
            </w:pPr>
          </w:p>
        </w:tc>
        <w:tc>
          <w:tcPr>
            <w:tcW w:w="1134" w:type="dxa"/>
            <w:tcBorders>
              <w:top w:val="nil"/>
              <w:left w:val="nil"/>
              <w:bottom w:val="single" w:sz="4" w:space="0" w:color="auto"/>
              <w:right w:val="single" w:sz="4" w:space="0" w:color="auto"/>
            </w:tcBorders>
            <w:shd w:val="clear" w:color="auto" w:fill="auto"/>
            <w:noWrap/>
            <w:vAlign w:val="center"/>
            <w:hideMark/>
          </w:tcPr>
          <w:p w14:paraId="03DF3B57"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0%</w:t>
            </w:r>
          </w:p>
        </w:tc>
        <w:tc>
          <w:tcPr>
            <w:tcW w:w="992" w:type="dxa"/>
            <w:tcBorders>
              <w:top w:val="nil"/>
              <w:left w:val="nil"/>
              <w:bottom w:val="single" w:sz="4" w:space="0" w:color="auto"/>
              <w:right w:val="single" w:sz="4" w:space="0" w:color="auto"/>
            </w:tcBorders>
            <w:shd w:val="clear" w:color="auto" w:fill="auto"/>
            <w:noWrap/>
            <w:vAlign w:val="center"/>
            <w:hideMark/>
          </w:tcPr>
          <w:p w14:paraId="25F428B6"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0%</w:t>
            </w:r>
          </w:p>
        </w:tc>
      </w:tr>
      <w:tr w:rsidR="00975813" w:rsidRPr="00953B54" w14:paraId="0488618A"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51610D48"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F607110</w:t>
            </w:r>
          </w:p>
        </w:tc>
        <w:tc>
          <w:tcPr>
            <w:tcW w:w="3969" w:type="dxa"/>
            <w:tcBorders>
              <w:top w:val="nil"/>
              <w:left w:val="nil"/>
              <w:bottom w:val="single" w:sz="4" w:space="0" w:color="auto"/>
              <w:right w:val="single" w:sz="4" w:space="0" w:color="auto"/>
            </w:tcBorders>
            <w:shd w:val="clear" w:color="auto" w:fill="auto"/>
            <w:noWrap/>
            <w:vAlign w:val="center"/>
            <w:hideMark/>
          </w:tcPr>
          <w:p w14:paraId="134766E4"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Electricité et Gaz</w:t>
            </w:r>
          </w:p>
        </w:tc>
        <w:tc>
          <w:tcPr>
            <w:tcW w:w="1275" w:type="dxa"/>
            <w:tcBorders>
              <w:top w:val="nil"/>
              <w:left w:val="nil"/>
              <w:bottom w:val="single" w:sz="4" w:space="0" w:color="auto"/>
              <w:right w:val="single" w:sz="4" w:space="0" w:color="auto"/>
            </w:tcBorders>
            <w:shd w:val="clear" w:color="auto" w:fill="auto"/>
            <w:noWrap/>
            <w:vAlign w:val="center"/>
            <w:hideMark/>
          </w:tcPr>
          <w:p w14:paraId="3542E33D"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50 000</w:t>
            </w:r>
          </w:p>
        </w:tc>
        <w:tc>
          <w:tcPr>
            <w:tcW w:w="1258" w:type="dxa"/>
            <w:tcBorders>
              <w:top w:val="nil"/>
              <w:left w:val="nil"/>
              <w:bottom w:val="single" w:sz="4" w:space="0" w:color="auto"/>
              <w:right w:val="single" w:sz="4" w:space="0" w:color="auto"/>
            </w:tcBorders>
            <w:shd w:val="clear" w:color="auto" w:fill="auto"/>
            <w:noWrap/>
            <w:vAlign w:val="center"/>
            <w:hideMark/>
          </w:tcPr>
          <w:p w14:paraId="62146DA8"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40 500</w:t>
            </w:r>
          </w:p>
        </w:tc>
        <w:tc>
          <w:tcPr>
            <w:tcW w:w="1294" w:type="dxa"/>
            <w:tcBorders>
              <w:top w:val="nil"/>
              <w:left w:val="nil"/>
              <w:bottom w:val="single" w:sz="4" w:space="0" w:color="auto"/>
              <w:right w:val="single" w:sz="4" w:space="0" w:color="auto"/>
            </w:tcBorders>
            <w:shd w:val="clear" w:color="auto" w:fill="auto"/>
            <w:noWrap/>
            <w:vAlign w:val="center"/>
            <w:hideMark/>
          </w:tcPr>
          <w:p w14:paraId="44BF9F59"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40 500</w:t>
            </w:r>
          </w:p>
        </w:tc>
        <w:tc>
          <w:tcPr>
            <w:tcW w:w="1134" w:type="dxa"/>
            <w:tcBorders>
              <w:top w:val="nil"/>
              <w:left w:val="nil"/>
              <w:bottom w:val="single" w:sz="4" w:space="0" w:color="auto"/>
              <w:right w:val="single" w:sz="4" w:space="0" w:color="auto"/>
            </w:tcBorders>
            <w:shd w:val="clear" w:color="auto" w:fill="auto"/>
            <w:noWrap/>
            <w:vAlign w:val="center"/>
            <w:hideMark/>
          </w:tcPr>
          <w:p w14:paraId="0650E098"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81%</w:t>
            </w:r>
          </w:p>
        </w:tc>
        <w:tc>
          <w:tcPr>
            <w:tcW w:w="992" w:type="dxa"/>
            <w:tcBorders>
              <w:top w:val="nil"/>
              <w:left w:val="nil"/>
              <w:bottom w:val="single" w:sz="4" w:space="0" w:color="auto"/>
              <w:right w:val="single" w:sz="4" w:space="0" w:color="auto"/>
            </w:tcBorders>
            <w:shd w:val="clear" w:color="auto" w:fill="auto"/>
            <w:noWrap/>
            <w:vAlign w:val="center"/>
            <w:hideMark/>
          </w:tcPr>
          <w:p w14:paraId="67C4D0BA"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81%</w:t>
            </w:r>
          </w:p>
        </w:tc>
      </w:tr>
      <w:tr w:rsidR="00975813" w:rsidRPr="00953B54" w14:paraId="760A75BF" w14:textId="77777777" w:rsidTr="00975813">
        <w:trPr>
          <w:trHeight w:val="315"/>
        </w:trPr>
        <w:tc>
          <w:tcPr>
            <w:tcW w:w="1008" w:type="dxa"/>
            <w:tcBorders>
              <w:top w:val="nil"/>
              <w:left w:val="single" w:sz="4" w:space="0" w:color="auto"/>
              <w:bottom w:val="single" w:sz="4" w:space="0" w:color="auto"/>
              <w:right w:val="single" w:sz="4" w:space="0" w:color="auto"/>
            </w:tcBorders>
            <w:shd w:val="clear" w:color="auto" w:fill="auto"/>
            <w:vAlign w:val="center"/>
            <w:hideMark/>
          </w:tcPr>
          <w:p w14:paraId="7F12A92B"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F607130</w:t>
            </w:r>
          </w:p>
        </w:tc>
        <w:tc>
          <w:tcPr>
            <w:tcW w:w="3969" w:type="dxa"/>
            <w:tcBorders>
              <w:top w:val="nil"/>
              <w:left w:val="nil"/>
              <w:bottom w:val="single" w:sz="4" w:space="0" w:color="auto"/>
              <w:right w:val="single" w:sz="4" w:space="0" w:color="auto"/>
            </w:tcBorders>
            <w:shd w:val="clear" w:color="auto" w:fill="auto"/>
            <w:noWrap/>
            <w:vAlign w:val="center"/>
            <w:hideMark/>
          </w:tcPr>
          <w:p w14:paraId="09F0E61D"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Eau</w:t>
            </w:r>
          </w:p>
        </w:tc>
        <w:tc>
          <w:tcPr>
            <w:tcW w:w="1275" w:type="dxa"/>
            <w:tcBorders>
              <w:top w:val="nil"/>
              <w:left w:val="nil"/>
              <w:bottom w:val="single" w:sz="4" w:space="0" w:color="auto"/>
              <w:right w:val="single" w:sz="4" w:space="0" w:color="auto"/>
            </w:tcBorders>
            <w:shd w:val="clear" w:color="auto" w:fill="auto"/>
            <w:noWrap/>
            <w:vAlign w:val="center"/>
            <w:hideMark/>
          </w:tcPr>
          <w:p w14:paraId="79B89403"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2 000</w:t>
            </w:r>
          </w:p>
        </w:tc>
        <w:tc>
          <w:tcPr>
            <w:tcW w:w="1258" w:type="dxa"/>
            <w:tcBorders>
              <w:top w:val="nil"/>
              <w:left w:val="nil"/>
              <w:bottom w:val="single" w:sz="4" w:space="0" w:color="auto"/>
              <w:right w:val="single" w:sz="4" w:space="0" w:color="auto"/>
            </w:tcBorders>
            <w:shd w:val="clear" w:color="auto" w:fill="auto"/>
            <w:noWrap/>
            <w:vAlign w:val="center"/>
            <w:hideMark/>
          </w:tcPr>
          <w:p w14:paraId="3913411C"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150</w:t>
            </w:r>
          </w:p>
        </w:tc>
        <w:tc>
          <w:tcPr>
            <w:tcW w:w="1294" w:type="dxa"/>
            <w:tcBorders>
              <w:top w:val="nil"/>
              <w:left w:val="nil"/>
              <w:bottom w:val="single" w:sz="4" w:space="0" w:color="auto"/>
              <w:right w:val="single" w:sz="4" w:space="0" w:color="auto"/>
            </w:tcBorders>
            <w:shd w:val="clear" w:color="auto" w:fill="auto"/>
            <w:noWrap/>
            <w:vAlign w:val="center"/>
            <w:hideMark/>
          </w:tcPr>
          <w:p w14:paraId="32B59921"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150</w:t>
            </w:r>
          </w:p>
        </w:tc>
        <w:tc>
          <w:tcPr>
            <w:tcW w:w="1134" w:type="dxa"/>
            <w:tcBorders>
              <w:top w:val="nil"/>
              <w:left w:val="nil"/>
              <w:bottom w:val="single" w:sz="4" w:space="0" w:color="auto"/>
              <w:right w:val="single" w:sz="4" w:space="0" w:color="auto"/>
            </w:tcBorders>
            <w:shd w:val="clear" w:color="auto" w:fill="auto"/>
            <w:noWrap/>
            <w:vAlign w:val="center"/>
            <w:hideMark/>
          </w:tcPr>
          <w:p w14:paraId="7BC0452D"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w:t>
            </w:r>
          </w:p>
        </w:tc>
        <w:tc>
          <w:tcPr>
            <w:tcW w:w="992" w:type="dxa"/>
            <w:tcBorders>
              <w:top w:val="nil"/>
              <w:left w:val="nil"/>
              <w:bottom w:val="single" w:sz="4" w:space="0" w:color="auto"/>
              <w:right w:val="single" w:sz="4" w:space="0" w:color="auto"/>
            </w:tcBorders>
            <w:shd w:val="clear" w:color="auto" w:fill="auto"/>
            <w:noWrap/>
            <w:vAlign w:val="center"/>
            <w:hideMark/>
          </w:tcPr>
          <w:p w14:paraId="1A2AC669" w14:textId="77777777" w:rsidR="00975813" w:rsidRPr="00953B54" w:rsidRDefault="00975813" w:rsidP="00AE3850">
            <w:pPr>
              <w:spacing w:line="360" w:lineRule="auto"/>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8%</w:t>
            </w:r>
          </w:p>
        </w:tc>
      </w:tr>
    </w:tbl>
    <w:p w14:paraId="6B81331B" w14:textId="6C249B52" w:rsidR="00B065F3" w:rsidRPr="00975813" w:rsidRDefault="00B065F3" w:rsidP="00AE3850">
      <w:pPr>
        <w:spacing w:line="360" w:lineRule="auto"/>
        <w:jc w:val="both"/>
        <w:rPr>
          <w:rFonts w:asciiTheme="majorBidi" w:eastAsia="Times New Roman" w:hAnsiTheme="majorBidi" w:cstheme="majorBidi"/>
          <w:b/>
          <w:bCs/>
          <w:lang w:eastAsia="fr-FR"/>
        </w:rPr>
      </w:pPr>
      <w:r w:rsidRPr="00975813">
        <w:rPr>
          <w:rFonts w:asciiTheme="majorBidi" w:eastAsia="Times New Roman" w:hAnsiTheme="majorBidi" w:cstheme="majorBidi"/>
          <w:b/>
          <w:bCs/>
          <w:lang w:eastAsia="fr-FR"/>
        </w:rPr>
        <w:t>Source : DOT de Beni Messous – Département Budget</w:t>
      </w:r>
    </w:p>
    <w:p w14:paraId="569280CD" w14:textId="77777777" w:rsidR="00B065F3" w:rsidRPr="00953B54" w:rsidRDefault="00B065F3" w:rsidP="00AE3850">
      <w:pPr>
        <w:spacing w:line="360" w:lineRule="auto"/>
        <w:jc w:val="both"/>
        <w:rPr>
          <w:rFonts w:asciiTheme="majorBidi" w:hAnsiTheme="majorBidi" w:cstheme="majorBidi"/>
          <w:b/>
          <w:bCs/>
        </w:rPr>
      </w:pPr>
    </w:p>
    <w:p w14:paraId="597F66CF" w14:textId="0D2DC24E" w:rsidR="000C2430" w:rsidRPr="000C2430" w:rsidRDefault="000C2430" w:rsidP="00AE3850">
      <w:pPr>
        <w:pStyle w:val="Lgende"/>
        <w:keepNext/>
        <w:spacing w:line="360" w:lineRule="auto"/>
        <w:jc w:val="both"/>
        <w:rPr>
          <w:rFonts w:asciiTheme="majorBidi" w:hAnsiTheme="majorBidi" w:cstheme="majorBidi"/>
          <w:b/>
          <w:bCs/>
          <w:i w:val="0"/>
          <w:iCs w:val="0"/>
          <w:color w:val="auto"/>
          <w:sz w:val="24"/>
          <w:szCs w:val="24"/>
        </w:rPr>
      </w:pPr>
      <w:bookmarkStart w:id="181" w:name="_Toc199314776"/>
      <w:r w:rsidRPr="000C2430">
        <w:rPr>
          <w:rFonts w:asciiTheme="majorBidi" w:hAnsiTheme="majorBidi" w:cstheme="majorBidi"/>
          <w:b/>
          <w:bCs/>
          <w:i w:val="0"/>
          <w:iCs w:val="0"/>
          <w:color w:val="auto"/>
          <w:sz w:val="24"/>
          <w:szCs w:val="24"/>
        </w:rPr>
        <w:lastRenderedPageBreak/>
        <w:t xml:space="preserve">Figure N°2- </w:t>
      </w:r>
      <w:r w:rsidRPr="000C2430">
        <w:rPr>
          <w:rFonts w:asciiTheme="majorBidi" w:hAnsiTheme="majorBidi" w:cstheme="majorBidi"/>
          <w:b/>
          <w:bCs/>
          <w:i w:val="0"/>
          <w:iCs w:val="0"/>
          <w:color w:val="auto"/>
          <w:sz w:val="24"/>
          <w:szCs w:val="24"/>
        </w:rPr>
        <w:fldChar w:fldCharType="begin"/>
      </w:r>
      <w:r w:rsidRPr="000C2430">
        <w:rPr>
          <w:rFonts w:asciiTheme="majorBidi" w:hAnsiTheme="majorBidi" w:cstheme="majorBidi"/>
          <w:b/>
          <w:bCs/>
          <w:i w:val="0"/>
          <w:iCs w:val="0"/>
          <w:color w:val="auto"/>
          <w:sz w:val="24"/>
          <w:szCs w:val="24"/>
        </w:rPr>
        <w:instrText xml:space="preserve"> SEQ Figure_N°2- \* ARABIC </w:instrText>
      </w:r>
      <w:r w:rsidRPr="000C2430">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10</w:t>
      </w:r>
      <w:r w:rsidRPr="000C2430">
        <w:rPr>
          <w:rFonts w:asciiTheme="majorBidi" w:hAnsiTheme="majorBidi" w:cstheme="majorBidi"/>
          <w:b/>
          <w:bCs/>
          <w:i w:val="0"/>
          <w:iCs w:val="0"/>
          <w:color w:val="auto"/>
          <w:sz w:val="24"/>
          <w:szCs w:val="24"/>
        </w:rPr>
        <w:fldChar w:fldCharType="end"/>
      </w:r>
      <w:r w:rsidRPr="000C2430">
        <w:rPr>
          <w:rFonts w:asciiTheme="majorBidi" w:hAnsiTheme="majorBidi" w:cstheme="majorBidi"/>
          <w:b/>
          <w:bCs/>
          <w:i w:val="0"/>
          <w:iCs w:val="0"/>
          <w:color w:val="auto"/>
          <w:sz w:val="24"/>
          <w:szCs w:val="24"/>
        </w:rPr>
        <w:t>: Histogramme comparatif : Budget, Engagement et Réalisation – Compte 60 (Achats Consommés)</w:t>
      </w:r>
      <w:bookmarkEnd w:id="181"/>
    </w:p>
    <w:p w14:paraId="16D9ADCD"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noProof/>
          <w:lang w:eastAsia="fr-FR"/>
        </w:rPr>
        <w:drawing>
          <wp:inline distT="0" distB="0" distL="0" distR="0" wp14:anchorId="71CAC57D" wp14:editId="0B074F04">
            <wp:extent cx="6383020" cy="2708238"/>
            <wp:effectExtent l="0" t="0" r="0" b="0"/>
            <wp:docPr id="22" name="Image 22" descr="C:\Users\HP\Download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383020" cy="2708238"/>
                    </a:xfrm>
                    <a:prstGeom prst="rect">
                      <a:avLst/>
                    </a:prstGeom>
                    <a:noFill/>
                    <a:ln>
                      <a:noFill/>
                    </a:ln>
                  </pic:spPr>
                </pic:pic>
              </a:graphicData>
            </a:graphic>
          </wp:inline>
        </w:drawing>
      </w:r>
    </w:p>
    <w:p w14:paraId="37ED5163" w14:textId="77777777" w:rsidR="00B065F3" w:rsidRPr="0088457B" w:rsidRDefault="00B065F3" w:rsidP="00AE3850">
      <w:pPr>
        <w:spacing w:line="360" w:lineRule="auto"/>
        <w:jc w:val="both"/>
        <w:rPr>
          <w:rFonts w:asciiTheme="majorBidi" w:hAnsiTheme="majorBidi" w:cstheme="majorBidi"/>
          <w:b/>
          <w:bCs/>
        </w:rPr>
      </w:pPr>
      <w:r w:rsidRPr="0088457B">
        <w:rPr>
          <w:rFonts w:asciiTheme="majorBidi" w:hAnsiTheme="majorBidi" w:cstheme="majorBidi"/>
          <w:b/>
          <w:bCs/>
        </w:rPr>
        <w:t>Source :</w:t>
      </w:r>
      <w:r w:rsidRPr="0088457B">
        <w:rPr>
          <w:rStyle w:val="lev"/>
          <w:rFonts w:asciiTheme="majorBidi" w:hAnsiTheme="majorBidi"/>
        </w:rPr>
        <w:t xml:space="preserve"> Élaboré par les étudiants selon les données de la DFC de la DOT de Beni Messous</w:t>
      </w:r>
    </w:p>
    <w:p w14:paraId="26581A7C" w14:textId="77777777" w:rsidR="00B065F3" w:rsidRPr="00953B54" w:rsidRDefault="00B065F3" w:rsidP="00AE3850">
      <w:pPr>
        <w:spacing w:line="360" w:lineRule="auto"/>
        <w:jc w:val="both"/>
        <w:rPr>
          <w:rFonts w:asciiTheme="majorBidi" w:hAnsiTheme="majorBidi" w:cstheme="majorBidi"/>
          <w:b/>
          <w:bCs/>
        </w:rPr>
      </w:pPr>
      <w:r w:rsidRPr="00953B54">
        <w:rPr>
          <w:rFonts w:asciiTheme="majorBidi" w:hAnsiTheme="majorBidi" w:cstheme="majorBidi"/>
          <w:b/>
          <w:bCs/>
        </w:rPr>
        <w:t>Les commentaires :</w:t>
      </w:r>
    </w:p>
    <w:p w14:paraId="1CFCC085" w14:textId="77777777" w:rsidR="00B065F3" w:rsidRPr="0088457B" w:rsidRDefault="00B065F3" w:rsidP="00AE3850">
      <w:pPr>
        <w:spacing w:line="360" w:lineRule="auto"/>
        <w:ind w:firstLine="708"/>
        <w:jc w:val="both"/>
        <w:rPr>
          <w:rFonts w:asciiTheme="majorBidi" w:eastAsia="Times New Roman" w:hAnsiTheme="majorBidi" w:cstheme="majorBidi"/>
          <w:lang w:eastAsia="fr-FR"/>
        </w:rPr>
      </w:pPr>
      <w:r w:rsidRPr="00953B54">
        <w:rPr>
          <w:rFonts w:asciiTheme="majorBidi" w:eastAsia="Times New Roman" w:hAnsiTheme="majorBidi" w:cstheme="majorBidi"/>
          <w:lang w:eastAsia="fr-FR"/>
        </w:rPr>
        <w:t>Les réaménagements opérés ont permis d’ajuster les dotations en fonction des priorités réelles. Les postes renforcés, comme les fournitures de commutation, le carburant et l’informatique, affichent un taux d’engagement de 100 %, signe d’une réactivité dans la gestion. En revanche, certains écarts entre engagements et réalisations (ex. : fournitures informatiques, produits pharmaceutiques) montrent que la consommation effective reste partielle. D'autres rubriques comme les appareils téléphoniques ou les fournitures consommables restent non exécutées, suggérant des reports. Globalement, ces ajustements traduisent une gestion budgétaire souple et mieux alignée sur les besoins opérationnels</w:t>
      </w:r>
    </w:p>
    <w:p w14:paraId="27726E02" w14:textId="77777777" w:rsidR="00B065F3" w:rsidRDefault="00B065F3" w:rsidP="00AE3850">
      <w:pPr>
        <w:spacing w:line="360" w:lineRule="auto"/>
        <w:jc w:val="both"/>
        <w:rPr>
          <w:rFonts w:asciiTheme="majorBidi" w:eastAsia="Times New Roman" w:hAnsiTheme="majorBidi" w:cstheme="majorBidi"/>
          <w:b/>
          <w:bCs/>
          <w:lang w:eastAsia="fr-FR"/>
        </w:rPr>
      </w:pPr>
      <w:r>
        <w:rPr>
          <w:rFonts w:asciiTheme="majorBidi" w:hAnsiTheme="majorBidi" w:cstheme="majorBidi"/>
        </w:rPr>
        <w:br w:type="page"/>
      </w:r>
    </w:p>
    <w:p w14:paraId="6BF30556" w14:textId="437EA05C" w:rsidR="00B065F3" w:rsidRPr="00DF40B7" w:rsidRDefault="00B065F3" w:rsidP="00C13671">
      <w:pPr>
        <w:pStyle w:val="Titre4"/>
        <w:numPr>
          <w:ilvl w:val="0"/>
          <w:numId w:val="115"/>
        </w:numPr>
        <w:spacing w:line="360" w:lineRule="auto"/>
        <w:jc w:val="both"/>
        <w:rPr>
          <w:rFonts w:asciiTheme="majorBidi" w:hAnsiTheme="majorBidi"/>
          <w:b/>
          <w:bCs/>
          <w:i w:val="0"/>
          <w:iCs w:val="0"/>
          <w:color w:val="auto"/>
          <w:u w:val="single"/>
        </w:rPr>
      </w:pPr>
      <w:bookmarkStart w:id="182" w:name="_Toc199314470"/>
      <w:r w:rsidRPr="00DF40B7">
        <w:rPr>
          <w:rFonts w:asciiTheme="majorBidi" w:hAnsiTheme="majorBidi"/>
          <w:b/>
          <w:bCs/>
          <w:i w:val="0"/>
          <w:iCs w:val="0"/>
          <w:color w:val="auto"/>
          <w:u w:val="single"/>
        </w:rPr>
        <w:lastRenderedPageBreak/>
        <w:t>Interprétation générale des résultats</w:t>
      </w:r>
      <w:r w:rsidR="000C2430" w:rsidRPr="00DF40B7">
        <w:rPr>
          <w:rFonts w:asciiTheme="majorBidi" w:hAnsiTheme="majorBidi"/>
          <w:b/>
          <w:bCs/>
          <w:i w:val="0"/>
          <w:iCs w:val="0"/>
          <w:color w:val="auto"/>
          <w:u w:val="single"/>
        </w:rPr>
        <w:t xml:space="preserve"> :</w:t>
      </w:r>
      <w:bookmarkEnd w:id="182"/>
    </w:p>
    <w:p w14:paraId="6520A070" w14:textId="77777777" w:rsidR="00B065F3" w:rsidRPr="00953B54" w:rsidRDefault="00B065F3" w:rsidP="00AE3850">
      <w:pPr>
        <w:spacing w:line="360" w:lineRule="auto"/>
        <w:ind w:firstLine="360"/>
        <w:jc w:val="both"/>
        <w:rPr>
          <w:rFonts w:asciiTheme="majorBidi" w:hAnsiTheme="majorBidi" w:cstheme="majorBidi"/>
        </w:rPr>
      </w:pPr>
      <w:r w:rsidRPr="00953B54">
        <w:rPr>
          <w:rFonts w:asciiTheme="majorBidi" w:hAnsiTheme="majorBidi" w:cstheme="majorBidi"/>
        </w:rPr>
        <w:t>L’analyse détaillée du budget 2023 de la DOT de Beni Messous révèle plusieurs enseignements majeurs pour la gestion budgétaire locale :</w:t>
      </w:r>
    </w:p>
    <w:p w14:paraId="2FB7CD9E" w14:textId="77777777" w:rsidR="00B065F3" w:rsidRPr="00DF40B7" w:rsidRDefault="00B065F3" w:rsidP="00C13671">
      <w:pPr>
        <w:pStyle w:val="Paragraphedeliste"/>
        <w:numPr>
          <w:ilvl w:val="0"/>
          <w:numId w:val="116"/>
        </w:numPr>
        <w:spacing w:line="360" w:lineRule="auto"/>
        <w:jc w:val="both"/>
        <w:rPr>
          <w:rFonts w:asciiTheme="majorBidi" w:hAnsiTheme="majorBidi" w:cstheme="majorBidi"/>
        </w:rPr>
      </w:pPr>
      <w:r w:rsidRPr="00DF40B7">
        <w:rPr>
          <w:rStyle w:val="lev"/>
          <w:rFonts w:asciiTheme="majorBidi" w:hAnsiTheme="majorBidi"/>
        </w:rPr>
        <w:t>Dépassements budgétaires significatifs</w:t>
      </w:r>
      <w:r w:rsidRPr="00DF40B7">
        <w:rPr>
          <w:rFonts w:asciiTheme="majorBidi" w:hAnsiTheme="majorBidi" w:cstheme="majorBidi"/>
        </w:rPr>
        <w:t xml:space="preserve"> sur les services extérieurs et les charges de personnel, traduisant soit une sous-estimation initiale des besoins, soit une hausse des dépenses liées à des circonstances exceptionnelles (recrutements, primes, interventions urgentes). Ces dépassements nécessitent une amélioration des techniques de prévision et une meilleure intégration des variables opérationnelles dans la préparation budgétaire.</w:t>
      </w:r>
    </w:p>
    <w:p w14:paraId="3957F393" w14:textId="77777777" w:rsidR="00B065F3" w:rsidRPr="00DF40B7" w:rsidRDefault="00B065F3" w:rsidP="00C13671">
      <w:pPr>
        <w:pStyle w:val="Paragraphedeliste"/>
        <w:numPr>
          <w:ilvl w:val="0"/>
          <w:numId w:val="116"/>
        </w:numPr>
        <w:spacing w:line="360" w:lineRule="auto"/>
        <w:jc w:val="both"/>
        <w:rPr>
          <w:rFonts w:asciiTheme="majorBidi" w:hAnsiTheme="majorBidi" w:cstheme="majorBidi"/>
        </w:rPr>
      </w:pPr>
      <w:r w:rsidRPr="00DF40B7">
        <w:rPr>
          <w:rStyle w:val="lev"/>
          <w:rFonts w:asciiTheme="majorBidi" w:hAnsiTheme="majorBidi"/>
        </w:rPr>
        <w:t>Sous-exécution des achats consommés</w:t>
      </w:r>
      <w:r w:rsidRPr="00DF40B7">
        <w:rPr>
          <w:rFonts w:asciiTheme="majorBidi" w:hAnsiTheme="majorBidi" w:cstheme="majorBidi"/>
        </w:rPr>
        <w:t>, possiblement due à des reports de dépenses ou à des économies réalisées. Cela peut aussi indiquer une révision des priorités ou des contraintes opérationnelles limitant certains achats. Un suivi rapproché de ces postes est indispensable pour éviter un sous-investissement qui pourrait nuire à la performance.</w:t>
      </w:r>
    </w:p>
    <w:p w14:paraId="7E282BAF" w14:textId="77777777" w:rsidR="00B065F3" w:rsidRPr="00DF40B7" w:rsidRDefault="00B065F3" w:rsidP="00C13671">
      <w:pPr>
        <w:pStyle w:val="Paragraphedeliste"/>
        <w:numPr>
          <w:ilvl w:val="0"/>
          <w:numId w:val="116"/>
        </w:numPr>
        <w:spacing w:line="360" w:lineRule="auto"/>
        <w:jc w:val="both"/>
        <w:rPr>
          <w:rFonts w:asciiTheme="majorBidi" w:hAnsiTheme="majorBidi" w:cstheme="majorBidi"/>
        </w:rPr>
      </w:pPr>
      <w:r w:rsidRPr="00DF40B7">
        <w:rPr>
          <w:rStyle w:val="lev"/>
          <w:rFonts w:asciiTheme="majorBidi" w:hAnsiTheme="majorBidi"/>
        </w:rPr>
        <w:t>Gestion rigoureuse des impôts, taxes et autres charges</w:t>
      </w:r>
      <w:r w:rsidRPr="00DF40B7">
        <w:rPr>
          <w:rFonts w:asciiTheme="majorBidi" w:hAnsiTheme="majorBidi" w:cstheme="majorBidi"/>
        </w:rPr>
        <w:t>, qui restent stables et maîtrisés, signe d’une bonne anticipation des obligations fiscales.</w:t>
      </w:r>
    </w:p>
    <w:p w14:paraId="6620DE3F" w14:textId="77777777" w:rsidR="00B065F3" w:rsidRPr="00DF40B7" w:rsidRDefault="00B065F3" w:rsidP="00C13671">
      <w:pPr>
        <w:pStyle w:val="Paragraphedeliste"/>
        <w:numPr>
          <w:ilvl w:val="0"/>
          <w:numId w:val="116"/>
        </w:numPr>
        <w:spacing w:line="360" w:lineRule="auto"/>
        <w:jc w:val="both"/>
        <w:rPr>
          <w:rFonts w:asciiTheme="majorBidi" w:hAnsiTheme="majorBidi" w:cstheme="majorBidi"/>
        </w:rPr>
      </w:pPr>
      <w:r w:rsidRPr="00DF40B7">
        <w:rPr>
          <w:rStyle w:val="lev"/>
          <w:rFonts w:asciiTheme="majorBidi" w:hAnsiTheme="majorBidi"/>
        </w:rPr>
        <w:t>Réactivité par le biais des réaménagements budgétaires internes</w:t>
      </w:r>
      <w:r w:rsidRPr="00DF40B7">
        <w:rPr>
          <w:rFonts w:asciiTheme="majorBidi" w:hAnsiTheme="majorBidi" w:cstheme="majorBidi"/>
        </w:rPr>
        <w:t>, permettant d’adapter les crédits aux besoins réels sans dépasser le plafond global. Ce processus contribue à renforcer l’efficience de la gestion financière et à répondre aux urgences ou priorités émergentes.</w:t>
      </w:r>
    </w:p>
    <w:p w14:paraId="15FAF287" w14:textId="77777777" w:rsidR="00B065F3" w:rsidRPr="00DF40B7" w:rsidRDefault="00B065F3" w:rsidP="00C13671">
      <w:pPr>
        <w:pStyle w:val="Paragraphedeliste"/>
        <w:numPr>
          <w:ilvl w:val="0"/>
          <w:numId w:val="116"/>
        </w:numPr>
        <w:spacing w:line="360" w:lineRule="auto"/>
        <w:jc w:val="both"/>
        <w:rPr>
          <w:rFonts w:asciiTheme="majorBidi" w:hAnsiTheme="majorBidi" w:cstheme="majorBidi"/>
        </w:rPr>
      </w:pPr>
      <w:r w:rsidRPr="00DF40B7">
        <w:rPr>
          <w:rStyle w:val="lev"/>
          <w:rFonts w:asciiTheme="majorBidi" w:hAnsiTheme="majorBidi"/>
        </w:rPr>
        <w:t>Nécessité d’un suivi renforcé et d’une meilleure coordination</w:t>
      </w:r>
      <w:r w:rsidRPr="00DF40B7">
        <w:rPr>
          <w:rFonts w:asciiTheme="majorBidi" w:hAnsiTheme="majorBidi" w:cstheme="majorBidi"/>
        </w:rPr>
        <w:t xml:space="preserve"> entre les différents services (finance, ressources humaines, contrôle de gestion) pour améliorer la qualité des données, la fiabilité des prévisions et la réactivité face aux évolutions du contexte.</w:t>
      </w:r>
    </w:p>
    <w:p w14:paraId="5736DE23" w14:textId="77777777" w:rsidR="00B065F3" w:rsidRPr="00953B54" w:rsidRDefault="00B065F3" w:rsidP="00AE3850">
      <w:pPr>
        <w:spacing w:line="360" w:lineRule="auto"/>
        <w:jc w:val="both"/>
        <w:rPr>
          <w:rFonts w:asciiTheme="majorBidi" w:hAnsiTheme="majorBidi" w:cstheme="majorBidi"/>
        </w:rPr>
      </w:pPr>
    </w:p>
    <w:p w14:paraId="6EF4CE49" w14:textId="77777777" w:rsidR="00B065F3" w:rsidRDefault="00B065F3" w:rsidP="00AE3850">
      <w:pPr>
        <w:spacing w:line="360" w:lineRule="auto"/>
        <w:ind w:firstLine="708"/>
        <w:jc w:val="both"/>
        <w:rPr>
          <w:rFonts w:asciiTheme="majorBidi" w:hAnsiTheme="majorBidi" w:cstheme="majorBidi"/>
        </w:rPr>
      </w:pPr>
      <w:r w:rsidRPr="00953B54">
        <w:rPr>
          <w:rFonts w:asciiTheme="majorBidi" w:hAnsiTheme="majorBidi" w:cstheme="majorBidi"/>
        </w:rPr>
        <w:t>La présente section a exposé les différentes étapes du processus budgétaire appliqué à la DOT de Beni Messous, depuis la préparation jusqu’au réaménagement des crédits. À travers l’étude des données de l’exercice 2023, elle a permis de présenter la structure des charges, le déroulement de l’exécution, le suivi des engagements, ainsi que les ajustements internes opérés en cours d’année.</w:t>
      </w:r>
    </w:p>
    <w:p w14:paraId="0C61DD69" w14:textId="77777777" w:rsidR="00B065F3" w:rsidRDefault="00B065F3" w:rsidP="00AE3850">
      <w:pPr>
        <w:spacing w:line="360" w:lineRule="auto"/>
        <w:jc w:val="both"/>
        <w:rPr>
          <w:rFonts w:asciiTheme="majorBidi" w:hAnsiTheme="majorBidi" w:cstheme="majorBidi"/>
        </w:rPr>
      </w:pPr>
      <w:r>
        <w:rPr>
          <w:rFonts w:asciiTheme="majorBidi" w:hAnsiTheme="majorBidi" w:cstheme="majorBidi"/>
        </w:rPr>
        <w:br w:type="page"/>
      </w:r>
    </w:p>
    <w:p w14:paraId="2177AEF5" w14:textId="4BA4032E" w:rsidR="00B065F3" w:rsidRPr="00DF40B7" w:rsidRDefault="00B065F3" w:rsidP="00AE3850">
      <w:pPr>
        <w:pStyle w:val="Titre2"/>
        <w:spacing w:line="360" w:lineRule="auto"/>
        <w:jc w:val="both"/>
        <w:rPr>
          <w:rFonts w:asciiTheme="majorBidi" w:hAnsiTheme="majorBidi"/>
          <w:b/>
          <w:bCs/>
          <w:color w:val="auto"/>
          <w:sz w:val="28"/>
          <w:szCs w:val="28"/>
          <w:u w:val="single"/>
        </w:rPr>
      </w:pPr>
      <w:bookmarkStart w:id="183" w:name="_Toc199314471"/>
      <w:bookmarkStart w:id="184" w:name="_Toc199314588"/>
      <w:r w:rsidRPr="00DF40B7">
        <w:rPr>
          <w:rFonts w:asciiTheme="majorBidi" w:hAnsiTheme="majorBidi"/>
          <w:b/>
          <w:bCs/>
          <w:color w:val="auto"/>
          <w:sz w:val="28"/>
          <w:szCs w:val="28"/>
          <w:u w:val="single"/>
        </w:rPr>
        <w:lastRenderedPageBreak/>
        <w:t xml:space="preserve">Section 03 : </w:t>
      </w:r>
      <w:r w:rsidR="00DF40B7" w:rsidRPr="00DF40B7">
        <w:rPr>
          <w:rFonts w:asciiTheme="majorBidi" w:hAnsiTheme="majorBidi"/>
          <w:b/>
          <w:bCs/>
          <w:color w:val="auto"/>
          <w:sz w:val="28"/>
          <w:szCs w:val="28"/>
          <w:u w:val="single"/>
        </w:rPr>
        <w:t>Étude</w:t>
      </w:r>
      <w:r w:rsidRPr="00DF40B7">
        <w:rPr>
          <w:rFonts w:asciiTheme="majorBidi" w:hAnsiTheme="majorBidi"/>
          <w:b/>
          <w:bCs/>
          <w:color w:val="auto"/>
          <w:sz w:val="28"/>
          <w:szCs w:val="28"/>
          <w:u w:val="single"/>
        </w:rPr>
        <w:t xml:space="preserve"> critique du processus budgétaire</w:t>
      </w:r>
      <w:bookmarkEnd w:id="183"/>
      <w:bookmarkEnd w:id="184"/>
    </w:p>
    <w:p w14:paraId="077FAE1F" w14:textId="77777777" w:rsidR="00B065F3" w:rsidRPr="00514397" w:rsidRDefault="00B065F3" w:rsidP="00AE3850">
      <w:pPr>
        <w:spacing w:line="360" w:lineRule="auto"/>
        <w:jc w:val="both"/>
        <w:rPr>
          <w:rFonts w:asciiTheme="majorBidi" w:hAnsiTheme="majorBidi" w:cstheme="majorBidi"/>
        </w:rPr>
      </w:pPr>
      <w:r w:rsidRPr="00514397">
        <w:rPr>
          <w:rFonts w:asciiTheme="majorBidi" w:hAnsiTheme="majorBidi" w:cstheme="majorBidi"/>
        </w:rPr>
        <w:t xml:space="preserve">     L’analyse du processus budgétaire à la DOT de Beni Messous a révélé à la fois des pratiques solides et des limites notables. Bien que l’organisation ait mis en place un cadre structuré et des outils modernes comme Oracle Finance, plusieurs dysfonctionnements persistent, notamment en matière de contrôle, d’alerte et de gestion des écarts. </w:t>
      </w:r>
    </w:p>
    <w:p w14:paraId="484788D1" w14:textId="77777777" w:rsidR="00B065F3" w:rsidRPr="00514397" w:rsidRDefault="00B065F3" w:rsidP="00AE3850">
      <w:pPr>
        <w:spacing w:line="360" w:lineRule="auto"/>
        <w:ind w:firstLine="360"/>
        <w:jc w:val="both"/>
        <w:rPr>
          <w:rFonts w:asciiTheme="majorBidi" w:hAnsiTheme="majorBidi" w:cstheme="majorBidi"/>
        </w:rPr>
      </w:pPr>
      <w:r w:rsidRPr="00514397">
        <w:rPr>
          <w:rFonts w:asciiTheme="majorBidi" w:hAnsiTheme="majorBidi" w:cstheme="majorBidi"/>
        </w:rPr>
        <w:t>Cette section vise à faire une évaluation critique du système en place, tout en proposant des pistes d’amélioration concrètes.</w:t>
      </w:r>
    </w:p>
    <w:p w14:paraId="7B58A48C" w14:textId="168AD361" w:rsidR="00B065F3" w:rsidRPr="00DF40B7" w:rsidRDefault="00B065F3" w:rsidP="00C13671">
      <w:pPr>
        <w:pStyle w:val="Titre3"/>
        <w:numPr>
          <w:ilvl w:val="0"/>
          <w:numId w:val="117"/>
        </w:numPr>
        <w:spacing w:line="360" w:lineRule="auto"/>
        <w:jc w:val="both"/>
        <w:rPr>
          <w:rFonts w:asciiTheme="majorBidi" w:eastAsia="Times New Roman" w:hAnsiTheme="majorBidi"/>
          <w:b/>
          <w:bCs/>
          <w:color w:val="auto"/>
          <w:sz w:val="24"/>
          <w:szCs w:val="24"/>
          <w:u w:val="single"/>
          <w:lang w:eastAsia="fr-FR"/>
        </w:rPr>
      </w:pPr>
      <w:bookmarkStart w:id="185" w:name="_Toc199314472"/>
      <w:r w:rsidRPr="00DF40B7">
        <w:rPr>
          <w:rFonts w:asciiTheme="majorBidi" w:hAnsiTheme="majorBidi"/>
          <w:b/>
          <w:bCs/>
          <w:color w:val="auto"/>
          <w:sz w:val="24"/>
          <w:szCs w:val="24"/>
          <w:u w:val="single"/>
        </w:rPr>
        <w:t>Points forts du processus budgétaire à la DOT de Beni Messous</w:t>
      </w:r>
      <w:r w:rsidR="00DF40B7" w:rsidRPr="00DF40B7">
        <w:rPr>
          <w:rFonts w:asciiTheme="majorBidi" w:hAnsiTheme="majorBidi"/>
          <w:b/>
          <w:bCs/>
          <w:color w:val="auto"/>
          <w:sz w:val="24"/>
          <w:szCs w:val="24"/>
          <w:u w:val="single"/>
        </w:rPr>
        <w:t xml:space="preserve"> :</w:t>
      </w:r>
      <w:bookmarkEnd w:id="185"/>
    </w:p>
    <w:p w14:paraId="12AD7AE9" w14:textId="77777777" w:rsidR="00B065F3" w:rsidRPr="00B065F3"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lang w:val="fr-FR"/>
        </w:rPr>
      </w:pPr>
      <w:r w:rsidRPr="00B065F3">
        <w:rPr>
          <w:rFonts w:asciiTheme="majorBidi" w:hAnsiTheme="majorBidi" w:cstheme="majorBidi"/>
          <w:b/>
          <w:bCs/>
          <w:lang w:val="fr-FR"/>
        </w:rPr>
        <w:t>Un processus structuré en trois phases clés :</w:t>
      </w:r>
    </w:p>
    <w:p w14:paraId="2450ED6D" w14:textId="77777777" w:rsidR="00B065F3" w:rsidRPr="00B065F3" w:rsidRDefault="00B065F3" w:rsidP="00AE3850">
      <w:pPr>
        <w:pStyle w:val="NormalWeb"/>
        <w:tabs>
          <w:tab w:val="left" w:pos="-426"/>
        </w:tabs>
        <w:spacing w:line="360" w:lineRule="auto"/>
        <w:ind w:left="142"/>
        <w:jc w:val="both"/>
        <w:rPr>
          <w:rFonts w:asciiTheme="majorBidi" w:hAnsiTheme="majorBidi" w:cstheme="majorBidi"/>
          <w:lang w:val="fr-FR"/>
        </w:rPr>
      </w:pPr>
      <w:r w:rsidRPr="00B065F3">
        <w:rPr>
          <w:rFonts w:asciiTheme="majorBidi" w:hAnsiTheme="majorBidi" w:cstheme="majorBidi"/>
          <w:lang w:val="fr-FR"/>
        </w:rPr>
        <w:t>Le cycle budgétaire suit une logique bien définie : élaboration, exécution et contrôle. Cette structuration permet une organisation rigoureuse et facilite le pilotage des ressources financières.</w:t>
      </w:r>
    </w:p>
    <w:p w14:paraId="4FB12B97" w14:textId="77777777" w:rsidR="00B065F3" w:rsidRPr="00B065F3"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lang w:val="fr-FR"/>
        </w:rPr>
      </w:pPr>
      <w:r w:rsidRPr="00B065F3">
        <w:rPr>
          <w:rFonts w:asciiTheme="majorBidi" w:hAnsiTheme="majorBidi" w:cstheme="majorBidi"/>
          <w:b/>
          <w:bCs/>
          <w:lang w:val="fr-FR"/>
        </w:rPr>
        <w:t>Implication des services dans la phase de planification :</w:t>
      </w:r>
    </w:p>
    <w:p w14:paraId="5AE21426" w14:textId="77777777" w:rsidR="00B065F3" w:rsidRPr="00B065F3" w:rsidRDefault="00B065F3" w:rsidP="00AE3850">
      <w:pPr>
        <w:pStyle w:val="NormalWeb"/>
        <w:tabs>
          <w:tab w:val="left" w:pos="-426"/>
        </w:tabs>
        <w:spacing w:line="360" w:lineRule="auto"/>
        <w:ind w:left="142"/>
        <w:jc w:val="both"/>
        <w:rPr>
          <w:rFonts w:asciiTheme="majorBidi" w:hAnsiTheme="majorBidi" w:cstheme="majorBidi"/>
          <w:lang w:val="fr-FR"/>
        </w:rPr>
      </w:pPr>
      <w:r w:rsidRPr="00B065F3">
        <w:rPr>
          <w:rFonts w:asciiTheme="majorBidi" w:hAnsiTheme="majorBidi" w:cstheme="majorBidi"/>
          <w:lang w:val="fr-FR"/>
        </w:rPr>
        <w:t>Chaque département participe à la formulation de ses besoins, sur la base de l’analyse de l’exercice N-1. Cela garantit une budgétisation mieux ancrée dans la réalité opérationnelle.</w:t>
      </w:r>
    </w:p>
    <w:p w14:paraId="2E2BDCE8" w14:textId="77777777" w:rsidR="00B065F3" w:rsidRPr="00B065F3"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lang w:val="fr-FR"/>
        </w:rPr>
      </w:pPr>
      <w:r w:rsidRPr="00B065F3">
        <w:rPr>
          <w:rFonts w:asciiTheme="majorBidi" w:hAnsiTheme="majorBidi" w:cstheme="majorBidi"/>
          <w:b/>
          <w:bCs/>
          <w:lang w:val="fr-FR"/>
        </w:rPr>
        <w:t>Alignement avec la stratégie nationale :</w:t>
      </w:r>
    </w:p>
    <w:p w14:paraId="63C687B9" w14:textId="77777777" w:rsidR="00B065F3" w:rsidRPr="00B065F3" w:rsidRDefault="00B065F3" w:rsidP="00AE3850">
      <w:pPr>
        <w:pStyle w:val="NormalWeb"/>
        <w:tabs>
          <w:tab w:val="left" w:pos="-426"/>
        </w:tabs>
        <w:spacing w:line="360" w:lineRule="auto"/>
        <w:ind w:left="142"/>
        <w:jc w:val="both"/>
        <w:rPr>
          <w:rFonts w:asciiTheme="majorBidi" w:hAnsiTheme="majorBidi" w:cstheme="majorBidi"/>
          <w:lang w:val="fr-FR"/>
        </w:rPr>
      </w:pPr>
      <w:r w:rsidRPr="00B065F3">
        <w:rPr>
          <w:rFonts w:asciiTheme="majorBidi" w:hAnsiTheme="majorBidi" w:cstheme="majorBidi"/>
          <w:lang w:val="fr-FR"/>
        </w:rPr>
        <w:t>La note de cadrage budgétaire transmise par la Direction Générale fixe les priorités nationales. Elle permet une cohérence verticale entre les niveaux local et central.</w:t>
      </w:r>
    </w:p>
    <w:p w14:paraId="52519D12" w14:textId="77777777" w:rsidR="00B065F3" w:rsidRPr="00B065F3"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lang w:val="fr-FR"/>
        </w:rPr>
      </w:pPr>
      <w:r w:rsidRPr="00B065F3">
        <w:rPr>
          <w:rFonts w:asciiTheme="majorBidi" w:hAnsiTheme="majorBidi" w:cstheme="majorBidi"/>
          <w:b/>
          <w:bCs/>
          <w:lang w:val="fr-FR"/>
        </w:rPr>
        <w:t>Intégration du système Oracle Finance :</w:t>
      </w:r>
    </w:p>
    <w:p w14:paraId="2003A5B7" w14:textId="77777777" w:rsidR="00B065F3" w:rsidRPr="00B065F3" w:rsidRDefault="00B065F3" w:rsidP="00AE3850">
      <w:pPr>
        <w:pStyle w:val="NormalWeb"/>
        <w:tabs>
          <w:tab w:val="left" w:pos="-426"/>
        </w:tabs>
        <w:spacing w:line="360" w:lineRule="auto"/>
        <w:ind w:left="142"/>
        <w:jc w:val="both"/>
        <w:rPr>
          <w:rFonts w:asciiTheme="majorBidi" w:hAnsiTheme="majorBidi" w:cstheme="majorBidi"/>
          <w:lang w:val="fr-FR"/>
        </w:rPr>
      </w:pPr>
      <w:r w:rsidRPr="00B065F3">
        <w:rPr>
          <w:rFonts w:asciiTheme="majorBidi" w:hAnsiTheme="majorBidi" w:cstheme="majorBidi"/>
          <w:lang w:val="fr-FR"/>
        </w:rPr>
        <w:t>Oracle permet de tracer toutes les étapes du cycle de la dépense (demande d’achat, bon de commande, réception, liquidation, paiement). Il centralise l’information budgétaire et facilite la production de rapports périodiques.</w:t>
      </w:r>
    </w:p>
    <w:p w14:paraId="46F91FB8" w14:textId="77777777" w:rsidR="00B065F3" w:rsidRPr="00B065F3"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lang w:val="fr-FR"/>
        </w:rPr>
      </w:pPr>
      <w:r w:rsidRPr="00B065F3">
        <w:rPr>
          <w:rFonts w:asciiTheme="majorBidi" w:hAnsiTheme="majorBidi" w:cstheme="majorBidi"/>
          <w:b/>
          <w:bCs/>
          <w:lang w:val="fr-FR"/>
        </w:rPr>
        <w:t>Réaménagements internes possibles en cours d’année :</w:t>
      </w:r>
    </w:p>
    <w:p w14:paraId="5E429F32" w14:textId="77777777" w:rsidR="00B065F3" w:rsidRPr="00B065F3" w:rsidRDefault="00B065F3" w:rsidP="00AE3850">
      <w:pPr>
        <w:pStyle w:val="NormalWeb"/>
        <w:tabs>
          <w:tab w:val="left" w:pos="-426"/>
        </w:tabs>
        <w:spacing w:line="360" w:lineRule="auto"/>
        <w:ind w:left="142"/>
        <w:jc w:val="both"/>
        <w:rPr>
          <w:rFonts w:asciiTheme="majorBidi" w:hAnsiTheme="majorBidi" w:cstheme="majorBidi"/>
          <w:lang w:val="fr-FR"/>
        </w:rPr>
      </w:pPr>
      <w:r w:rsidRPr="00B065F3">
        <w:rPr>
          <w:rFonts w:asciiTheme="majorBidi" w:hAnsiTheme="majorBidi" w:cstheme="majorBidi"/>
          <w:lang w:val="fr-FR"/>
        </w:rPr>
        <w:lastRenderedPageBreak/>
        <w:t>Le processus prévoit des ajustements budgétaires intra-annuels, permettant de redéployer les crédits vers des postes plus prioritaires selon l’évolution des besoins.</w:t>
      </w:r>
    </w:p>
    <w:p w14:paraId="3CE23AB3" w14:textId="77777777" w:rsidR="00B065F3" w:rsidRPr="008E2138"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rPr>
      </w:pPr>
      <w:r w:rsidRPr="008E2138">
        <w:rPr>
          <w:rFonts w:asciiTheme="majorBidi" w:hAnsiTheme="majorBidi" w:cstheme="majorBidi"/>
          <w:b/>
          <w:bCs/>
        </w:rPr>
        <w:t>Suivi budgétaire régulier</w:t>
      </w:r>
      <w:r>
        <w:rPr>
          <w:rFonts w:asciiTheme="majorBidi" w:hAnsiTheme="majorBidi" w:cstheme="majorBidi"/>
          <w:b/>
          <w:bCs/>
        </w:rPr>
        <w:t xml:space="preserve"> </w:t>
      </w:r>
      <w:r w:rsidRPr="008E2138">
        <w:rPr>
          <w:rFonts w:asciiTheme="majorBidi" w:hAnsiTheme="majorBidi" w:cstheme="majorBidi"/>
          <w:b/>
          <w:bCs/>
        </w:rPr>
        <w:t>:</w:t>
      </w:r>
    </w:p>
    <w:p w14:paraId="4DF2B054" w14:textId="77777777" w:rsidR="00B065F3" w:rsidRDefault="00B065F3" w:rsidP="00AE3850">
      <w:pPr>
        <w:pStyle w:val="NormalWeb"/>
        <w:tabs>
          <w:tab w:val="left" w:pos="-426"/>
        </w:tabs>
        <w:spacing w:line="360" w:lineRule="auto"/>
        <w:ind w:left="142"/>
        <w:jc w:val="both"/>
        <w:rPr>
          <w:rFonts w:asciiTheme="majorBidi" w:hAnsiTheme="majorBidi" w:cstheme="majorBidi"/>
          <w:b/>
          <w:bCs/>
        </w:rPr>
      </w:pPr>
      <w:r w:rsidRPr="00B065F3">
        <w:rPr>
          <w:rFonts w:asciiTheme="majorBidi" w:hAnsiTheme="majorBidi" w:cstheme="majorBidi"/>
          <w:lang w:val="fr-FR"/>
        </w:rPr>
        <w:t xml:space="preserve">Des rapports de consommation sont transmis aux échéances clés (juin, septembre, décembre), et analysés pour détecter les écarts. </w:t>
      </w:r>
      <w:r w:rsidRPr="008E2138">
        <w:rPr>
          <w:rFonts w:asciiTheme="majorBidi" w:hAnsiTheme="majorBidi" w:cstheme="majorBidi"/>
        </w:rPr>
        <w:t>Ce suivi favorise une meilleure anticipation.</w:t>
      </w:r>
    </w:p>
    <w:p w14:paraId="72637568" w14:textId="77777777" w:rsidR="00B065F3" w:rsidRPr="00B065F3"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lang w:val="fr-FR"/>
        </w:rPr>
      </w:pPr>
      <w:r w:rsidRPr="00B065F3">
        <w:rPr>
          <w:rFonts w:asciiTheme="majorBidi" w:hAnsiTheme="majorBidi" w:cstheme="majorBidi"/>
          <w:b/>
          <w:bCs/>
          <w:lang w:val="fr-FR"/>
        </w:rPr>
        <w:t>Existence d’un contrôle des dépenses centralisé :</w:t>
      </w:r>
    </w:p>
    <w:p w14:paraId="6C9C1063" w14:textId="77777777" w:rsidR="00B065F3" w:rsidRPr="00B065F3" w:rsidRDefault="00B065F3" w:rsidP="00AE3850">
      <w:pPr>
        <w:pStyle w:val="NormalWeb"/>
        <w:tabs>
          <w:tab w:val="left" w:pos="-426"/>
        </w:tabs>
        <w:spacing w:line="360" w:lineRule="auto"/>
        <w:ind w:left="142"/>
        <w:jc w:val="both"/>
        <w:rPr>
          <w:rFonts w:asciiTheme="majorBidi" w:hAnsiTheme="majorBidi" w:cstheme="majorBidi"/>
          <w:lang w:val="fr-FR"/>
        </w:rPr>
      </w:pPr>
      <w:r w:rsidRPr="00B065F3">
        <w:rPr>
          <w:rFonts w:asciiTheme="majorBidi" w:hAnsiTheme="majorBidi" w:cstheme="majorBidi"/>
          <w:lang w:val="fr-FR"/>
        </w:rPr>
        <w:t>La Division Finances et Comptabilité (DFC) joue un rôle de vérification ex ante et ex post des engagements, assurant une conformité avec les plafonds autorisés.</w:t>
      </w:r>
    </w:p>
    <w:p w14:paraId="3A2D9EAD" w14:textId="77777777" w:rsidR="00B065F3" w:rsidRPr="008E2138"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rPr>
      </w:pPr>
      <w:r w:rsidRPr="008E2138">
        <w:rPr>
          <w:rFonts w:asciiTheme="majorBidi" w:hAnsiTheme="majorBidi" w:cstheme="majorBidi"/>
          <w:b/>
          <w:bCs/>
        </w:rPr>
        <w:t>Utilisation d’indicateurs de gestion</w:t>
      </w:r>
      <w:r>
        <w:rPr>
          <w:rFonts w:asciiTheme="majorBidi" w:hAnsiTheme="majorBidi" w:cstheme="majorBidi"/>
          <w:b/>
          <w:bCs/>
        </w:rPr>
        <w:t xml:space="preserve"> </w:t>
      </w:r>
      <w:r w:rsidRPr="008E2138">
        <w:rPr>
          <w:rFonts w:asciiTheme="majorBidi" w:hAnsiTheme="majorBidi" w:cstheme="majorBidi"/>
          <w:b/>
          <w:bCs/>
        </w:rPr>
        <w:t>:</w:t>
      </w:r>
    </w:p>
    <w:p w14:paraId="032D1E4E" w14:textId="77777777" w:rsidR="00B065F3" w:rsidRPr="00B065F3" w:rsidRDefault="00B065F3" w:rsidP="00AE3850">
      <w:pPr>
        <w:pStyle w:val="NormalWeb"/>
        <w:tabs>
          <w:tab w:val="left" w:pos="-426"/>
        </w:tabs>
        <w:spacing w:line="360" w:lineRule="auto"/>
        <w:ind w:left="142"/>
        <w:jc w:val="both"/>
        <w:rPr>
          <w:rFonts w:asciiTheme="majorBidi" w:hAnsiTheme="majorBidi" w:cstheme="majorBidi"/>
          <w:lang w:val="fr-FR"/>
        </w:rPr>
      </w:pPr>
      <w:r w:rsidRPr="00B065F3">
        <w:rPr>
          <w:rFonts w:asciiTheme="majorBidi" w:hAnsiTheme="majorBidi" w:cstheme="majorBidi"/>
          <w:lang w:val="fr-FR"/>
        </w:rPr>
        <w:t>Les taux d’engagement et de réalisation sont utilisés pour suivre l’évolution du budget, mesurer l’efficacité des dépenses et orienter les ajustements éventuels.</w:t>
      </w:r>
    </w:p>
    <w:p w14:paraId="74F04670" w14:textId="77777777" w:rsidR="00B065F3" w:rsidRPr="00B065F3"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lang w:val="fr-FR"/>
        </w:rPr>
      </w:pPr>
      <w:r w:rsidRPr="00B065F3">
        <w:rPr>
          <w:rFonts w:asciiTheme="majorBidi" w:hAnsiTheme="majorBidi" w:cstheme="majorBidi"/>
          <w:b/>
          <w:bCs/>
          <w:lang w:val="fr-FR"/>
        </w:rPr>
        <w:t>Culture progressive du contrôle de gestion :</w:t>
      </w:r>
    </w:p>
    <w:p w14:paraId="40CB280E" w14:textId="77777777" w:rsidR="00B065F3" w:rsidRPr="00B065F3" w:rsidRDefault="00B065F3" w:rsidP="00AE3850">
      <w:pPr>
        <w:pStyle w:val="NormalWeb"/>
        <w:tabs>
          <w:tab w:val="left" w:pos="-426"/>
        </w:tabs>
        <w:spacing w:line="360" w:lineRule="auto"/>
        <w:ind w:left="142"/>
        <w:jc w:val="both"/>
        <w:rPr>
          <w:rFonts w:asciiTheme="majorBidi" w:hAnsiTheme="majorBidi" w:cstheme="majorBidi"/>
          <w:lang w:val="fr-FR"/>
        </w:rPr>
      </w:pPr>
      <w:r w:rsidRPr="00B065F3">
        <w:rPr>
          <w:rFonts w:asciiTheme="majorBidi" w:hAnsiTheme="majorBidi" w:cstheme="majorBidi"/>
          <w:lang w:val="fr-FR"/>
        </w:rPr>
        <w:t>La présence du service “Budget et Reporting” montre une volonté d’implémenter les logiques de contrôle de gestion dans le secteur public.</w:t>
      </w:r>
    </w:p>
    <w:p w14:paraId="4CCC8B1C" w14:textId="77777777" w:rsidR="00B065F3" w:rsidRPr="00B065F3" w:rsidRDefault="00B065F3" w:rsidP="00C13671">
      <w:pPr>
        <w:pStyle w:val="NormalWeb"/>
        <w:numPr>
          <w:ilvl w:val="0"/>
          <w:numId w:val="74"/>
        </w:numPr>
        <w:tabs>
          <w:tab w:val="left" w:pos="-426"/>
        </w:tabs>
        <w:spacing w:line="360" w:lineRule="auto"/>
        <w:ind w:left="142"/>
        <w:jc w:val="both"/>
        <w:rPr>
          <w:rFonts w:asciiTheme="majorBidi" w:hAnsiTheme="majorBidi" w:cstheme="majorBidi"/>
          <w:b/>
          <w:bCs/>
          <w:lang w:val="fr-FR"/>
        </w:rPr>
      </w:pPr>
      <w:r w:rsidRPr="00B065F3">
        <w:rPr>
          <w:rFonts w:asciiTheme="majorBidi" w:hAnsiTheme="majorBidi" w:cstheme="majorBidi"/>
          <w:b/>
          <w:bCs/>
          <w:lang w:val="fr-FR"/>
        </w:rPr>
        <w:t>Souplesse face aux urgences ou imprévus :</w:t>
      </w:r>
    </w:p>
    <w:p w14:paraId="5E018BD5" w14:textId="77777777" w:rsidR="00B065F3" w:rsidRPr="00B065F3" w:rsidRDefault="00B065F3" w:rsidP="00AE3850">
      <w:pPr>
        <w:pStyle w:val="NormalWeb"/>
        <w:tabs>
          <w:tab w:val="left" w:pos="-426"/>
        </w:tabs>
        <w:spacing w:line="360" w:lineRule="auto"/>
        <w:ind w:left="142"/>
        <w:jc w:val="both"/>
        <w:rPr>
          <w:rFonts w:asciiTheme="majorBidi" w:hAnsiTheme="majorBidi" w:cstheme="majorBidi"/>
          <w:lang w:val="fr-FR"/>
        </w:rPr>
      </w:pPr>
      <w:r w:rsidRPr="00B065F3">
        <w:rPr>
          <w:rFonts w:asciiTheme="majorBidi" w:hAnsiTheme="majorBidi" w:cstheme="majorBidi"/>
          <w:lang w:val="fr-FR"/>
        </w:rPr>
        <w:t>L’administration a montré sa capacité à prioriser des postes comme le carburant, les fournitures informatiques ou les produits pharmaceutiques en cours d’année.</w:t>
      </w:r>
    </w:p>
    <w:p w14:paraId="7C5E6256" w14:textId="77777777" w:rsidR="00B065F3" w:rsidRPr="008E2138" w:rsidRDefault="00B065F3" w:rsidP="00AE3850">
      <w:pPr>
        <w:spacing w:line="360" w:lineRule="auto"/>
        <w:jc w:val="both"/>
      </w:pPr>
    </w:p>
    <w:p w14:paraId="4BEF7607" w14:textId="2326FBB6" w:rsidR="00B065F3" w:rsidRPr="00DF40B7" w:rsidRDefault="00B065F3" w:rsidP="00C13671">
      <w:pPr>
        <w:pStyle w:val="Titre3"/>
        <w:numPr>
          <w:ilvl w:val="0"/>
          <w:numId w:val="117"/>
        </w:numPr>
        <w:spacing w:line="360" w:lineRule="auto"/>
        <w:jc w:val="both"/>
        <w:rPr>
          <w:rFonts w:asciiTheme="majorBidi" w:hAnsiTheme="majorBidi"/>
          <w:b/>
          <w:bCs/>
          <w:color w:val="auto"/>
          <w:sz w:val="24"/>
          <w:szCs w:val="24"/>
          <w:u w:val="single"/>
        </w:rPr>
      </w:pPr>
      <w:bookmarkStart w:id="186" w:name="_Toc199314473"/>
      <w:r w:rsidRPr="00DF40B7">
        <w:rPr>
          <w:rFonts w:asciiTheme="majorBidi" w:hAnsiTheme="majorBidi"/>
          <w:b/>
          <w:bCs/>
          <w:color w:val="auto"/>
          <w:sz w:val="24"/>
          <w:szCs w:val="24"/>
          <w:u w:val="single"/>
        </w:rPr>
        <w:t>Points faibles du processus budgétaire à la DOT de Beni Messous</w:t>
      </w:r>
      <w:r w:rsidR="00DF40B7" w:rsidRPr="00DF40B7">
        <w:rPr>
          <w:rFonts w:asciiTheme="majorBidi" w:hAnsiTheme="majorBidi"/>
          <w:b/>
          <w:bCs/>
          <w:color w:val="auto"/>
          <w:sz w:val="24"/>
          <w:szCs w:val="24"/>
          <w:u w:val="single"/>
        </w:rPr>
        <w:t xml:space="preserve"> :</w:t>
      </w:r>
      <w:bookmarkEnd w:id="186"/>
    </w:p>
    <w:p w14:paraId="3C8FBCE4" w14:textId="77777777" w:rsidR="00B065F3" w:rsidRPr="00514397" w:rsidRDefault="00B065F3" w:rsidP="00AE3850">
      <w:pPr>
        <w:spacing w:line="360" w:lineRule="auto"/>
        <w:ind w:firstLine="360"/>
        <w:jc w:val="both"/>
        <w:rPr>
          <w:rFonts w:asciiTheme="majorBidi" w:hAnsiTheme="majorBidi" w:cstheme="majorBidi"/>
        </w:rPr>
      </w:pPr>
      <w:r w:rsidRPr="00514397">
        <w:rPr>
          <w:rFonts w:asciiTheme="majorBidi" w:hAnsiTheme="majorBidi" w:cstheme="majorBidi"/>
        </w:rPr>
        <w:t>L’engagement budgétaire assimilé à une seconde prévision</w:t>
      </w:r>
    </w:p>
    <w:p w14:paraId="4D3755FE" w14:textId="5CBD8203" w:rsidR="00DF40B7" w:rsidRDefault="00B065F3" w:rsidP="000B33D0">
      <w:pPr>
        <w:spacing w:line="360" w:lineRule="auto"/>
        <w:ind w:firstLine="360"/>
        <w:jc w:val="both"/>
        <w:rPr>
          <w:rFonts w:asciiTheme="majorBidi" w:hAnsiTheme="majorBidi" w:cstheme="majorBidi"/>
        </w:rPr>
      </w:pPr>
      <w:r w:rsidRPr="00514397">
        <w:rPr>
          <w:rFonts w:asciiTheme="majorBidi" w:hAnsiTheme="majorBidi" w:cstheme="majorBidi"/>
        </w:rPr>
        <w:t xml:space="preserve">En principe, l’engagement repose sur une </w:t>
      </w:r>
      <w:r w:rsidRPr="00514397">
        <w:rPr>
          <w:rStyle w:val="lev"/>
          <w:rFonts w:asciiTheme="majorBidi" w:hAnsiTheme="majorBidi"/>
        </w:rPr>
        <w:t>étude préalable du besoin</w:t>
      </w:r>
      <w:r w:rsidRPr="00514397">
        <w:rPr>
          <w:rFonts w:asciiTheme="majorBidi" w:hAnsiTheme="majorBidi" w:cstheme="majorBidi"/>
        </w:rPr>
        <w:t xml:space="preserve">, souvent établie en concertation avec un fournisseur identifié, et se traduit par un </w:t>
      </w:r>
      <w:r w:rsidRPr="00514397">
        <w:rPr>
          <w:rStyle w:val="lev"/>
          <w:rFonts w:asciiTheme="majorBidi" w:hAnsiTheme="majorBidi"/>
        </w:rPr>
        <w:t>bon de commande</w:t>
      </w:r>
      <w:r w:rsidRPr="00514397">
        <w:rPr>
          <w:rFonts w:asciiTheme="majorBidi" w:hAnsiTheme="majorBidi" w:cstheme="majorBidi"/>
        </w:rPr>
        <w:t xml:space="preserve">, qui engage juridiquement l’entreprise. Ce comportement fait de l’engagement </w:t>
      </w:r>
      <w:r w:rsidRPr="00514397">
        <w:rPr>
          <w:rStyle w:val="lev"/>
          <w:rFonts w:asciiTheme="majorBidi" w:hAnsiTheme="majorBidi"/>
        </w:rPr>
        <w:t>une sorte de “deuxième prévision budgétaire”</w:t>
      </w:r>
    </w:p>
    <w:p w14:paraId="624EBAC0" w14:textId="6BCA5BF9" w:rsidR="00B065F3" w:rsidRPr="00514397" w:rsidRDefault="00B065F3" w:rsidP="00AE3850">
      <w:pPr>
        <w:spacing w:line="360" w:lineRule="auto"/>
        <w:ind w:firstLine="360"/>
        <w:jc w:val="both"/>
        <w:rPr>
          <w:rStyle w:val="lev"/>
          <w:rFonts w:asciiTheme="majorBidi" w:hAnsiTheme="majorBidi"/>
        </w:rPr>
      </w:pPr>
      <w:r w:rsidRPr="00514397">
        <w:rPr>
          <w:rFonts w:asciiTheme="majorBidi" w:hAnsiTheme="majorBidi" w:cstheme="majorBidi"/>
        </w:rPr>
        <w:lastRenderedPageBreak/>
        <w:t>Les Conséquences de cette confusion budgétaire</w:t>
      </w:r>
    </w:p>
    <w:p w14:paraId="015F4D51" w14:textId="77777777" w:rsidR="00B065F3" w:rsidRPr="00B065F3" w:rsidRDefault="00B065F3" w:rsidP="00C13671">
      <w:pPr>
        <w:pStyle w:val="NormalWeb"/>
        <w:numPr>
          <w:ilvl w:val="0"/>
          <w:numId w:val="83"/>
        </w:numPr>
        <w:spacing w:line="360" w:lineRule="auto"/>
        <w:jc w:val="both"/>
        <w:rPr>
          <w:rFonts w:asciiTheme="majorBidi" w:hAnsiTheme="majorBidi" w:cstheme="majorBidi"/>
          <w:lang w:val="fr-FR"/>
        </w:rPr>
      </w:pPr>
      <w:r w:rsidRPr="00B065F3">
        <w:rPr>
          <w:rFonts w:asciiTheme="majorBidi" w:hAnsiTheme="majorBidi" w:cstheme="majorBidi"/>
          <w:lang w:val="fr-FR"/>
        </w:rPr>
        <w:t xml:space="preserve">Elle </w:t>
      </w:r>
      <w:r w:rsidRPr="00B065F3">
        <w:rPr>
          <w:rStyle w:val="lev"/>
          <w:rFonts w:asciiTheme="majorBidi" w:eastAsiaTheme="majorEastAsia" w:hAnsiTheme="majorBidi"/>
          <w:lang w:val="fr-FR"/>
        </w:rPr>
        <w:t>gonfle les taux d’engagement</w:t>
      </w:r>
      <w:r w:rsidRPr="00B065F3">
        <w:rPr>
          <w:rFonts w:asciiTheme="majorBidi" w:hAnsiTheme="majorBidi" w:cstheme="majorBidi"/>
          <w:lang w:val="fr-FR"/>
        </w:rPr>
        <w:t>, donnant l’illusion d’une consommation budgétaire élevée.</w:t>
      </w:r>
    </w:p>
    <w:p w14:paraId="4025CFAD" w14:textId="77777777" w:rsidR="00B065F3" w:rsidRPr="00B065F3" w:rsidRDefault="00B065F3" w:rsidP="00C13671">
      <w:pPr>
        <w:pStyle w:val="NormalWeb"/>
        <w:numPr>
          <w:ilvl w:val="0"/>
          <w:numId w:val="83"/>
        </w:numPr>
        <w:spacing w:line="360" w:lineRule="auto"/>
        <w:jc w:val="both"/>
        <w:rPr>
          <w:rFonts w:asciiTheme="majorBidi" w:hAnsiTheme="majorBidi" w:cstheme="majorBidi"/>
          <w:lang w:val="fr-FR"/>
        </w:rPr>
      </w:pPr>
      <w:r w:rsidRPr="00B065F3">
        <w:rPr>
          <w:rFonts w:asciiTheme="majorBidi" w:hAnsiTheme="majorBidi" w:cstheme="majorBidi"/>
          <w:lang w:val="fr-FR"/>
        </w:rPr>
        <w:t xml:space="preserve">Elle </w:t>
      </w:r>
      <w:r w:rsidRPr="00B065F3">
        <w:rPr>
          <w:rStyle w:val="lev"/>
          <w:rFonts w:asciiTheme="majorBidi" w:eastAsiaTheme="majorEastAsia" w:hAnsiTheme="majorBidi"/>
          <w:lang w:val="fr-FR"/>
        </w:rPr>
        <w:t>bloque des crédits</w:t>
      </w:r>
      <w:r w:rsidRPr="00B065F3">
        <w:rPr>
          <w:rFonts w:asciiTheme="majorBidi" w:hAnsiTheme="majorBidi" w:cstheme="majorBidi"/>
          <w:lang w:val="fr-FR"/>
        </w:rPr>
        <w:t xml:space="preserve"> qui pourraient être réaffectés à des besoins urgents ou réels.</w:t>
      </w:r>
    </w:p>
    <w:p w14:paraId="059D02FC" w14:textId="77777777" w:rsidR="00B065F3" w:rsidRPr="00B065F3" w:rsidRDefault="00B065F3" w:rsidP="00C13671">
      <w:pPr>
        <w:pStyle w:val="NormalWeb"/>
        <w:numPr>
          <w:ilvl w:val="0"/>
          <w:numId w:val="83"/>
        </w:numPr>
        <w:spacing w:line="360" w:lineRule="auto"/>
        <w:jc w:val="both"/>
        <w:rPr>
          <w:rFonts w:asciiTheme="majorBidi" w:hAnsiTheme="majorBidi" w:cstheme="majorBidi"/>
          <w:lang w:val="fr-FR"/>
        </w:rPr>
      </w:pPr>
      <w:r w:rsidRPr="00B065F3">
        <w:rPr>
          <w:rFonts w:asciiTheme="majorBidi" w:hAnsiTheme="majorBidi" w:cstheme="majorBidi"/>
          <w:lang w:val="fr-FR"/>
        </w:rPr>
        <w:t xml:space="preserve">Elle </w:t>
      </w:r>
      <w:r w:rsidRPr="00B065F3">
        <w:rPr>
          <w:rStyle w:val="lev"/>
          <w:rFonts w:asciiTheme="majorBidi" w:eastAsiaTheme="majorEastAsia" w:hAnsiTheme="majorBidi"/>
          <w:lang w:val="fr-FR"/>
        </w:rPr>
        <w:t>fausse les analyses budgétaires</w:t>
      </w:r>
      <w:r w:rsidRPr="00B065F3">
        <w:rPr>
          <w:rFonts w:asciiTheme="majorBidi" w:hAnsiTheme="majorBidi" w:cstheme="majorBidi"/>
          <w:lang w:val="fr-FR"/>
        </w:rPr>
        <w:t>, puisque les engagements ne reflètent plus les dépenses effectives, mais des hypothèses d’usage.</w:t>
      </w:r>
    </w:p>
    <w:p w14:paraId="73882209" w14:textId="77777777" w:rsidR="00B065F3" w:rsidRPr="00B065F3" w:rsidRDefault="00B065F3" w:rsidP="00C13671">
      <w:pPr>
        <w:pStyle w:val="NormalWeb"/>
        <w:numPr>
          <w:ilvl w:val="0"/>
          <w:numId w:val="87"/>
        </w:numPr>
        <w:spacing w:line="360" w:lineRule="auto"/>
        <w:jc w:val="both"/>
        <w:rPr>
          <w:rFonts w:asciiTheme="majorBidi" w:hAnsiTheme="majorBidi" w:cstheme="majorBidi"/>
          <w:lang w:val="fr-FR"/>
        </w:rPr>
      </w:pPr>
      <w:r w:rsidRPr="00B065F3">
        <w:rPr>
          <w:rFonts w:asciiTheme="majorBidi" w:hAnsiTheme="majorBidi" w:cstheme="majorBidi"/>
          <w:b/>
          <w:bCs/>
          <w:lang w:val="fr-FR"/>
        </w:rPr>
        <w:t>Mauvais référentiel de comparaison :</w:t>
      </w:r>
      <w:r w:rsidRPr="00B065F3">
        <w:rPr>
          <w:rFonts w:asciiTheme="majorBidi" w:hAnsiTheme="majorBidi" w:cstheme="majorBidi"/>
          <w:lang w:val="fr-FR"/>
        </w:rPr>
        <w:t xml:space="preserve"> les engagements comparés aux prévisions au lieu des réalisations ce qui donne une image trompeuse de l’état réel de la consommation.</w:t>
      </w:r>
    </w:p>
    <w:p w14:paraId="488E9EB7" w14:textId="77777777" w:rsidR="00B065F3" w:rsidRPr="00514397" w:rsidRDefault="00B065F3" w:rsidP="00C13671">
      <w:pPr>
        <w:pStyle w:val="Paragraphedeliste"/>
        <w:numPr>
          <w:ilvl w:val="0"/>
          <w:numId w:val="87"/>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514397">
        <w:rPr>
          <w:rFonts w:asciiTheme="majorBidi" w:eastAsia="Times New Roman" w:hAnsiTheme="majorBidi" w:cstheme="majorBidi"/>
          <w:b/>
          <w:bCs/>
          <w:color w:val="000000" w:themeColor="text1"/>
          <w:lang w:eastAsia="fr-FR"/>
        </w:rPr>
        <w:t>Faible taux de consommation de certains crédits</w:t>
      </w:r>
      <w:r w:rsidRPr="00514397">
        <w:rPr>
          <w:rFonts w:asciiTheme="majorBidi" w:eastAsia="Times New Roman" w:hAnsiTheme="majorBidi" w:cstheme="majorBidi"/>
          <w:color w:val="000000" w:themeColor="text1"/>
          <w:lang w:eastAsia="fr-FR"/>
        </w:rPr>
        <w:t>, reflétant soit une planification approximative, soit des retards d’exécution.</w:t>
      </w:r>
    </w:p>
    <w:p w14:paraId="226BBE9B" w14:textId="12618B87" w:rsidR="00B065F3" w:rsidRPr="00B065F3" w:rsidRDefault="00B065F3" w:rsidP="00C13671">
      <w:pPr>
        <w:pStyle w:val="NormalWeb"/>
        <w:numPr>
          <w:ilvl w:val="0"/>
          <w:numId w:val="87"/>
        </w:numPr>
        <w:tabs>
          <w:tab w:val="left" w:pos="-426"/>
        </w:tabs>
        <w:spacing w:line="360" w:lineRule="auto"/>
        <w:jc w:val="both"/>
        <w:rPr>
          <w:rFonts w:asciiTheme="majorBidi" w:hAnsiTheme="majorBidi" w:cstheme="majorBidi"/>
          <w:b/>
          <w:bCs/>
          <w:color w:val="000000" w:themeColor="text1"/>
          <w:lang w:val="fr-FR"/>
        </w:rPr>
      </w:pPr>
      <w:r w:rsidRPr="00B065F3">
        <w:rPr>
          <w:rFonts w:asciiTheme="majorBidi" w:hAnsiTheme="majorBidi" w:cstheme="majorBidi"/>
          <w:b/>
          <w:bCs/>
          <w:lang w:val="fr-FR"/>
        </w:rPr>
        <w:t>Un dépassement de compétence dans la gestion des réaménagements budgétaires</w:t>
      </w:r>
      <w:r w:rsidRPr="00B065F3">
        <w:rPr>
          <w:rFonts w:asciiTheme="majorBidi" w:hAnsiTheme="majorBidi" w:cstheme="majorBidi"/>
          <w:lang w:val="fr-FR"/>
        </w:rPr>
        <w:t> :</w:t>
      </w:r>
      <w:r w:rsidR="00AC13BD">
        <w:rPr>
          <w:rFonts w:asciiTheme="majorBidi" w:hAnsiTheme="majorBidi" w:cstheme="majorBidi"/>
          <w:lang w:val="fr-FR"/>
        </w:rPr>
        <w:t xml:space="preserve"> </w:t>
      </w:r>
      <w:r w:rsidRPr="00B065F3">
        <w:rPr>
          <w:rFonts w:asciiTheme="majorBidi" w:hAnsiTheme="majorBidi" w:cstheme="majorBidi"/>
          <w:lang w:val="fr-FR"/>
        </w:rPr>
        <w:t xml:space="preserve">selon les règles de gestion financière en vigueur dans les entreprises publiques, </w:t>
      </w:r>
      <w:r w:rsidRPr="00B065F3">
        <w:rPr>
          <w:rStyle w:val="lev"/>
          <w:rFonts w:asciiTheme="majorBidi" w:eastAsiaTheme="majorEastAsia" w:hAnsiTheme="majorBidi"/>
          <w:lang w:val="fr-FR"/>
        </w:rPr>
        <w:t>seule la Direction Générale d’Algérie Télécom</w:t>
      </w:r>
      <w:r w:rsidRPr="00B065F3">
        <w:rPr>
          <w:rFonts w:asciiTheme="majorBidi" w:hAnsiTheme="majorBidi" w:cstheme="majorBidi"/>
          <w:lang w:val="fr-FR"/>
        </w:rPr>
        <w:t xml:space="preserve"> est habilitée à valider un </w:t>
      </w:r>
      <w:r w:rsidRPr="00B065F3">
        <w:rPr>
          <w:rStyle w:val="lev"/>
          <w:rFonts w:asciiTheme="majorBidi" w:eastAsiaTheme="majorEastAsia" w:hAnsiTheme="majorBidi"/>
          <w:lang w:val="fr-FR"/>
        </w:rPr>
        <w:t>réaménagement budgétaire officiel</w:t>
      </w:r>
      <w:r w:rsidRPr="00B065F3">
        <w:rPr>
          <w:rFonts w:asciiTheme="majorBidi" w:hAnsiTheme="majorBidi" w:cstheme="majorBidi"/>
          <w:lang w:val="fr-FR"/>
        </w:rPr>
        <w:t xml:space="preserve">, c’est-à-dire à opérer un transfert de crédits d’un poste à un autre après approbation formelle </w:t>
      </w:r>
      <w:r w:rsidR="00DF40B7" w:rsidRPr="00B065F3">
        <w:rPr>
          <w:rFonts w:asciiTheme="majorBidi" w:hAnsiTheme="majorBidi" w:cstheme="majorBidi"/>
          <w:lang w:val="fr-FR"/>
        </w:rPr>
        <w:t>mais à</w:t>
      </w:r>
      <w:r w:rsidRPr="00B065F3">
        <w:rPr>
          <w:rFonts w:asciiTheme="majorBidi" w:hAnsiTheme="majorBidi" w:cstheme="majorBidi"/>
          <w:lang w:val="fr-FR"/>
        </w:rPr>
        <w:t xml:space="preserve"> la DOT, Il a été constaté que le </w:t>
      </w:r>
      <w:r w:rsidRPr="00B065F3">
        <w:rPr>
          <w:rStyle w:val="lev"/>
          <w:rFonts w:asciiTheme="majorBidi" w:eastAsiaTheme="majorEastAsia" w:hAnsiTheme="majorBidi"/>
          <w:lang w:val="fr-FR"/>
        </w:rPr>
        <w:t>chef du département budget procède lui-même à des transferts de crédits</w:t>
      </w:r>
    </w:p>
    <w:p w14:paraId="1A7BF7E8" w14:textId="77777777" w:rsidR="00B065F3" w:rsidRPr="00514397" w:rsidRDefault="00B065F3" w:rsidP="00C13671">
      <w:pPr>
        <w:pStyle w:val="Paragraphedeliste"/>
        <w:numPr>
          <w:ilvl w:val="0"/>
          <w:numId w:val="87"/>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514397">
        <w:rPr>
          <w:rFonts w:asciiTheme="majorBidi" w:eastAsia="Times New Roman" w:hAnsiTheme="majorBidi" w:cstheme="majorBidi"/>
          <w:b/>
          <w:bCs/>
          <w:color w:val="000000" w:themeColor="text1"/>
          <w:lang w:eastAsia="fr-FR"/>
        </w:rPr>
        <w:t>Déficiences du système Oracle</w:t>
      </w:r>
      <w:r w:rsidRPr="00514397">
        <w:rPr>
          <w:rFonts w:asciiTheme="majorBidi" w:eastAsia="Times New Roman" w:hAnsiTheme="majorBidi" w:cstheme="majorBidi"/>
          <w:color w:val="000000" w:themeColor="text1"/>
          <w:lang w:eastAsia="fr-FR"/>
        </w:rPr>
        <w:t xml:space="preserve"> :</w:t>
      </w:r>
    </w:p>
    <w:p w14:paraId="20E25095" w14:textId="77777777" w:rsidR="00B065F3" w:rsidRPr="008E2138" w:rsidRDefault="00B065F3" w:rsidP="00C13671">
      <w:pPr>
        <w:numPr>
          <w:ilvl w:val="1"/>
          <w:numId w:val="75"/>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8E2138">
        <w:rPr>
          <w:rFonts w:asciiTheme="majorBidi" w:eastAsia="Times New Roman" w:hAnsiTheme="majorBidi" w:cstheme="majorBidi"/>
          <w:color w:val="000000" w:themeColor="text1"/>
          <w:lang w:eastAsia="fr-FR"/>
        </w:rPr>
        <w:t>Oracle autorise la duplication de demandes d’achat sans alerte automatique.</w:t>
      </w:r>
    </w:p>
    <w:p w14:paraId="253A1AAE" w14:textId="77777777" w:rsidR="00B065F3" w:rsidRPr="008E2138" w:rsidRDefault="00B065F3" w:rsidP="00C13671">
      <w:pPr>
        <w:numPr>
          <w:ilvl w:val="1"/>
          <w:numId w:val="75"/>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8E2138">
        <w:rPr>
          <w:rFonts w:asciiTheme="majorBidi" w:eastAsia="Times New Roman" w:hAnsiTheme="majorBidi" w:cstheme="majorBidi"/>
          <w:color w:val="000000" w:themeColor="text1"/>
          <w:lang w:eastAsia="fr-FR"/>
        </w:rPr>
        <w:t>Le système ne signale pas les fautes de saisie ou les incohérences dans les désignations.</w:t>
      </w:r>
    </w:p>
    <w:p w14:paraId="411E41AE" w14:textId="77777777" w:rsidR="00B065F3" w:rsidRPr="008E2138" w:rsidRDefault="00B065F3" w:rsidP="00C13671">
      <w:pPr>
        <w:numPr>
          <w:ilvl w:val="1"/>
          <w:numId w:val="75"/>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8E2138">
        <w:rPr>
          <w:rFonts w:asciiTheme="majorBidi" w:eastAsia="Times New Roman" w:hAnsiTheme="majorBidi" w:cstheme="majorBidi"/>
          <w:b/>
          <w:bCs/>
          <w:color w:val="000000" w:themeColor="text1"/>
          <w:lang w:eastAsia="fr-FR"/>
        </w:rPr>
        <w:t>Surtout</w:t>
      </w:r>
      <w:r w:rsidRPr="008E2138">
        <w:rPr>
          <w:rFonts w:asciiTheme="majorBidi" w:eastAsia="Times New Roman" w:hAnsiTheme="majorBidi" w:cstheme="majorBidi"/>
          <w:color w:val="000000" w:themeColor="text1"/>
          <w:lang w:eastAsia="fr-FR"/>
        </w:rPr>
        <w:t xml:space="preserve">, il </w:t>
      </w:r>
      <w:r w:rsidRPr="008E2138">
        <w:rPr>
          <w:rFonts w:asciiTheme="majorBidi" w:eastAsia="Times New Roman" w:hAnsiTheme="majorBidi" w:cstheme="majorBidi"/>
          <w:b/>
          <w:bCs/>
          <w:color w:val="000000" w:themeColor="text1"/>
          <w:lang w:eastAsia="fr-FR"/>
        </w:rPr>
        <w:t>n’émet aucune alerte en cas de dépassement budgétaire</w:t>
      </w:r>
      <w:r w:rsidRPr="008E2138">
        <w:rPr>
          <w:rFonts w:asciiTheme="majorBidi" w:eastAsia="Times New Roman" w:hAnsiTheme="majorBidi" w:cstheme="majorBidi"/>
          <w:color w:val="000000" w:themeColor="text1"/>
          <w:lang w:eastAsia="fr-FR"/>
        </w:rPr>
        <w:t>, ce qui représente un risque majeur pour la discipline financière.</w:t>
      </w:r>
    </w:p>
    <w:p w14:paraId="40CA7A17" w14:textId="77777777" w:rsidR="00B065F3" w:rsidRPr="008E2138" w:rsidRDefault="00B065F3" w:rsidP="00C13671">
      <w:pPr>
        <w:numPr>
          <w:ilvl w:val="0"/>
          <w:numId w:val="75"/>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8E2138">
        <w:rPr>
          <w:rFonts w:asciiTheme="majorBidi" w:eastAsia="Times New Roman" w:hAnsiTheme="majorBidi" w:cstheme="majorBidi"/>
          <w:b/>
          <w:bCs/>
          <w:color w:val="000000" w:themeColor="text1"/>
          <w:lang w:eastAsia="fr-FR"/>
        </w:rPr>
        <w:t>Blocage excessif du processus</w:t>
      </w:r>
      <w:r w:rsidRPr="008E2138">
        <w:rPr>
          <w:rFonts w:asciiTheme="majorBidi" w:eastAsia="Times New Roman" w:hAnsiTheme="majorBidi" w:cstheme="majorBidi"/>
          <w:color w:val="000000" w:themeColor="text1"/>
          <w:lang w:eastAsia="fr-FR"/>
        </w:rPr>
        <w:t xml:space="preserve"> : paradoxalement, Oracle peut bloquer certaines étapes administratives tout en laissant passer des erreurs, ce qui complique la gestion pour les utilisateurs.</w:t>
      </w:r>
    </w:p>
    <w:p w14:paraId="32BAA1F1" w14:textId="77777777" w:rsidR="00B065F3" w:rsidRPr="008E2138" w:rsidRDefault="00B065F3" w:rsidP="00C13671">
      <w:pPr>
        <w:numPr>
          <w:ilvl w:val="0"/>
          <w:numId w:val="75"/>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8E2138">
        <w:rPr>
          <w:rFonts w:asciiTheme="majorBidi" w:eastAsia="Times New Roman" w:hAnsiTheme="majorBidi" w:cstheme="majorBidi"/>
          <w:b/>
          <w:bCs/>
          <w:color w:val="000000" w:themeColor="text1"/>
          <w:lang w:eastAsia="fr-FR"/>
        </w:rPr>
        <w:t>Coordination insuffisante entre services</w:t>
      </w:r>
      <w:r w:rsidRPr="008E2138">
        <w:rPr>
          <w:rFonts w:asciiTheme="majorBidi" w:eastAsia="Times New Roman" w:hAnsiTheme="majorBidi" w:cstheme="majorBidi"/>
          <w:color w:val="000000" w:themeColor="text1"/>
          <w:lang w:eastAsia="fr-FR"/>
        </w:rPr>
        <w:t xml:space="preserve"> : des désynchronisations sont observées entre les enregistrements du service RH, de la comptabilité et du budget, notamment dans les charges de personnel.</w:t>
      </w:r>
    </w:p>
    <w:p w14:paraId="3CE36F5F" w14:textId="77777777" w:rsidR="00B065F3" w:rsidRPr="008E2138" w:rsidRDefault="00B065F3" w:rsidP="00C13671">
      <w:pPr>
        <w:numPr>
          <w:ilvl w:val="0"/>
          <w:numId w:val="75"/>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8E2138">
        <w:rPr>
          <w:rFonts w:asciiTheme="majorBidi" w:eastAsia="Times New Roman" w:hAnsiTheme="majorBidi" w:cstheme="majorBidi"/>
          <w:b/>
          <w:bCs/>
          <w:color w:val="000000" w:themeColor="text1"/>
          <w:lang w:eastAsia="fr-FR"/>
        </w:rPr>
        <w:t>Manque de maîtrise des outils par certains agents</w:t>
      </w:r>
      <w:r w:rsidRPr="008E2138">
        <w:rPr>
          <w:rFonts w:asciiTheme="majorBidi" w:eastAsia="Times New Roman" w:hAnsiTheme="majorBidi" w:cstheme="majorBidi"/>
          <w:color w:val="000000" w:themeColor="text1"/>
          <w:lang w:eastAsia="fr-FR"/>
        </w:rPr>
        <w:t xml:space="preserve"> : les erreurs d’imputation ou une lecture inexacte des rapports sont fréquentes.</w:t>
      </w:r>
    </w:p>
    <w:p w14:paraId="7C345AA9" w14:textId="77777777" w:rsidR="00B065F3" w:rsidRPr="008E2138" w:rsidRDefault="00B065F3" w:rsidP="00C13671">
      <w:pPr>
        <w:numPr>
          <w:ilvl w:val="0"/>
          <w:numId w:val="75"/>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8E2138">
        <w:rPr>
          <w:rFonts w:asciiTheme="majorBidi" w:eastAsia="Times New Roman" w:hAnsiTheme="majorBidi" w:cstheme="majorBidi"/>
          <w:b/>
          <w:bCs/>
          <w:color w:val="000000" w:themeColor="text1"/>
          <w:lang w:eastAsia="fr-FR"/>
        </w:rPr>
        <w:lastRenderedPageBreak/>
        <w:t>Lenteur du circuit de validation</w:t>
      </w:r>
      <w:r w:rsidRPr="008E2138">
        <w:rPr>
          <w:rFonts w:asciiTheme="majorBidi" w:eastAsia="Times New Roman" w:hAnsiTheme="majorBidi" w:cstheme="majorBidi"/>
          <w:color w:val="000000" w:themeColor="text1"/>
          <w:lang w:eastAsia="fr-FR"/>
        </w:rPr>
        <w:t xml:space="preserve"> : l’ordonnancement et le paiement prennent parfois un temps excessif, affectant la réalisation des dépenses à temps.</w:t>
      </w:r>
    </w:p>
    <w:p w14:paraId="7F870CB6" w14:textId="77777777" w:rsidR="00B065F3" w:rsidRPr="008E2138" w:rsidRDefault="00B065F3" w:rsidP="00C13671">
      <w:pPr>
        <w:numPr>
          <w:ilvl w:val="0"/>
          <w:numId w:val="75"/>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8E2138">
        <w:rPr>
          <w:rFonts w:asciiTheme="majorBidi" w:eastAsia="Times New Roman" w:hAnsiTheme="majorBidi" w:cstheme="majorBidi"/>
          <w:b/>
          <w:bCs/>
          <w:color w:val="000000" w:themeColor="text1"/>
          <w:lang w:eastAsia="fr-FR"/>
        </w:rPr>
        <w:t>Inégalité dans la répartition budgétaire</w:t>
      </w:r>
      <w:r w:rsidRPr="008E2138">
        <w:rPr>
          <w:rFonts w:asciiTheme="majorBidi" w:eastAsia="Times New Roman" w:hAnsiTheme="majorBidi" w:cstheme="majorBidi"/>
          <w:color w:val="000000" w:themeColor="text1"/>
          <w:lang w:eastAsia="fr-FR"/>
        </w:rPr>
        <w:t xml:space="preserve"> : certains postes prioritaires sont sous-financés alors que d’autres, peu utiles, reçoivent des dotations élevées.</w:t>
      </w:r>
    </w:p>
    <w:p w14:paraId="7AFFA41D" w14:textId="77777777" w:rsidR="00B065F3" w:rsidRPr="00E046D5" w:rsidRDefault="00B065F3" w:rsidP="00C13671">
      <w:pPr>
        <w:numPr>
          <w:ilvl w:val="0"/>
          <w:numId w:val="75"/>
        </w:numPr>
        <w:spacing w:before="100" w:beforeAutospacing="1" w:after="100" w:afterAutospacing="1" w:line="360" w:lineRule="auto"/>
        <w:jc w:val="both"/>
        <w:rPr>
          <w:rFonts w:asciiTheme="majorBidi" w:eastAsia="Times New Roman" w:hAnsiTheme="majorBidi" w:cstheme="majorBidi"/>
          <w:color w:val="000000" w:themeColor="text1"/>
          <w:lang w:eastAsia="fr-FR"/>
        </w:rPr>
      </w:pPr>
      <w:r w:rsidRPr="008E2138">
        <w:rPr>
          <w:rFonts w:asciiTheme="majorBidi" w:eastAsia="Times New Roman" w:hAnsiTheme="majorBidi" w:cstheme="majorBidi"/>
          <w:b/>
          <w:bCs/>
          <w:color w:val="000000" w:themeColor="text1"/>
          <w:lang w:eastAsia="fr-FR"/>
        </w:rPr>
        <w:t>Analyse des écarts souvent superficielle</w:t>
      </w:r>
      <w:r w:rsidRPr="008E2138">
        <w:rPr>
          <w:rFonts w:asciiTheme="majorBidi" w:eastAsia="Times New Roman" w:hAnsiTheme="majorBidi" w:cstheme="majorBidi"/>
          <w:color w:val="000000" w:themeColor="text1"/>
          <w:lang w:eastAsia="fr-FR"/>
        </w:rPr>
        <w:t xml:space="preserve"> : les causes des écarts ne sont pas toujours investiguées de manière rigoureuse, limitant les possibilités de correction.</w:t>
      </w:r>
    </w:p>
    <w:p w14:paraId="3C47F26F" w14:textId="037A7825" w:rsidR="00B065F3" w:rsidRPr="00DF40B7" w:rsidRDefault="00B065F3" w:rsidP="00C13671">
      <w:pPr>
        <w:pStyle w:val="Titre3"/>
        <w:numPr>
          <w:ilvl w:val="0"/>
          <w:numId w:val="117"/>
        </w:numPr>
        <w:spacing w:line="360" w:lineRule="auto"/>
        <w:jc w:val="both"/>
        <w:rPr>
          <w:rFonts w:asciiTheme="majorBidi" w:hAnsiTheme="majorBidi"/>
          <w:b/>
          <w:bCs/>
          <w:color w:val="auto"/>
          <w:sz w:val="24"/>
          <w:szCs w:val="24"/>
          <w:u w:val="single"/>
          <w:lang w:eastAsia="fr-FR"/>
        </w:rPr>
      </w:pPr>
      <w:bookmarkStart w:id="187" w:name="_Toc199314474"/>
      <w:r w:rsidRPr="00DF40B7">
        <w:rPr>
          <w:rFonts w:asciiTheme="majorBidi" w:hAnsiTheme="majorBidi"/>
          <w:b/>
          <w:bCs/>
          <w:color w:val="auto"/>
          <w:sz w:val="24"/>
          <w:szCs w:val="24"/>
          <w:u w:val="single"/>
          <w:lang w:eastAsia="fr-FR"/>
        </w:rPr>
        <w:t>Recommandations pour améliorer le processus budgétaire</w:t>
      </w:r>
      <w:r w:rsidR="00DF40B7" w:rsidRPr="00DF40B7">
        <w:rPr>
          <w:rFonts w:asciiTheme="majorBidi" w:hAnsiTheme="majorBidi"/>
          <w:b/>
          <w:bCs/>
          <w:color w:val="auto"/>
          <w:sz w:val="24"/>
          <w:szCs w:val="24"/>
          <w:u w:val="single"/>
          <w:lang w:eastAsia="fr-FR"/>
        </w:rPr>
        <w:t xml:space="preserve"> :</w:t>
      </w:r>
      <w:bookmarkEnd w:id="187"/>
    </w:p>
    <w:p w14:paraId="2F2C5694" w14:textId="77777777" w:rsidR="00B065F3" w:rsidRPr="008E2138" w:rsidRDefault="00B065F3" w:rsidP="00AE3850">
      <w:pPr>
        <w:spacing w:before="100" w:beforeAutospacing="1" w:after="100" w:afterAutospacing="1" w:line="360" w:lineRule="auto"/>
        <w:ind w:firstLine="360"/>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À l’issue de l’analyse du fonctionnement budgétaire à la DOT de Beni Messous, plusieurs pistes d’amélioration peuvent être envisagées pour renforcer l’efficacité, la transparence et la rigueur du processus.</w:t>
      </w:r>
    </w:p>
    <w:p w14:paraId="530245D4" w14:textId="77777777" w:rsidR="00B065F3" w:rsidRPr="008E2138" w:rsidRDefault="00B065F3" w:rsidP="00C13671">
      <w:pPr>
        <w:pStyle w:val="Paragraphedeliste"/>
        <w:numPr>
          <w:ilvl w:val="0"/>
          <w:numId w:val="84"/>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hAnsiTheme="majorBidi" w:cstheme="majorBidi"/>
          <w:b/>
          <w:bCs/>
        </w:rPr>
        <w:t>L'importance de comparer les engagements aux réalisations :</w:t>
      </w:r>
      <w:r w:rsidRPr="008E2138">
        <w:rPr>
          <w:rFonts w:asciiTheme="majorBidi" w:hAnsiTheme="majorBidi" w:cstheme="majorBidi"/>
        </w:rPr>
        <w:t xml:space="preserve"> il serait plus pertinent de </w:t>
      </w:r>
      <w:r w:rsidRPr="008E2138">
        <w:rPr>
          <w:rStyle w:val="lev"/>
          <w:rFonts w:asciiTheme="majorBidi" w:hAnsiTheme="majorBidi"/>
        </w:rPr>
        <w:t>comparer les engagements aux réalisations effectives</w:t>
      </w:r>
      <w:r w:rsidRPr="008E2138">
        <w:rPr>
          <w:rFonts w:asciiTheme="majorBidi" w:hAnsiTheme="majorBidi" w:cstheme="majorBidi"/>
        </w:rPr>
        <w:t>, car cela permet de :</w:t>
      </w:r>
    </w:p>
    <w:p w14:paraId="193DBC98" w14:textId="77777777" w:rsidR="00B065F3" w:rsidRPr="008E2138" w:rsidRDefault="00B065F3" w:rsidP="00C13671">
      <w:pPr>
        <w:pStyle w:val="Paragraphedeliste"/>
        <w:numPr>
          <w:ilvl w:val="0"/>
          <w:numId w:val="85"/>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hAnsiTheme="majorBidi" w:cstheme="majorBidi"/>
        </w:rPr>
        <w:t>Vérifier si ce qui a été engagé a réellement donné lieu à une dépense,</w:t>
      </w:r>
    </w:p>
    <w:p w14:paraId="7078E03E" w14:textId="77777777" w:rsidR="00B065F3" w:rsidRPr="00514397" w:rsidRDefault="00B065F3" w:rsidP="00C13671">
      <w:pPr>
        <w:pStyle w:val="Paragraphedeliste"/>
        <w:numPr>
          <w:ilvl w:val="0"/>
          <w:numId w:val="85"/>
        </w:numPr>
        <w:spacing w:before="100" w:beforeAutospacing="1" w:after="100" w:afterAutospacing="1" w:line="360" w:lineRule="auto"/>
        <w:jc w:val="both"/>
        <w:rPr>
          <w:rStyle w:val="lev"/>
          <w:rFonts w:asciiTheme="majorBidi" w:eastAsia="Times New Roman" w:hAnsiTheme="majorBidi"/>
          <w:b w:val="0"/>
          <w:bCs w:val="0"/>
          <w:lang w:eastAsia="fr-FR"/>
        </w:rPr>
      </w:pPr>
      <w:r w:rsidRPr="008E2138">
        <w:rPr>
          <w:rFonts w:asciiTheme="majorBidi" w:hAnsiTheme="majorBidi" w:cstheme="majorBidi"/>
        </w:rPr>
        <w:t xml:space="preserve">Repérer les </w:t>
      </w:r>
      <w:r w:rsidRPr="008E2138">
        <w:rPr>
          <w:rStyle w:val="lev"/>
          <w:rFonts w:asciiTheme="majorBidi" w:hAnsiTheme="majorBidi"/>
        </w:rPr>
        <w:t>écarts anormaux entre ce qui est commandé et ce qui est effectivement consommé</w:t>
      </w:r>
    </w:p>
    <w:p w14:paraId="683FA03C" w14:textId="44F46011" w:rsidR="00B065F3" w:rsidRPr="00514397" w:rsidRDefault="00B065F3" w:rsidP="00AE3850">
      <w:pPr>
        <w:pStyle w:val="Lgende"/>
        <w:keepNext/>
        <w:spacing w:line="360" w:lineRule="auto"/>
        <w:jc w:val="both"/>
        <w:rPr>
          <w:rFonts w:asciiTheme="majorBidi" w:hAnsiTheme="majorBidi" w:cstheme="majorBidi"/>
          <w:b/>
          <w:bCs/>
          <w:i w:val="0"/>
          <w:iCs w:val="0"/>
          <w:color w:val="auto"/>
          <w:sz w:val="24"/>
          <w:szCs w:val="24"/>
        </w:rPr>
      </w:pPr>
      <w:bookmarkStart w:id="188" w:name="_Toc199314997"/>
      <w:r w:rsidRPr="00514397">
        <w:rPr>
          <w:rFonts w:asciiTheme="majorBidi" w:hAnsiTheme="majorBidi" w:cstheme="majorBidi"/>
          <w:b/>
          <w:bCs/>
          <w:i w:val="0"/>
          <w:iCs w:val="0"/>
          <w:color w:val="auto"/>
          <w:sz w:val="24"/>
          <w:szCs w:val="24"/>
        </w:rPr>
        <w:t xml:space="preserve">Tableau N°2- </w:t>
      </w:r>
      <w:r w:rsidRPr="00514397">
        <w:rPr>
          <w:rFonts w:asciiTheme="majorBidi" w:hAnsiTheme="majorBidi" w:cstheme="majorBidi"/>
          <w:b/>
          <w:bCs/>
          <w:i w:val="0"/>
          <w:iCs w:val="0"/>
          <w:color w:val="auto"/>
          <w:sz w:val="24"/>
          <w:szCs w:val="24"/>
        </w:rPr>
        <w:fldChar w:fldCharType="begin"/>
      </w:r>
      <w:r w:rsidRPr="00514397">
        <w:rPr>
          <w:rFonts w:asciiTheme="majorBidi" w:hAnsiTheme="majorBidi" w:cstheme="majorBidi"/>
          <w:b/>
          <w:bCs/>
          <w:i w:val="0"/>
          <w:iCs w:val="0"/>
          <w:color w:val="auto"/>
          <w:sz w:val="24"/>
          <w:szCs w:val="24"/>
        </w:rPr>
        <w:instrText xml:space="preserve"> SEQ Tableau_N°2- \* ARABIC </w:instrText>
      </w:r>
      <w:r w:rsidRPr="00514397">
        <w:rPr>
          <w:rFonts w:asciiTheme="majorBidi" w:hAnsiTheme="majorBidi" w:cstheme="majorBidi"/>
          <w:b/>
          <w:bCs/>
          <w:i w:val="0"/>
          <w:iCs w:val="0"/>
          <w:color w:val="auto"/>
          <w:sz w:val="24"/>
          <w:szCs w:val="24"/>
        </w:rPr>
        <w:fldChar w:fldCharType="separate"/>
      </w:r>
      <w:r w:rsidR="00F45A16">
        <w:rPr>
          <w:rFonts w:asciiTheme="majorBidi" w:hAnsiTheme="majorBidi" w:cstheme="majorBidi"/>
          <w:b/>
          <w:bCs/>
          <w:i w:val="0"/>
          <w:iCs w:val="0"/>
          <w:noProof/>
          <w:color w:val="auto"/>
          <w:sz w:val="24"/>
          <w:szCs w:val="24"/>
        </w:rPr>
        <w:t>9</w:t>
      </w:r>
      <w:r w:rsidRPr="00514397">
        <w:rPr>
          <w:rFonts w:asciiTheme="majorBidi" w:hAnsiTheme="majorBidi" w:cstheme="majorBidi"/>
          <w:b/>
          <w:bCs/>
          <w:i w:val="0"/>
          <w:iCs w:val="0"/>
          <w:color w:val="auto"/>
          <w:sz w:val="24"/>
          <w:szCs w:val="24"/>
        </w:rPr>
        <w:fldChar w:fldCharType="end"/>
      </w:r>
      <w:r w:rsidRPr="00514397">
        <w:rPr>
          <w:rFonts w:asciiTheme="majorBidi" w:hAnsiTheme="majorBidi" w:cstheme="majorBidi"/>
          <w:b/>
          <w:bCs/>
          <w:i w:val="0"/>
          <w:iCs w:val="0"/>
          <w:color w:val="auto"/>
          <w:sz w:val="24"/>
          <w:szCs w:val="24"/>
        </w:rPr>
        <w:t>: Un exemple d’un Tableau comparatif : Écarts entre engagements et   réalisations effectives – Compte 60</w:t>
      </w:r>
      <w:bookmarkEnd w:id="188"/>
    </w:p>
    <w:tbl>
      <w:tblPr>
        <w:tblStyle w:val="Grilledutableau"/>
        <w:tblW w:w="10065" w:type="dxa"/>
        <w:tblInd w:w="-431" w:type="dxa"/>
        <w:tblLook w:val="04A0" w:firstRow="1" w:lastRow="0" w:firstColumn="1" w:lastColumn="0" w:noHBand="0" w:noVBand="1"/>
      </w:tblPr>
      <w:tblGrid>
        <w:gridCol w:w="1685"/>
        <w:gridCol w:w="1781"/>
        <w:gridCol w:w="1437"/>
        <w:gridCol w:w="1346"/>
        <w:gridCol w:w="1413"/>
        <w:gridCol w:w="2403"/>
      </w:tblGrid>
      <w:tr w:rsidR="00B065F3" w:rsidRPr="00DF40B7" w14:paraId="799C8A3D" w14:textId="77777777" w:rsidTr="00A96816">
        <w:tc>
          <w:tcPr>
            <w:tcW w:w="1685" w:type="dxa"/>
            <w:shd w:val="clear" w:color="auto" w:fill="70A9E0" w:themeFill="text2" w:themeFillTint="66"/>
          </w:tcPr>
          <w:p w14:paraId="34D85569" w14:textId="39D01D80" w:rsidR="00B065F3" w:rsidRPr="00DF40B7" w:rsidRDefault="00B065F3" w:rsidP="00AE3850">
            <w:pPr>
              <w:spacing w:line="360" w:lineRule="auto"/>
              <w:jc w:val="both"/>
              <w:rPr>
                <w:rFonts w:asciiTheme="majorBidi" w:hAnsiTheme="majorBidi" w:cstheme="majorBidi"/>
                <w:b/>
                <w:bCs/>
                <w:sz w:val="22"/>
                <w:szCs w:val="22"/>
              </w:rPr>
            </w:pPr>
            <w:r w:rsidRPr="00DF40B7">
              <w:rPr>
                <w:rFonts w:asciiTheme="majorBidi" w:hAnsiTheme="majorBidi" w:cstheme="majorBidi"/>
                <w:b/>
                <w:bCs/>
                <w:sz w:val="22"/>
                <w:szCs w:val="22"/>
              </w:rPr>
              <w:t>CODE</w:t>
            </w:r>
          </w:p>
        </w:tc>
        <w:tc>
          <w:tcPr>
            <w:tcW w:w="1781" w:type="dxa"/>
            <w:shd w:val="clear" w:color="auto" w:fill="70A9E0" w:themeFill="text2" w:themeFillTint="66"/>
          </w:tcPr>
          <w:p w14:paraId="6A515F01" w14:textId="3EEA289F" w:rsidR="00B065F3" w:rsidRPr="00DF40B7" w:rsidRDefault="00B065F3" w:rsidP="00AE3850">
            <w:pPr>
              <w:spacing w:line="360" w:lineRule="auto"/>
              <w:jc w:val="both"/>
              <w:rPr>
                <w:rFonts w:asciiTheme="majorBidi" w:hAnsiTheme="majorBidi" w:cstheme="majorBidi"/>
                <w:b/>
                <w:bCs/>
                <w:sz w:val="22"/>
                <w:szCs w:val="22"/>
              </w:rPr>
            </w:pPr>
            <w:r w:rsidRPr="00DF40B7">
              <w:rPr>
                <w:rFonts w:asciiTheme="majorBidi" w:hAnsiTheme="majorBidi" w:cstheme="majorBidi"/>
                <w:b/>
                <w:bCs/>
                <w:sz w:val="22"/>
                <w:szCs w:val="22"/>
              </w:rPr>
              <w:t>DESIGNATION</w:t>
            </w:r>
          </w:p>
        </w:tc>
        <w:tc>
          <w:tcPr>
            <w:tcW w:w="1437" w:type="dxa"/>
            <w:shd w:val="clear" w:color="auto" w:fill="70A9E0" w:themeFill="text2" w:themeFillTint="66"/>
          </w:tcPr>
          <w:p w14:paraId="4EB69C9A" w14:textId="1FA823AD" w:rsidR="00B065F3" w:rsidRPr="00DF40B7" w:rsidRDefault="00B065F3" w:rsidP="00AE3850">
            <w:pPr>
              <w:spacing w:line="360" w:lineRule="auto"/>
              <w:jc w:val="both"/>
              <w:rPr>
                <w:rFonts w:asciiTheme="majorBidi" w:hAnsiTheme="majorBidi" w:cstheme="majorBidi"/>
                <w:b/>
                <w:bCs/>
                <w:sz w:val="22"/>
                <w:szCs w:val="22"/>
              </w:rPr>
            </w:pPr>
            <w:r w:rsidRPr="00DF40B7">
              <w:rPr>
                <w:rFonts w:asciiTheme="majorBidi" w:hAnsiTheme="majorBidi" w:cstheme="majorBidi"/>
                <w:b/>
                <w:bCs/>
                <w:sz w:val="22"/>
                <w:szCs w:val="22"/>
              </w:rPr>
              <w:t>MONTANT ENGAGE (DA)</w:t>
            </w:r>
          </w:p>
        </w:tc>
        <w:tc>
          <w:tcPr>
            <w:tcW w:w="1346" w:type="dxa"/>
            <w:shd w:val="clear" w:color="auto" w:fill="70A9E0" w:themeFill="text2" w:themeFillTint="66"/>
          </w:tcPr>
          <w:p w14:paraId="4EA2A7B8" w14:textId="5DACB661" w:rsidR="00B065F3" w:rsidRPr="00DF40B7" w:rsidRDefault="00B065F3" w:rsidP="00AE3850">
            <w:pPr>
              <w:spacing w:line="360" w:lineRule="auto"/>
              <w:jc w:val="both"/>
              <w:rPr>
                <w:rFonts w:asciiTheme="majorBidi" w:hAnsiTheme="majorBidi" w:cstheme="majorBidi"/>
                <w:b/>
                <w:bCs/>
                <w:sz w:val="22"/>
                <w:szCs w:val="22"/>
              </w:rPr>
            </w:pPr>
            <w:r w:rsidRPr="00DF40B7">
              <w:rPr>
                <w:rFonts w:asciiTheme="majorBidi" w:hAnsiTheme="majorBidi" w:cstheme="majorBidi"/>
                <w:b/>
                <w:bCs/>
                <w:sz w:val="22"/>
                <w:szCs w:val="22"/>
              </w:rPr>
              <w:t>REALISE (DA)</w:t>
            </w:r>
          </w:p>
        </w:tc>
        <w:tc>
          <w:tcPr>
            <w:tcW w:w="1413" w:type="dxa"/>
            <w:shd w:val="clear" w:color="auto" w:fill="70A9E0" w:themeFill="text2" w:themeFillTint="66"/>
          </w:tcPr>
          <w:p w14:paraId="51092DA3" w14:textId="3F8670F6" w:rsidR="00B065F3" w:rsidRPr="00DF40B7" w:rsidRDefault="00B065F3" w:rsidP="00AE3850">
            <w:pPr>
              <w:spacing w:line="360" w:lineRule="auto"/>
              <w:jc w:val="both"/>
              <w:rPr>
                <w:rFonts w:asciiTheme="majorBidi" w:hAnsiTheme="majorBidi" w:cstheme="majorBidi"/>
                <w:b/>
                <w:bCs/>
                <w:sz w:val="22"/>
                <w:szCs w:val="22"/>
              </w:rPr>
            </w:pPr>
            <w:r w:rsidRPr="00DF40B7">
              <w:rPr>
                <w:rFonts w:asciiTheme="majorBidi" w:hAnsiTheme="majorBidi" w:cstheme="majorBidi"/>
                <w:b/>
                <w:bCs/>
                <w:sz w:val="22"/>
                <w:szCs w:val="22"/>
              </w:rPr>
              <w:t>ECART (ENGAGE-REALISE)</w:t>
            </w:r>
          </w:p>
        </w:tc>
        <w:tc>
          <w:tcPr>
            <w:tcW w:w="2403" w:type="dxa"/>
            <w:shd w:val="clear" w:color="auto" w:fill="70A9E0" w:themeFill="text2" w:themeFillTint="66"/>
          </w:tcPr>
          <w:p w14:paraId="6828A05A" w14:textId="5809CCCA" w:rsidR="00B065F3" w:rsidRPr="00DF40B7" w:rsidRDefault="00B065F3" w:rsidP="00AE3850">
            <w:pPr>
              <w:spacing w:line="360" w:lineRule="auto"/>
              <w:jc w:val="both"/>
              <w:rPr>
                <w:rFonts w:asciiTheme="majorBidi" w:hAnsiTheme="majorBidi" w:cstheme="majorBidi"/>
                <w:b/>
                <w:bCs/>
                <w:sz w:val="22"/>
                <w:szCs w:val="22"/>
              </w:rPr>
            </w:pPr>
            <w:r w:rsidRPr="00DF40B7">
              <w:rPr>
                <w:rFonts w:asciiTheme="majorBidi" w:hAnsiTheme="majorBidi" w:cstheme="majorBidi"/>
                <w:b/>
                <w:bCs/>
                <w:sz w:val="22"/>
                <w:szCs w:val="22"/>
              </w:rPr>
              <w:t>TAUX</w:t>
            </w:r>
            <w:r w:rsidR="00490654">
              <w:rPr>
                <w:rFonts w:asciiTheme="majorBidi" w:hAnsiTheme="majorBidi" w:cstheme="majorBidi"/>
                <w:b/>
                <w:bCs/>
                <w:sz w:val="22"/>
                <w:szCs w:val="22"/>
              </w:rPr>
              <w:t xml:space="preserve"> </w:t>
            </w:r>
            <w:r w:rsidRPr="00DF40B7">
              <w:rPr>
                <w:rFonts w:asciiTheme="majorBidi" w:hAnsiTheme="majorBidi" w:cstheme="majorBidi"/>
                <w:b/>
                <w:bCs/>
                <w:sz w:val="22"/>
                <w:szCs w:val="22"/>
              </w:rPr>
              <w:t>DE REALISATION SUR ENGAGEMENT (%)</w:t>
            </w:r>
          </w:p>
        </w:tc>
      </w:tr>
      <w:tr w:rsidR="00B065F3" w:rsidRPr="00DF40B7" w14:paraId="25A18138" w14:textId="77777777" w:rsidTr="00490654">
        <w:tc>
          <w:tcPr>
            <w:tcW w:w="1685" w:type="dxa"/>
          </w:tcPr>
          <w:p w14:paraId="0570356F" w14:textId="09B99E09"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F600100</w:t>
            </w:r>
          </w:p>
        </w:tc>
        <w:tc>
          <w:tcPr>
            <w:tcW w:w="1781" w:type="dxa"/>
          </w:tcPr>
          <w:p w14:paraId="3CBE8CC3" w14:textId="3F8D97B9" w:rsidR="00B065F3" w:rsidRPr="00DF40B7" w:rsidRDefault="002B219C"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Appareils</w:t>
            </w:r>
            <w:r w:rsidR="00B065F3" w:rsidRPr="00DF40B7">
              <w:rPr>
                <w:rFonts w:asciiTheme="majorBidi" w:hAnsiTheme="majorBidi" w:cstheme="majorBidi"/>
                <w:sz w:val="22"/>
                <w:szCs w:val="22"/>
              </w:rPr>
              <w:t xml:space="preserve"> </w:t>
            </w:r>
            <w:r w:rsidRPr="00DF40B7">
              <w:rPr>
                <w:rFonts w:asciiTheme="majorBidi" w:hAnsiTheme="majorBidi" w:cstheme="majorBidi"/>
                <w:sz w:val="22"/>
                <w:szCs w:val="22"/>
              </w:rPr>
              <w:t>téléphoniques</w:t>
            </w:r>
          </w:p>
        </w:tc>
        <w:tc>
          <w:tcPr>
            <w:tcW w:w="1437" w:type="dxa"/>
          </w:tcPr>
          <w:p w14:paraId="752AD979" w14:textId="5756756C"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0</w:t>
            </w:r>
          </w:p>
        </w:tc>
        <w:tc>
          <w:tcPr>
            <w:tcW w:w="1346" w:type="dxa"/>
          </w:tcPr>
          <w:p w14:paraId="07E5DF7C" w14:textId="2AE382BB"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0</w:t>
            </w:r>
          </w:p>
        </w:tc>
        <w:tc>
          <w:tcPr>
            <w:tcW w:w="1413" w:type="dxa"/>
          </w:tcPr>
          <w:p w14:paraId="18BB5A83" w14:textId="0A98EE61"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0</w:t>
            </w:r>
          </w:p>
        </w:tc>
        <w:tc>
          <w:tcPr>
            <w:tcW w:w="2403" w:type="dxa"/>
          </w:tcPr>
          <w:p w14:paraId="668C0B7C" w14:textId="51893E71" w:rsidR="00B065F3" w:rsidRPr="00DF40B7" w:rsidRDefault="002718A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0%</w:t>
            </w:r>
          </w:p>
        </w:tc>
      </w:tr>
      <w:tr w:rsidR="00B065F3" w:rsidRPr="00DF40B7" w14:paraId="33638430" w14:textId="77777777" w:rsidTr="00490654">
        <w:tc>
          <w:tcPr>
            <w:tcW w:w="1685" w:type="dxa"/>
          </w:tcPr>
          <w:p w14:paraId="3FE70DC5" w14:textId="1711CD15"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F601110</w:t>
            </w:r>
          </w:p>
        </w:tc>
        <w:tc>
          <w:tcPr>
            <w:tcW w:w="1781" w:type="dxa"/>
          </w:tcPr>
          <w:p w14:paraId="1E0822E6" w14:textId="0ABD4F7B"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Fournitures de commutation</w:t>
            </w:r>
          </w:p>
        </w:tc>
        <w:tc>
          <w:tcPr>
            <w:tcW w:w="1437" w:type="dxa"/>
          </w:tcPr>
          <w:p w14:paraId="392F8D59" w14:textId="4D83E0DE"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10800</w:t>
            </w:r>
          </w:p>
        </w:tc>
        <w:tc>
          <w:tcPr>
            <w:tcW w:w="1346" w:type="dxa"/>
          </w:tcPr>
          <w:p w14:paraId="704E6738" w14:textId="3AF61AEB"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6000</w:t>
            </w:r>
          </w:p>
        </w:tc>
        <w:tc>
          <w:tcPr>
            <w:tcW w:w="1413" w:type="dxa"/>
          </w:tcPr>
          <w:p w14:paraId="0ADAD206" w14:textId="73652713"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-4800</w:t>
            </w:r>
          </w:p>
        </w:tc>
        <w:tc>
          <w:tcPr>
            <w:tcW w:w="2403" w:type="dxa"/>
          </w:tcPr>
          <w:p w14:paraId="07B7DB44" w14:textId="17BFA71B" w:rsidR="00B065F3" w:rsidRPr="00DF40B7" w:rsidRDefault="002718A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55,50%</w:t>
            </w:r>
          </w:p>
        </w:tc>
      </w:tr>
      <w:tr w:rsidR="00B065F3" w:rsidRPr="00DF40B7" w14:paraId="458A27B9" w14:textId="77777777" w:rsidTr="00490654">
        <w:tc>
          <w:tcPr>
            <w:tcW w:w="1685" w:type="dxa"/>
          </w:tcPr>
          <w:p w14:paraId="0BD30008" w14:textId="260FD0CB"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F601130</w:t>
            </w:r>
          </w:p>
        </w:tc>
        <w:tc>
          <w:tcPr>
            <w:tcW w:w="1781" w:type="dxa"/>
          </w:tcPr>
          <w:p w14:paraId="38B4D72C" w14:textId="2280DAF6"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 xml:space="preserve">Fournitures </w:t>
            </w:r>
            <w:r w:rsidR="002B219C" w:rsidRPr="00DF40B7">
              <w:rPr>
                <w:rFonts w:asciiTheme="majorBidi" w:hAnsiTheme="majorBidi" w:cstheme="majorBidi"/>
                <w:sz w:val="22"/>
                <w:szCs w:val="22"/>
              </w:rPr>
              <w:t>d’énergie</w:t>
            </w:r>
          </w:p>
        </w:tc>
        <w:tc>
          <w:tcPr>
            <w:tcW w:w="1437" w:type="dxa"/>
          </w:tcPr>
          <w:p w14:paraId="0CAF8988" w14:textId="2DF1CDA2"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4200</w:t>
            </w:r>
          </w:p>
        </w:tc>
        <w:tc>
          <w:tcPr>
            <w:tcW w:w="1346" w:type="dxa"/>
          </w:tcPr>
          <w:p w14:paraId="453BD204" w14:textId="2615ED19"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3000</w:t>
            </w:r>
          </w:p>
        </w:tc>
        <w:tc>
          <w:tcPr>
            <w:tcW w:w="1413" w:type="dxa"/>
          </w:tcPr>
          <w:p w14:paraId="22F4B25B" w14:textId="39F7C4E6"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-1200</w:t>
            </w:r>
          </w:p>
        </w:tc>
        <w:tc>
          <w:tcPr>
            <w:tcW w:w="2403" w:type="dxa"/>
          </w:tcPr>
          <w:p w14:paraId="206B0ACD" w14:textId="6E92E81C" w:rsidR="00B065F3" w:rsidRPr="00DF40B7" w:rsidRDefault="002718A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71,40%</w:t>
            </w:r>
          </w:p>
        </w:tc>
      </w:tr>
      <w:tr w:rsidR="00B065F3" w:rsidRPr="00DF40B7" w14:paraId="6A21ACE2" w14:textId="77777777" w:rsidTr="00490654">
        <w:tc>
          <w:tcPr>
            <w:tcW w:w="1685" w:type="dxa"/>
          </w:tcPr>
          <w:p w14:paraId="6022C876" w14:textId="6903B999"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F602111</w:t>
            </w:r>
          </w:p>
        </w:tc>
        <w:tc>
          <w:tcPr>
            <w:tcW w:w="1781" w:type="dxa"/>
          </w:tcPr>
          <w:p w14:paraId="3171320E" w14:textId="76985D9E" w:rsidR="00B065F3" w:rsidRPr="00DF40B7" w:rsidRDefault="002B219C"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Carburant</w:t>
            </w:r>
          </w:p>
        </w:tc>
        <w:tc>
          <w:tcPr>
            <w:tcW w:w="1437" w:type="dxa"/>
          </w:tcPr>
          <w:p w14:paraId="5E9A1F19" w14:textId="78E36270"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7200</w:t>
            </w:r>
          </w:p>
        </w:tc>
        <w:tc>
          <w:tcPr>
            <w:tcW w:w="1346" w:type="dxa"/>
          </w:tcPr>
          <w:p w14:paraId="59A7DE05" w14:textId="2313F173"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7200</w:t>
            </w:r>
          </w:p>
        </w:tc>
        <w:tc>
          <w:tcPr>
            <w:tcW w:w="1413" w:type="dxa"/>
          </w:tcPr>
          <w:p w14:paraId="17FD3ACA" w14:textId="4F229AD3" w:rsidR="00B065F3" w:rsidRPr="00DF40B7" w:rsidRDefault="00B065F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0</w:t>
            </w:r>
          </w:p>
        </w:tc>
        <w:tc>
          <w:tcPr>
            <w:tcW w:w="2403" w:type="dxa"/>
          </w:tcPr>
          <w:p w14:paraId="68C50A1B" w14:textId="2C40D544" w:rsidR="00B065F3" w:rsidRPr="00DF40B7" w:rsidRDefault="002718A3" w:rsidP="00AE3850">
            <w:pPr>
              <w:spacing w:line="360" w:lineRule="auto"/>
              <w:jc w:val="both"/>
              <w:rPr>
                <w:rFonts w:asciiTheme="majorBidi" w:hAnsiTheme="majorBidi" w:cstheme="majorBidi"/>
                <w:sz w:val="22"/>
                <w:szCs w:val="22"/>
              </w:rPr>
            </w:pPr>
            <w:r w:rsidRPr="00DF40B7">
              <w:rPr>
                <w:rFonts w:asciiTheme="majorBidi" w:hAnsiTheme="majorBidi" w:cstheme="majorBidi"/>
                <w:sz w:val="22"/>
                <w:szCs w:val="22"/>
              </w:rPr>
              <w:t>100%</w:t>
            </w:r>
          </w:p>
        </w:tc>
      </w:tr>
    </w:tbl>
    <w:p w14:paraId="6523E217" w14:textId="69F4094D" w:rsidR="00B065F3" w:rsidRDefault="008F2A19" w:rsidP="004828B1">
      <w:pPr>
        <w:spacing w:line="360" w:lineRule="auto"/>
        <w:jc w:val="both"/>
        <w:rPr>
          <w:rFonts w:asciiTheme="majorBidi" w:hAnsiTheme="majorBidi" w:cstheme="majorBidi"/>
          <w:b/>
          <w:bCs/>
          <w:lang w:eastAsia="fr-FR"/>
        </w:rPr>
      </w:pPr>
      <w:r w:rsidRPr="008F2A19">
        <w:rPr>
          <w:rFonts w:asciiTheme="majorBidi" w:hAnsiTheme="majorBidi" w:cstheme="majorBidi"/>
          <w:b/>
          <w:bCs/>
        </w:rPr>
        <w:t>Source : document interne de la DFC</w:t>
      </w:r>
    </w:p>
    <w:p w14:paraId="2CA56EE3" w14:textId="77777777" w:rsidR="00B065F3" w:rsidRPr="00514397" w:rsidRDefault="00B065F3" w:rsidP="00AE3850">
      <w:pPr>
        <w:spacing w:line="360" w:lineRule="auto"/>
        <w:jc w:val="both"/>
        <w:rPr>
          <w:rFonts w:asciiTheme="majorBidi" w:hAnsiTheme="majorBidi" w:cstheme="majorBidi"/>
          <w:b/>
          <w:bCs/>
          <w:lang w:eastAsia="fr-FR"/>
        </w:rPr>
      </w:pPr>
      <w:r w:rsidRPr="00514397">
        <w:rPr>
          <w:rFonts w:asciiTheme="majorBidi" w:hAnsiTheme="majorBidi" w:cstheme="majorBidi"/>
          <w:b/>
          <w:bCs/>
          <w:lang w:eastAsia="fr-FR"/>
        </w:rPr>
        <w:lastRenderedPageBreak/>
        <w:t>Objectif du tableau :</w:t>
      </w:r>
    </w:p>
    <w:p w14:paraId="619BCED5" w14:textId="77777777" w:rsidR="00B065F3" w:rsidRPr="008E2138" w:rsidRDefault="00B065F3" w:rsidP="00C13671">
      <w:pPr>
        <w:numPr>
          <w:ilvl w:val="0"/>
          <w:numId w:val="86"/>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b/>
          <w:bCs/>
          <w:lang w:eastAsia="fr-FR"/>
        </w:rPr>
        <w:t>Éviter une lecture faussée des engagements</w:t>
      </w:r>
      <w:r w:rsidRPr="008E2138">
        <w:rPr>
          <w:rFonts w:asciiTheme="majorBidi" w:eastAsia="Times New Roman" w:hAnsiTheme="majorBidi" w:cstheme="majorBidi"/>
          <w:lang w:eastAsia="fr-FR"/>
        </w:rPr>
        <w:t>, qui peuvent paraître maîtrisés face au budget prévisionnel, mais inefficaces si non suivis de dépenses réelles.</w:t>
      </w:r>
    </w:p>
    <w:p w14:paraId="315AAF73" w14:textId="77777777" w:rsidR="00B065F3" w:rsidRDefault="00B065F3" w:rsidP="00C13671">
      <w:pPr>
        <w:numPr>
          <w:ilvl w:val="0"/>
          <w:numId w:val="86"/>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hAnsiTheme="majorBidi" w:cstheme="majorBidi"/>
          <w:b/>
          <w:bCs/>
        </w:rPr>
        <w:t xml:space="preserve">Détecter les engagements non transformés </w:t>
      </w:r>
    </w:p>
    <w:p w14:paraId="7F09A218" w14:textId="77777777" w:rsidR="00B065F3" w:rsidRPr="00514397" w:rsidRDefault="00B065F3" w:rsidP="00C13671">
      <w:pPr>
        <w:numPr>
          <w:ilvl w:val="0"/>
          <w:numId w:val="86"/>
        </w:numPr>
        <w:spacing w:before="100" w:beforeAutospacing="1" w:after="100" w:afterAutospacing="1" w:line="360" w:lineRule="auto"/>
        <w:jc w:val="both"/>
        <w:rPr>
          <w:rFonts w:asciiTheme="majorBidi" w:eastAsia="Times New Roman" w:hAnsiTheme="majorBidi" w:cstheme="majorBidi"/>
          <w:lang w:eastAsia="fr-FR"/>
        </w:rPr>
      </w:pPr>
      <w:r w:rsidRPr="00514397">
        <w:rPr>
          <w:rFonts w:asciiTheme="majorBidi" w:eastAsia="Times New Roman" w:hAnsiTheme="majorBidi" w:cstheme="majorBidi"/>
          <w:b/>
          <w:bCs/>
          <w:lang w:eastAsia="fr-FR"/>
        </w:rPr>
        <w:t xml:space="preserve"> Renforcer les compétences internes</w:t>
      </w:r>
    </w:p>
    <w:p w14:paraId="2F9C7253" w14:textId="77777777" w:rsidR="00B065F3" w:rsidRPr="008E2138" w:rsidRDefault="00B065F3" w:rsidP="00C13671">
      <w:pPr>
        <w:numPr>
          <w:ilvl w:val="0"/>
          <w:numId w:val="76"/>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Organiser des formations ciblées sur la lecture des écarts, les bonnes pratiques de budgétisation et l’utilisation approfondie du système Oracle.</w:t>
      </w:r>
    </w:p>
    <w:p w14:paraId="1FDA9A85" w14:textId="77777777" w:rsidR="00B065F3" w:rsidRPr="008E2138" w:rsidRDefault="00B065F3" w:rsidP="00C13671">
      <w:pPr>
        <w:numPr>
          <w:ilvl w:val="0"/>
          <w:numId w:val="76"/>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Sensibiliser les gestionnaires aux risques budgétaires et à la logique du contrôle interne.</w:t>
      </w:r>
    </w:p>
    <w:p w14:paraId="206694EB" w14:textId="77777777" w:rsidR="00B065F3" w:rsidRPr="008E2138" w:rsidRDefault="00B065F3" w:rsidP="00AE3850">
      <w:pPr>
        <w:spacing w:line="360" w:lineRule="auto"/>
        <w:jc w:val="both"/>
        <w:rPr>
          <w:rFonts w:asciiTheme="majorBidi" w:eastAsia="Times New Roman" w:hAnsiTheme="majorBidi" w:cstheme="majorBidi"/>
          <w:b/>
          <w:bCs/>
          <w:lang w:eastAsia="fr-FR"/>
        </w:rPr>
      </w:pPr>
      <w:r w:rsidRPr="008E2138">
        <w:rPr>
          <w:rFonts w:asciiTheme="majorBidi" w:eastAsia="Times New Roman" w:hAnsiTheme="majorBidi" w:cstheme="majorBidi"/>
          <w:b/>
          <w:bCs/>
          <w:lang w:eastAsia="fr-FR"/>
        </w:rPr>
        <w:t>• Améliorer l’exploitation du système Oracle</w:t>
      </w:r>
    </w:p>
    <w:p w14:paraId="1A6BC27B" w14:textId="77777777" w:rsidR="00B065F3" w:rsidRPr="008E2138" w:rsidRDefault="00B065F3" w:rsidP="00C13671">
      <w:pPr>
        <w:numPr>
          <w:ilvl w:val="0"/>
          <w:numId w:val="77"/>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Développer des modules ou scripts permettant de détecter les erreurs de saisie, les doublons et les anomalies dans les engagements.</w:t>
      </w:r>
    </w:p>
    <w:p w14:paraId="3310AA9F" w14:textId="77777777" w:rsidR="00B065F3" w:rsidRPr="00E046D5" w:rsidRDefault="00B065F3" w:rsidP="00C13671">
      <w:pPr>
        <w:numPr>
          <w:ilvl w:val="0"/>
          <w:numId w:val="77"/>
        </w:numPr>
        <w:spacing w:before="100" w:beforeAutospacing="1" w:after="100" w:afterAutospacing="1" w:line="360" w:lineRule="auto"/>
        <w:jc w:val="both"/>
        <w:rPr>
          <w:rFonts w:asciiTheme="majorBidi" w:eastAsia="Times New Roman" w:hAnsiTheme="majorBidi" w:cstheme="majorBidi"/>
          <w:b/>
          <w:bCs/>
          <w:lang w:eastAsia="fr-FR"/>
        </w:rPr>
      </w:pPr>
      <w:r w:rsidRPr="00E046D5">
        <w:rPr>
          <w:rFonts w:asciiTheme="majorBidi" w:eastAsia="Times New Roman" w:hAnsiTheme="majorBidi" w:cstheme="majorBidi"/>
          <w:lang w:eastAsia="fr-FR"/>
        </w:rPr>
        <w:t>Mettre en place un tableau de bord mensuel partagé, résumant pour chaque service : budget alloué, engagements, réalisations, taux de consommation et reliquat.</w:t>
      </w:r>
    </w:p>
    <w:p w14:paraId="216E699C" w14:textId="5530C4F1" w:rsidR="00B065F3" w:rsidRPr="00E046D5" w:rsidRDefault="00B065F3" w:rsidP="003751D6">
      <w:pPr>
        <w:tabs>
          <w:tab w:val="left" w:pos="8115"/>
        </w:tabs>
        <w:spacing w:before="100" w:beforeAutospacing="1" w:after="100" w:afterAutospacing="1" w:line="360" w:lineRule="auto"/>
        <w:jc w:val="both"/>
        <w:rPr>
          <w:rFonts w:asciiTheme="majorBidi" w:eastAsia="Times New Roman" w:hAnsiTheme="majorBidi" w:cstheme="majorBidi"/>
          <w:b/>
          <w:bCs/>
          <w:lang w:eastAsia="fr-FR"/>
        </w:rPr>
      </w:pPr>
      <w:r w:rsidRPr="00E046D5">
        <w:rPr>
          <w:rFonts w:asciiTheme="majorBidi" w:eastAsia="Times New Roman" w:hAnsiTheme="majorBidi" w:cstheme="majorBidi"/>
          <w:b/>
          <w:bCs/>
          <w:lang w:eastAsia="fr-FR"/>
        </w:rPr>
        <w:t xml:space="preserve"> • Structurer davantage le pilotage budgétaire</w:t>
      </w:r>
      <w:r w:rsidR="003751D6">
        <w:rPr>
          <w:rFonts w:asciiTheme="majorBidi" w:eastAsia="Times New Roman" w:hAnsiTheme="majorBidi" w:cstheme="majorBidi"/>
          <w:b/>
          <w:bCs/>
          <w:lang w:eastAsia="fr-FR"/>
        </w:rPr>
        <w:tab/>
      </w:r>
    </w:p>
    <w:p w14:paraId="23D642F7" w14:textId="77777777" w:rsidR="00B065F3" w:rsidRPr="008E2138" w:rsidRDefault="00B065F3" w:rsidP="00C13671">
      <w:pPr>
        <w:numPr>
          <w:ilvl w:val="0"/>
          <w:numId w:val="78"/>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Instituer un comité de suivi budgétaire réunissant trimestriellement les chefs de service et la DFC pour évaluer l’exécution et ajuster les prévisions.</w:t>
      </w:r>
    </w:p>
    <w:p w14:paraId="6DD3C788" w14:textId="77777777" w:rsidR="00B065F3" w:rsidRPr="008E2138" w:rsidRDefault="00B065F3" w:rsidP="00C13671">
      <w:pPr>
        <w:numPr>
          <w:ilvl w:val="0"/>
          <w:numId w:val="78"/>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Introduire un budget glissant mis à jour périodiquement selon les besoins réels.</w:t>
      </w:r>
    </w:p>
    <w:p w14:paraId="709AA962" w14:textId="77777777" w:rsidR="00B065F3" w:rsidRPr="008E2138" w:rsidRDefault="00B065F3" w:rsidP="00C13671">
      <w:pPr>
        <w:numPr>
          <w:ilvl w:val="0"/>
          <w:numId w:val="78"/>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Cartographier les risques budgétaires (postes sensibles, risques de dépassement ou de sous-exécution chronique).</w:t>
      </w:r>
    </w:p>
    <w:p w14:paraId="786113E7" w14:textId="77777777" w:rsidR="00B065F3" w:rsidRPr="008E2138" w:rsidRDefault="00B065F3" w:rsidP="00AE3850">
      <w:pPr>
        <w:spacing w:line="360" w:lineRule="auto"/>
        <w:jc w:val="both"/>
        <w:rPr>
          <w:rFonts w:asciiTheme="majorBidi" w:eastAsia="Times New Roman" w:hAnsiTheme="majorBidi" w:cstheme="majorBidi"/>
          <w:b/>
          <w:bCs/>
          <w:lang w:eastAsia="fr-FR"/>
        </w:rPr>
      </w:pPr>
      <w:r w:rsidRPr="008E2138">
        <w:rPr>
          <w:rFonts w:asciiTheme="majorBidi" w:eastAsia="Times New Roman" w:hAnsiTheme="majorBidi" w:cstheme="majorBidi"/>
          <w:b/>
          <w:bCs/>
          <w:lang w:eastAsia="fr-FR"/>
        </w:rPr>
        <w:t>• Digitaliser et sécuriser les processus</w:t>
      </w:r>
    </w:p>
    <w:p w14:paraId="3F457623" w14:textId="77777777" w:rsidR="00B065F3" w:rsidRPr="008E2138" w:rsidRDefault="00B065F3" w:rsidP="00C13671">
      <w:pPr>
        <w:numPr>
          <w:ilvl w:val="0"/>
          <w:numId w:val="79"/>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Digitaliser l’ensemble du circuit d’engagement et de paiement, en supprimant les étapes papier et en instaurant une validation électronique traçable.</w:t>
      </w:r>
    </w:p>
    <w:p w14:paraId="66D1E1DF" w14:textId="77777777" w:rsidR="00B065F3" w:rsidRPr="008E2138" w:rsidRDefault="00B065F3" w:rsidP="00C13671">
      <w:pPr>
        <w:numPr>
          <w:ilvl w:val="0"/>
          <w:numId w:val="79"/>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Prévoir un fonds d’ajustement interne pour couvrir les imprévus urgents ou stratégiques.</w:t>
      </w:r>
    </w:p>
    <w:p w14:paraId="1CD31AF4" w14:textId="77777777" w:rsidR="00B065F3" w:rsidRDefault="00B065F3"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br w:type="page"/>
      </w:r>
    </w:p>
    <w:p w14:paraId="69BDCE8A" w14:textId="77777777" w:rsidR="00B065F3" w:rsidRPr="008E2138" w:rsidRDefault="00B065F3" w:rsidP="00AE3850">
      <w:pPr>
        <w:spacing w:line="360" w:lineRule="auto"/>
        <w:jc w:val="both"/>
        <w:rPr>
          <w:rFonts w:asciiTheme="majorBidi" w:eastAsia="Times New Roman" w:hAnsiTheme="majorBidi" w:cstheme="majorBidi"/>
          <w:b/>
          <w:bCs/>
          <w:lang w:eastAsia="fr-FR"/>
        </w:rPr>
      </w:pPr>
      <w:r w:rsidRPr="008E2138">
        <w:rPr>
          <w:rFonts w:asciiTheme="majorBidi" w:eastAsia="Times New Roman" w:hAnsiTheme="majorBidi" w:cstheme="majorBidi"/>
          <w:b/>
          <w:bCs/>
          <w:lang w:eastAsia="fr-FR"/>
        </w:rPr>
        <w:lastRenderedPageBreak/>
        <w:t>• Suivre la performance budgétaire</w:t>
      </w:r>
    </w:p>
    <w:p w14:paraId="31A98469" w14:textId="77777777" w:rsidR="00B065F3" w:rsidRDefault="00B065F3" w:rsidP="00C13671">
      <w:pPr>
        <w:numPr>
          <w:ilvl w:val="0"/>
          <w:numId w:val="80"/>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Intégrer des indicateurs tels que : taux de réalisation des projets, fiabilité des prévisions, consommation utile des crédits, délais moyens d’exécution.</w:t>
      </w:r>
    </w:p>
    <w:p w14:paraId="4F4988C9" w14:textId="77777777" w:rsidR="00B065F3" w:rsidRPr="008E2138" w:rsidRDefault="00B065F3" w:rsidP="00AE3850">
      <w:pPr>
        <w:spacing w:before="100" w:beforeAutospacing="1" w:after="100" w:afterAutospacing="1" w:line="360" w:lineRule="auto"/>
        <w:ind w:left="360"/>
        <w:jc w:val="both"/>
        <w:rPr>
          <w:rFonts w:asciiTheme="majorBidi" w:eastAsia="Times New Roman" w:hAnsiTheme="majorBidi" w:cstheme="majorBidi"/>
          <w:lang w:eastAsia="fr-FR"/>
        </w:rPr>
      </w:pPr>
    </w:p>
    <w:p w14:paraId="53115C49" w14:textId="73BFFC2C" w:rsidR="00B065F3" w:rsidRPr="00490654" w:rsidRDefault="00B065F3" w:rsidP="00C13671">
      <w:pPr>
        <w:pStyle w:val="Titre3"/>
        <w:numPr>
          <w:ilvl w:val="0"/>
          <w:numId w:val="117"/>
        </w:numPr>
        <w:spacing w:line="360" w:lineRule="auto"/>
        <w:jc w:val="both"/>
        <w:rPr>
          <w:rFonts w:asciiTheme="majorBidi" w:hAnsiTheme="majorBidi"/>
          <w:b/>
          <w:bCs/>
          <w:color w:val="auto"/>
          <w:sz w:val="24"/>
          <w:szCs w:val="24"/>
          <w:u w:val="single"/>
          <w:lang w:eastAsia="fr-FR"/>
        </w:rPr>
      </w:pPr>
      <w:bookmarkStart w:id="189" w:name="_Toc199314475"/>
      <w:r w:rsidRPr="00490654">
        <w:rPr>
          <w:rFonts w:asciiTheme="majorBidi" w:hAnsiTheme="majorBidi"/>
          <w:b/>
          <w:bCs/>
          <w:color w:val="auto"/>
          <w:sz w:val="24"/>
          <w:szCs w:val="24"/>
          <w:u w:val="single"/>
          <w:lang w:eastAsia="fr-FR"/>
        </w:rPr>
        <w:t>Propositions innovantes pour pallier les limites du système Oracle</w:t>
      </w:r>
      <w:r w:rsidR="00490654" w:rsidRPr="00490654">
        <w:rPr>
          <w:rFonts w:asciiTheme="majorBidi" w:hAnsiTheme="majorBidi"/>
          <w:b/>
          <w:bCs/>
          <w:color w:val="auto"/>
          <w:sz w:val="24"/>
          <w:szCs w:val="24"/>
          <w:u w:val="single"/>
          <w:lang w:eastAsia="fr-FR"/>
        </w:rPr>
        <w:t xml:space="preserve"> :</w:t>
      </w:r>
      <w:bookmarkEnd w:id="189"/>
    </w:p>
    <w:p w14:paraId="5C0E517B" w14:textId="77777777" w:rsidR="00B065F3" w:rsidRPr="008E2138" w:rsidRDefault="00B065F3" w:rsidP="00AE3850">
      <w:pPr>
        <w:spacing w:before="100" w:beforeAutospacing="1" w:after="100" w:afterAutospacing="1" w:line="360" w:lineRule="auto"/>
        <w:ind w:firstLine="360"/>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Bien que le système Oracle Finance offre une structure rigoureuse pour la gestion budgétaire à la DOT de Beni Messous, certaines limites techniques freinent son efficacité, notamment l’absence d’alertes automatiques et la faible lisibilité des taux de consommation. Afin de remédier à ces insuffisances, nous proposons plusieurs améliorations concrètes, à la fois accessibles et facilement intégrables au système existant.</w:t>
      </w:r>
    </w:p>
    <w:p w14:paraId="2C58CA47" w14:textId="77777777" w:rsidR="00B065F3" w:rsidRPr="008E2138" w:rsidRDefault="00B065F3" w:rsidP="00AE3850">
      <w:pPr>
        <w:spacing w:line="360" w:lineRule="auto"/>
        <w:jc w:val="both"/>
        <w:rPr>
          <w:rFonts w:asciiTheme="majorBidi" w:eastAsia="Times New Roman" w:hAnsiTheme="majorBidi" w:cstheme="majorBidi"/>
          <w:b/>
          <w:bCs/>
          <w:lang w:eastAsia="fr-FR"/>
        </w:rPr>
      </w:pPr>
      <w:r w:rsidRPr="008E2138">
        <w:rPr>
          <w:rFonts w:asciiTheme="majorBidi" w:eastAsia="Times New Roman" w:hAnsiTheme="majorBidi" w:cstheme="majorBidi"/>
          <w:b/>
          <w:bCs/>
          <w:lang w:eastAsia="fr-FR"/>
        </w:rPr>
        <w:t>• Mise en place d’indicateurs visuels d’alerte</w:t>
      </w:r>
    </w:p>
    <w:p w14:paraId="6554E387" w14:textId="77777777" w:rsidR="00B065F3" w:rsidRPr="008E2138" w:rsidRDefault="00B065F3" w:rsidP="00AE3850">
      <w:pPr>
        <w:spacing w:before="100" w:beforeAutospacing="1" w:after="100" w:afterAutospacing="1" w:line="360" w:lineRule="auto"/>
        <w:ind w:firstLine="360"/>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 xml:space="preserve">Nous suggérons l’introduction d’un </w:t>
      </w:r>
      <w:r w:rsidRPr="008E2138">
        <w:rPr>
          <w:rFonts w:asciiTheme="majorBidi" w:eastAsia="Times New Roman" w:hAnsiTheme="majorBidi" w:cstheme="majorBidi"/>
          <w:b/>
          <w:bCs/>
          <w:lang w:eastAsia="fr-FR"/>
        </w:rPr>
        <w:t>code couleur</w:t>
      </w:r>
      <w:r w:rsidRPr="008E2138">
        <w:rPr>
          <w:rFonts w:asciiTheme="majorBidi" w:eastAsia="Times New Roman" w:hAnsiTheme="majorBidi" w:cstheme="majorBidi"/>
          <w:lang w:eastAsia="fr-FR"/>
        </w:rPr>
        <w:t xml:space="preserve"> (vert, orange, rouge) dans les états budgétaires afin de signaler le niveau de consommation des crédits :</w:t>
      </w:r>
    </w:p>
    <w:p w14:paraId="04A994CD" w14:textId="77777777" w:rsidR="00B065F3" w:rsidRPr="008E2138" w:rsidRDefault="00B065F3" w:rsidP="00C13671">
      <w:pPr>
        <w:numPr>
          <w:ilvl w:val="0"/>
          <w:numId w:val="81"/>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b/>
          <w:bCs/>
          <w:lang w:eastAsia="fr-FR"/>
        </w:rPr>
        <w:t>Vert</w:t>
      </w:r>
      <w:r w:rsidRPr="008E2138">
        <w:rPr>
          <w:rFonts w:asciiTheme="majorBidi" w:eastAsia="Times New Roman" w:hAnsiTheme="majorBidi" w:cstheme="majorBidi"/>
          <w:lang w:eastAsia="fr-FR"/>
        </w:rPr>
        <w:t xml:space="preserve"> : consommation inférieure à 70 % du budget</w:t>
      </w:r>
    </w:p>
    <w:p w14:paraId="78BE3F61" w14:textId="77777777" w:rsidR="00B065F3" w:rsidRPr="008E2138" w:rsidRDefault="00B065F3" w:rsidP="00C13671">
      <w:pPr>
        <w:numPr>
          <w:ilvl w:val="0"/>
          <w:numId w:val="81"/>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b/>
          <w:bCs/>
          <w:lang w:eastAsia="fr-FR"/>
        </w:rPr>
        <w:t>Orange</w:t>
      </w:r>
      <w:r w:rsidRPr="008E2138">
        <w:rPr>
          <w:rFonts w:asciiTheme="majorBidi" w:eastAsia="Times New Roman" w:hAnsiTheme="majorBidi" w:cstheme="majorBidi"/>
          <w:lang w:eastAsia="fr-FR"/>
        </w:rPr>
        <w:t xml:space="preserve"> : consommation entre 70 % et 90 %</w:t>
      </w:r>
    </w:p>
    <w:p w14:paraId="3592744F" w14:textId="77777777" w:rsidR="00B065F3" w:rsidRPr="008E2138" w:rsidRDefault="00B065F3" w:rsidP="00C13671">
      <w:pPr>
        <w:numPr>
          <w:ilvl w:val="0"/>
          <w:numId w:val="81"/>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b/>
          <w:bCs/>
          <w:lang w:eastAsia="fr-FR"/>
        </w:rPr>
        <w:t>Rouge</w:t>
      </w:r>
      <w:r w:rsidRPr="008E2138">
        <w:rPr>
          <w:rFonts w:asciiTheme="majorBidi" w:eastAsia="Times New Roman" w:hAnsiTheme="majorBidi" w:cstheme="majorBidi"/>
          <w:lang w:eastAsia="fr-FR"/>
        </w:rPr>
        <w:t xml:space="preserve"> : consommation supérieure à 90 % ou en situation de risque de dépassement</w:t>
      </w:r>
    </w:p>
    <w:p w14:paraId="4E84CF25" w14:textId="77777777" w:rsidR="00B065F3" w:rsidRDefault="00B065F3" w:rsidP="00AE3850">
      <w:p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Cette signalétique intuitive permettrait aux gestionnaires d’identifier rapidement les postes critiques et d’agir en conséquence.</w:t>
      </w:r>
    </w:p>
    <w:p w14:paraId="580B8D1D" w14:textId="77777777" w:rsidR="00B065F3" w:rsidRPr="00E046D5" w:rsidRDefault="00B065F3" w:rsidP="00AE3850">
      <w:p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b/>
          <w:bCs/>
          <w:lang w:eastAsia="fr-FR"/>
        </w:rPr>
        <w:t>• Intégration d’une alarme automatique en cas de dépassement</w:t>
      </w:r>
    </w:p>
    <w:p w14:paraId="4E318719" w14:textId="77777777" w:rsidR="00B065F3" w:rsidRPr="008E2138" w:rsidRDefault="00B065F3" w:rsidP="00AE3850">
      <w:pPr>
        <w:spacing w:before="100" w:beforeAutospacing="1" w:after="100" w:afterAutospacing="1" w:line="360" w:lineRule="auto"/>
        <w:ind w:firstLine="708"/>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 xml:space="preserve">L’ajout d’une </w:t>
      </w:r>
      <w:r w:rsidRPr="008E2138">
        <w:rPr>
          <w:rFonts w:asciiTheme="majorBidi" w:eastAsia="Times New Roman" w:hAnsiTheme="majorBidi" w:cstheme="majorBidi"/>
          <w:b/>
          <w:bCs/>
          <w:lang w:eastAsia="fr-FR"/>
        </w:rPr>
        <w:t>alerte bloquante ou semi-bloquante</w:t>
      </w:r>
      <w:r w:rsidRPr="008E2138">
        <w:rPr>
          <w:rFonts w:asciiTheme="majorBidi" w:eastAsia="Times New Roman" w:hAnsiTheme="majorBidi" w:cstheme="majorBidi"/>
          <w:lang w:eastAsia="fr-FR"/>
        </w:rPr>
        <w:t xml:space="preserve"> au sein du système Oracle permettrait d’empêcher automatiquement tout engagement budgétaire au-delà des crédits disponibles, garantissant ainsi une discipline budgétaire renforcée.</w:t>
      </w:r>
    </w:p>
    <w:p w14:paraId="1F7420D2" w14:textId="77777777" w:rsidR="00490654" w:rsidRDefault="00490654" w:rsidP="00AE3850">
      <w:pPr>
        <w:spacing w:line="360" w:lineRule="auto"/>
        <w:jc w:val="both"/>
        <w:rPr>
          <w:rFonts w:asciiTheme="majorBidi" w:eastAsia="Times New Roman" w:hAnsiTheme="majorBidi" w:cstheme="majorBidi"/>
          <w:b/>
          <w:bCs/>
          <w:lang w:eastAsia="fr-FR"/>
        </w:rPr>
      </w:pPr>
      <w:r>
        <w:rPr>
          <w:rFonts w:asciiTheme="majorBidi" w:eastAsia="Times New Roman" w:hAnsiTheme="majorBidi" w:cstheme="majorBidi"/>
          <w:b/>
          <w:bCs/>
          <w:lang w:eastAsia="fr-FR"/>
        </w:rPr>
        <w:br w:type="page"/>
      </w:r>
    </w:p>
    <w:p w14:paraId="5D18A3B2" w14:textId="3D7A7F58" w:rsidR="00B065F3" w:rsidRPr="008E2138" w:rsidRDefault="00B065F3" w:rsidP="00AE3850">
      <w:pPr>
        <w:spacing w:line="360" w:lineRule="auto"/>
        <w:jc w:val="both"/>
        <w:rPr>
          <w:rFonts w:asciiTheme="majorBidi" w:eastAsia="Times New Roman" w:hAnsiTheme="majorBidi" w:cstheme="majorBidi"/>
          <w:b/>
          <w:bCs/>
          <w:lang w:eastAsia="fr-FR"/>
        </w:rPr>
      </w:pPr>
      <w:r w:rsidRPr="008E2138">
        <w:rPr>
          <w:rFonts w:asciiTheme="majorBidi" w:eastAsia="Times New Roman" w:hAnsiTheme="majorBidi" w:cstheme="majorBidi"/>
          <w:b/>
          <w:bCs/>
          <w:lang w:eastAsia="fr-FR"/>
        </w:rPr>
        <w:lastRenderedPageBreak/>
        <w:t>• Affichage dynamique des seuils de consommation</w:t>
      </w:r>
    </w:p>
    <w:p w14:paraId="154CC6CC" w14:textId="77777777" w:rsidR="00B065F3" w:rsidRPr="008E2138" w:rsidRDefault="00B065F3" w:rsidP="00AE3850">
      <w:pPr>
        <w:spacing w:before="100" w:beforeAutospacing="1" w:after="100" w:afterAutospacing="1" w:line="360" w:lineRule="auto"/>
        <w:ind w:firstLine="708"/>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Nous préconisons l’insertion d’</w:t>
      </w:r>
      <w:r w:rsidRPr="008E2138">
        <w:rPr>
          <w:rFonts w:asciiTheme="majorBidi" w:eastAsia="Times New Roman" w:hAnsiTheme="majorBidi" w:cstheme="majorBidi"/>
          <w:b/>
          <w:bCs/>
          <w:lang w:eastAsia="fr-FR"/>
        </w:rPr>
        <w:t>indicateurs dynamiques</w:t>
      </w:r>
      <w:r w:rsidRPr="008E2138">
        <w:rPr>
          <w:rFonts w:asciiTheme="majorBidi" w:eastAsia="Times New Roman" w:hAnsiTheme="majorBidi" w:cstheme="majorBidi"/>
          <w:lang w:eastAsia="fr-FR"/>
        </w:rPr>
        <w:t xml:space="preserve"> tels que des barres de progression ou des pourcentages évolutifs dans les tableaux de suivi. Ces outils offriraient une visualisation claire et immédiate de l’état d’exécution du budget pour chaque poste.</w:t>
      </w:r>
    </w:p>
    <w:p w14:paraId="3D733F80" w14:textId="77777777" w:rsidR="00B065F3" w:rsidRPr="008E2138" w:rsidRDefault="00B065F3" w:rsidP="00AE3850">
      <w:pPr>
        <w:spacing w:line="360" w:lineRule="auto"/>
        <w:jc w:val="both"/>
        <w:rPr>
          <w:rFonts w:asciiTheme="majorBidi" w:eastAsia="Times New Roman" w:hAnsiTheme="majorBidi" w:cstheme="majorBidi"/>
          <w:b/>
          <w:bCs/>
          <w:lang w:eastAsia="fr-FR"/>
        </w:rPr>
      </w:pPr>
      <w:r w:rsidRPr="008E2138">
        <w:rPr>
          <w:rFonts w:asciiTheme="majorBidi" w:eastAsia="Times New Roman" w:hAnsiTheme="majorBidi" w:cstheme="majorBidi"/>
          <w:b/>
          <w:bCs/>
          <w:lang w:eastAsia="fr-FR"/>
        </w:rPr>
        <w:t>• Développement d’un module complémentaire de veille budgétaire</w:t>
      </w:r>
    </w:p>
    <w:p w14:paraId="0957DE9B" w14:textId="77777777" w:rsidR="00B065F3" w:rsidRPr="008E2138" w:rsidRDefault="00B065F3" w:rsidP="00AE3850">
      <w:pPr>
        <w:spacing w:before="100" w:beforeAutospacing="1" w:after="100" w:afterAutospacing="1" w:line="360" w:lineRule="auto"/>
        <w:ind w:firstLine="360"/>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 xml:space="preserve">Nous proposons également la création d’un </w:t>
      </w:r>
      <w:r w:rsidRPr="008E2138">
        <w:rPr>
          <w:rFonts w:asciiTheme="majorBidi" w:eastAsia="Times New Roman" w:hAnsiTheme="majorBidi" w:cstheme="majorBidi"/>
          <w:b/>
          <w:bCs/>
          <w:lang w:eastAsia="fr-FR"/>
        </w:rPr>
        <w:t>outil complémentaire développé sur Excel</w:t>
      </w:r>
      <w:r w:rsidRPr="008E2138">
        <w:rPr>
          <w:rFonts w:asciiTheme="majorBidi" w:eastAsia="Times New Roman" w:hAnsiTheme="majorBidi" w:cstheme="majorBidi"/>
          <w:lang w:eastAsia="fr-FR"/>
        </w:rPr>
        <w:t xml:space="preserve"> et interfacé avec Oracle, permettant :</w:t>
      </w:r>
    </w:p>
    <w:p w14:paraId="0B039044" w14:textId="77777777" w:rsidR="00B065F3" w:rsidRPr="008E2138" w:rsidRDefault="00B065F3" w:rsidP="00C13671">
      <w:pPr>
        <w:numPr>
          <w:ilvl w:val="0"/>
          <w:numId w:val="82"/>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Le suivi quotidien de la consommation budgétaire</w:t>
      </w:r>
    </w:p>
    <w:p w14:paraId="22C23DC6" w14:textId="77777777" w:rsidR="00B065F3" w:rsidRPr="008E2138" w:rsidRDefault="00B065F3" w:rsidP="00C13671">
      <w:pPr>
        <w:numPr>
          <w:ilvl w:val="0"/>
          <w:numId w:val="82"/>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L’émission automatique d’alertes en cas d’écart</w:t>
      </w:r>
    </w:p>
    <w:p w14:paraId="10C889D5" w14:textId="77777777" w:rsidR="00B065F3" w:rsidRPr="008E2138" w:rsidRDefault="00B065F3" w:rsidP="00C13671">
      <w:pPr>
        <w:numPr>
          <w:ilvl w:val="0"/>
          <w:numId w:val="82"/>
        </w:num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L’élaboration d’un tableau de bord synthétique partagé entre les services</w:t>
      </w:r>
    </w:p>
    <w:p w14:paraId="0CCE4A75" w14:textId="451BE790" w:rsidR="00B065F3" w:rsidRPr="008E2138" w:rsidRDefault="00B065F3" w:rsidP="00AE3850">
      <w:pPr>
        <w:spacing w:before="100" w:beforeAutospacing="1" w:after="100" w:afterAutospacing="1" w:line="360" w:lineRule="auto"/>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 xml:space="preserve">Ces innovations visent à </w:t>
      </w:r>
      <w:r w:rsidRPr="008E2138">
        <w:rPr>
          <w:rFonts w:asciiTheme="majorBidi" w:eastAsia="Times New Roman" w:hAnsiTheme="majorBidi" w:cstheme="majorBidi"/>
          <w:b/>
          <w:bCs/>
          <w:lang w:eastAsia="fr-FR"/>
        </w:rPr>
        <w:t>renforcer la visibilité, l’anticipation et le contrôle</w:t>
      </w:r>
      <w:r w:rsidRPr="008E2138">
        <w:rPr>
          <w:rFonts w:asciiTheme="majorBidi" w:eastAsia="Times New Roman" w:hAnsiTheme="majorBidi" w:cstheme="majorBidi"/>
          <w:lang w:eastAsia="fr-FR"/>
        </w:rPr>
        <w:t xml:space="preserve"> dans l’exécution budgétaire, tout en restant compatibles avec l’infrastructure actuelle</w:t>
      </w:r>
    </w:p>
    <w:p w14:paraId="610B197B" w14:textId="77777777" w:rsidR="00B065F3" w:rsidRPr="008E2138" w:rsidRDefault="00B065F3" w:rsidP="00AE3850">
      <w:pPr>
        <w:spacing w:before="100" w:beforeAutospacing="1" w:after="100" w:afterAutospacing="1" w:line="360" w:lineRule="auto"/>
        <w:ind w:firstLine="708"/>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L’étude critique du processus budgétaire à la DOT a permis de mettre en lumière les atouts d’un système structuré reposant sur Oracle Finance, tout en identifiant plusieurs insuffisances techniques et organisationnelles freinant son efficacité optimale. Si la rigueur du cadre budgétaire actuel assure un certain niveau de contrôle, elle demeure perfectible, notamment en matière de visibilité, de réactivité et d’automatisation.</w:t>
      </w:r>
    </w:p>
    <w:p w14:paraId="01DD7F9E" w14:textId="77777777" w:rsidR="00B065F3" w:rsidRPr="008E2138" w:rsidRDefault="00B065F3" w:rsidP="00AE3850">
      <w:pPr>
        <w:spacing w:before="100" w:beforeAutospacing="1" w:after="100" w:afterAutospacing="1" w:line="360" w:lineRule="auto"/>
        <w:ind w:firstLine="708"/>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Les recommandations proposées dans cette section, qu’elles soient organisationnelles ou technologiques, visent à pallier ces limites de manière réaliste et progressive. En parallèle, les propositions innovantes formulées pour améliorer l’usage d’Oracle — notamment les alertes visuelles, les seuils dynamiques ou encore les modules de veille — constituent des leviers concrets pour renforcer la maîtrise des dépenses, prévenir les dérives, et instaurer une culture de pilotage budgétaire plus proactive.</w:t>
      </w:r>
    </w:p>
    <w:p w14:paraId="1ECF1D57" w14:textId="495EB333" w:rsidR="00B065F3" w:rsidRDefault="00B065F3" w:rsidP="00AE3850">
      <w:pPr>
        <w:spacing w:before="100" w:beforeAutospacing="1" w:after="100" w:afterAutospacing="1" w:line="360" w:lineRule="auto"/>
        <w:ind w:firstLine="708"/>
        <w:jc w:val="both"/>
        <w:rPr>
          <w:rFonts w:asciiTheme="majorBidi" w:eastAsia="Times New Roman" w:hAnsiTheme="majorBidi" w:cstheme="majorBidi"/>
          <w:lang w:eastAsia="fr-FR"/>
        </w:rPr>
      </w:pPr>
      <w:r w:rsidRPr="008E2138">
        <w:rPr>
          <w:rFonts w:asciiTheme="majorBidi" w:eastAsia="Times New Roman" w:hAnsiTheme="majorBidi" w:cstheme="majorBidi"/>
          <w:lang w:eastAsia="fr-FR"/>
        </w:rPr>
        <w:t>En somme, une gestion budgétaire performante ne peut se limiter à l’outil technique : elle repose également sur l’engagement des acteurs, la fluidité des échanges interservices, et une volonté continue d’optimisation.</w:t>
      </w:r>
    </w:p>
    <w:p w14:paraId="0AA5627C" w14:textId="1D8E5AB3" w:rsidR="00B065F3" w:rsidRPr="003C21E2" w:rsidRDefault="00B065F3" w:rsidP="00AE3850">
      <w:pPr>
        <w:pStyle w:val="Titre1"/>
        <w:spacing w:line="360" w:lineRule="auto"/>
        <w:jc w:val="both"/>
        <w:rPr>
          <w:rFonts w:asciiTheme="majorBidi" w:hAnsiTheme="majorBidi"/>
          <w:b/>
          <w:bCs/>
          <w:color w:val="auto"/>
          <w:sz w:val="28"/>
          <w:szCs w:val="28"/>
          <w:u w:val="single"/>
        </w:rPr>
      </w:pPr>
      <w:bookmarkStart w:id="190" w:name="_Toc199314476"/>
      <w:bookmarkStart w:id="191" w:name="_Toc199314589"/>
      <w:r w:rsidRPr="003C21E2">
        <w:rPr>
          <w:rFonts w:asciiTheme="majorBidi" w:hAnsiTheme="majorBidi"/>
          <w:b/>
          <w:bCs/>
          <w:color w:val="auto"/>
          <w:sz w:val="28"/>
          <w:szCs w:val="28"/>
          <w:u w:val="single"/>
        </w:rPr>
        <w:lastRenderedPageBreak/>
        <w:t>Conclusion du chapitre 02</w:t>
      </w:r>
      <w:r w:rsidR="003C21E2" w:rsidRPr="003C21E2">
        <w:rPr>
          <w:rFonts w:asciiTheme="majorBidi" w:hAnsiTheme="majorBidi"/>
          <w:b/>
          <w:bCs/>
          <w:color w:val="auto"/>
          <w:sz w:val="28"/>
          <w:szCs w:val="28"/>
          <w:u w:val="single"/>
        </w:rPr>
        <w:t xml:space="preserve"> :</w:t>
      </w:r>
      <w:bookmarkEnd w:id="190"/>
      <w:bookmarkEnd w:id="191"/>
    </w:p>
    <w:p w14:paraId="05BFD44A" w14:textId="77777777" w:rsidR="00B065F3" w:rsidRPr="00F10259" w:rsidRDefault="00B065F3" w:rsidP="00AE3850">
      <w:pPr>
        <w:spacing w:line="360" w:lineRule="auto"/>
        <w:ind w:firstLine="708"/>
        <w:jc w:val="both"/>
        <w:rPr>
          <w:rFonts w:asciiTheme="majorBidi" w:hAnsiTheme="majorBidi" w:cstheme="majorBidi"/>
        </w:rPr>
      </w:pPr>
      <w:r w:rsidRPr="00F10259">
        <w:rPr>
          <w:rFonts w:asciiTheme="majorBidi" w:hAnsiTheme="majorBidi" w:cstheme="majorBidi"/>
        </w:rPr>
        <w:t>Ce chapitre a permis d’examiner de manière structurée et concrète la gestion budgétaire au sein de la Direction Opérationnelle des Télécommunications (DOT) de Beni Messous, relevant d’Algérie Télécom. L’objectif principal était de comprendre comment les mécanismes budgétaires sont organisés, appliqués et suivis dans un environnement public soumis à des exigences de performance et de rigueur.</w:t>
      </w:r>
    </w:p>
    <w:p w14:paraId="2B3FD8ED" w14:textId="77777777" w:rsidR="00B065F3" w:rsidRPr="00F10259" w:rsidRDefault="00B065F3" w:rsidP="00AE3850">
      <w:pPr>
        <w:spacing w:line="360" w:lineRule="auto"/>
        <w:ind w:firstLine="708"/>
        <w:jc w:val="both"/>
        <w:rPr>
          <w:rFonts w:asciiTheme="majorBidi" w:hAnsiTheme="majorBidi" w:cstheme="majorBidi"/>
        </w:rPr>
      </w:pPr>
      <w:r w:rsidRPr="00F10259">
        <w:rPr>
          <w:rFonts w:asciiTheme="majorBidi" w:hAnsiTheme="majorBidi" w:cstheme="majorBidi"/>
        </w:rPr>
        <w:t>Nous avons tout d’abord présenté l’entreprise Algérie Télécom, son organisation générale, ses missions stratégiques, ainsi que la structure de la DOT de Beni Messous, lieu de notre stage pratique. Cette contextualisation a été essentielle pour cerner le cadre dans lequel s’opère la gestion financière locale, en mettant l’accent sur le rôle central du Département Finances et Comptabilité.</w:t>
      </w:r>
    </w:p>
    <w:p w14:paraId="4B71BEDC" w14:textId="77777777" w:rsidR="00B065F3" w:rsidRPr="00F10259" w:rsidRDefault="00B065F3" w:rsidP="00AE3850">
      <w:pPr>
        <w:spacing w:line="360" w:lineRule="auto"/>
        <w:ind w:firstLine="708"/>
        <w:jc w:val="both"/>
        <w:rPr>
          <w:rFonts w:asciiTheme="majorBidi" w:hAnsiTheme="majorBidi" w:cstheme="majorBidi"/>
        </w:rPr>
      </w:pPr>
      <w:r w:rsidRPr="00F10259">
        <w:rPr>
          <w:rFonts w:asciiTheme="majorBidi" w:hAnsiTheme="majorBidi" w:cstheme="majorBidi"/>
        </w:rPr>
        <w:t>Ensuite, nous avons étudié le processus budgétaire dans ses trois principales phases : l’élaboration, l’exécution et le contrôle. À travers ce volet, nous avons mis en lumière les outils utilisés, notamment le système d’information Oracle, ainsi que les circuits internes de validation, de suivi et d’ordonnancement. Cette section a également intégré un cas pratique appliqué à l’exercice budgétaire 2023, à travers lequel nous avons suivi le traitement des différentes lignes de dépenses, depuis les prévisions jusqu’aux engagements et réalisations effectives.</w:t>
      </w:r>
    </w:p>
    <w:p w14:paraId="65B3D1B1" w14:textId="77777777" w:rsidR="00B065F3" w:rsidRPr="00F10259" w:rsidRDefault="00B065F3" w:rsidP="00AE3850">
      <w:pPr>
        <w:spacing w:line="360" w:lineRule="auto"/>
        <w:ind w:firstLine="708"/>
        <w:jc w:val="both"/>
        <w:rPr>
          <w:rFonts w:asciiTheme="majorBidi" w:hAnsiTheme="majorBidi" w:cstheme="majorBidi"/>
        </w:rPr>
      </w:pPr>
      <w:r w:rsidRPr="00F10259">
        <w:rPr>
          <w:rFonts w:asciiTheme="majorBidi" w:hAnsiTheme="majorBidi" w:cstheme="majorBidi"/>
        </w:rPr>
        <w:t>Enfin, l’analyse détaillée des données budgétaires a révélé des écarts significatifs entre les montants prévus et ceux effectivement consommés, traduisant à la fois des efforts d’ajustement et certaines limites dans la planification initiale ou la réactivité opérationnelle. Le traitement des postes comme les achats consommés, les services extérieurs ou encore les charges de personnel a permis d’identifier les points de vigilance et les leviers de correction possibles.</w:t>
      </w:r>
    </w:p>
    <w:p w14:paraId="3E804FFD" w14:textId="77777777" w:rsidR="00B065F3" w:rsidRPr="00F10259" w:rsidRDefault="00B065F3" w:rsidP="00AE3850">
      <w:pPr>
        <w:spacing w:line="360" w:lineRule="auto"/>
        <w:ind w:firstLine="708"/>
        <w:jc w:val="both"/>
        <w:rPr>
          <w:rFonts w:asciiTheme="majorBidi" w:hAnsiTheme="majorBidi" w:cstheme="majorBidi"/>
          <w:b/>
          <w:bCs/>
        </w:rPr>
      </w:pPr>
      <w:r w:rsidRPr="00F10259">
        <w:rPr>
          <w:rFonts w:asciiTheme="majorBidi" w:hAnsiTheme="majorBidi" w:cstheme="majorBidi"/>
        </w:rPr>
        <w:t>Ainsi, ce chapitre met en évidence que la gestion budgétaire ne se réduit pas à une procédure administrative, mais constitue un instrument stratégique de contrôle de gestion, permettant de mieux planifier, coordonner et optimiser l’utilisation des ressources. Dans le chapitre suivant, une évaluation critique de ce dispositif sera menée afin de proposer des pistes d’amélioration adaptées aux réalités du terrain observées lors de notre stage</w:t>
      </w:r>
      <w:r w:rsidRPr="00F10259">
        <w:rPr>
          <w:rFonts w:asciiTheme="majorBidi" w:hAnsiTheme="majorBidi" w:cstheme="majorBidi"/>
          <w:b/>
          <w:bCs/>
        </w:rPr>
        <w:t>.</w:t>
      </w:r>
    </w:p>
    <w:p w14:paraId="5340F0E2" w14:textId="0F4C599E" w:rsidR="00B065F3" w:rsidRDefault="00B065F3" w:rsidP="00AE3850">
      <w:pPr>
        <w:spacing w:line="360" w:lineRule="auto"/>
        <w:jc w:val="both"/>
        <w:rPr>
          <w:rFonts w:asciiTheme="majorBidi" w:hAnsiTheme="majorBidi" w:cstheme="majorBidi"/>
          <w:b/>
          <w:bCs/>
        </w:rPr>
      </w:pPr>
      <w:r>
        <w:rPr>
          <w:rFonts w:asciiTheme="majorBidi" w:hAnsiTheme="majorBidi" w:cstheme="majorBidi"/>
          <w:b/>
          <w:bCs/>
        </w:rPr>
        <w:br w:type="page"/>
      </w:r>
    </w:p>
    <w:p w14:paraId="7F16B772" w14:textId="77777777" w:rsidR="00266BC2" w:rsidRPr="009132A6" w:rsidRDefault="00266BC2" w:rsidP="00AE3850">
      <w:pPr>
        <w:spacing w:line="360" w:lineRule="auto"/>
        <w:jc w:val="both"/>
        <w:rPr>
          <w:rFonts w:asciiTheme="majorBidi" w:hAnsiTheme="majorBidi" w:cstheme="majorBidi"/>
          <w:b/>
          <w:bCs/>
        </w:rPr>
        <w:sectPr w:rsidR="00266BC2" w:rsidRPr="009132A6" w:rsidSect="001A4DD5">
          <w:headerReference w:type="default" r:id="rId42"/>
          <w:pgSz w:w="11906" w:h="16838"/>
          <w:pgMar w:top="1418" w:right="1134" w:bottom="1418" w:left="1701" w:header="709" w:footer="709" w:gutter="0"/>
          <w:cols w:space="708"/>
          <w:titlePg/>
          <w:docGrid w:linePitch="360"/>
        </w:sectPr>
      </w:pPr>
    </w:p>
    <w:p w14:paraId="481B6A42" w14:textId="3A3A8631" w:rsidR="00266BC2" w:rsidRPr="009132A6" w:rsidRDefault="00D20C71" w:rsidP="00AE3850">
      <w:pPr>
        <w:spacing w:line="360" w:lineRule="auto"/>
        <w:jc w:val="both"/>
        <w:rPr>
          <w:rFonts w:asciiTheme="majorBidi" w:hAnsiTheme="majorBidi" w:cstheme="majorBidi"/>
          <w:lang w:eastAsia="fr-FR"/>
        </w:rPr>
      </w:pPr>
      <w:r w:rsidRPr="009132A6">
        <w:rPr>
          <w:rFonts w:asciiTheme="majorBidi" w:hAnsiTheme="majorBidi" w:cstheme="majorBidi"/>
          <w:b/>
          <w:bCs/>
          <w:noProof/>
          <w:sz w:val="72"/>
          <w:szCs w:val="72"/>
          <w:lang w:eastAsia="fr-FR"/>
        </w:rPr>
        <w:lastRenderedPageBreak/>
        <mc:AlternateContent>
          <mc:Choice Requires="wps">
            <w:drawing>
              <wp:anchor distT="0" distB="0" distL="114300" distR="114300" simplePos="0" relativeHeight="251702272" behindDoc="0" locked="0" layoutInCell="1" allowOverlap="1" wp14:anchorId="723ADDEA" wp14:editId="5A45E702">
                <wp:simplePos x="0" y="0"/>
                <wp:positionH relativeFrom="margin">
                  <wp:align>center</wp:align>
                </wp:positionH>
                <wp:positionV relativeFrom="paragraph">
                  <wp:posOffset>3251745</wp:posOffset>
                </wp:positionV>
                <wp:extent cx="4381500" cy="2355850"/>
                <wp:effectExtent l="19050" t="19050" r="19050" b="25400"/>
                <wp:wrapNone/>
                <wp:docPr id="47" name="Rectangle : coins arrondis 47"/>
                <wp:cNvGraphicFramePr/>
                <a:graphic xmlns:a="http://schemas.openxmlformats.org/drawingml/2006/main">
                  <a:graphicData uri="http://schemas.microsoft.com/office/word/2010/wordprocessingShape">
                    <wps:wsp>
                      <wps:cNvSpPr/>
                      <wps:spPr>
                        <a:xfrm>
                          <a:off x="0" y="0"/>
                          <a:ext cx="4381500" cy="2355850"/>
                        </a:xfrm>
                        <a:prstGeom prst="roundRect">
                          <a:avLst/>
                        </a:prstGeom>
                        <a:ln w="28575">
                          <a:solidFill>
                            <a:schemeClr val="tx2">
                              <a:lumMod val="25000"/>
                              <a:lumOff val="75000"/>
                            </a:schemeClr>
                          </a:solidFill>
                        </a:ln>
                      </wps:spPr>
                      <wps:style>
                        <a:lnRef idx="2">
                          <a:schemeClr val="dk1"/>
                        </a:lnRef>
                        <a:fillRef idx="1">
                          <a:schemeClr val="lt1"/>
                        </a:fillRef>
                        <a:effectRef idx="0">
                          <a:schemeClr val="dk1"/>
                        </a:effectRef>
                        <a:fontRef idx="minor">
                          <a:schemeClr val="dk1"/>
                        </a:fontRef>
                      </wps:style>
                      <wps:txbx>
                        <w:txbxContent>
                          <w:p w14:paraId="52987440" w14:textId="28D40E08" w:rsidR="00AB34B8" w:rsidRPr="00D20C71" w:rsidRDefault="00AB34B8" w:rsidP="00D20C71">
                            <w:pPr>
                              <w:pStyle w:val="Titre1"/>
                              <w:jc w:val="center"/>
                              <w:rPr>
                                <w:rFonts w:asciiTheme="majorBidi" w:hAnsiTheme="majorBidi"/>
                                <w:b/>
                                <w:bCs/>
                                <w:color w:val="auto"/>
                                <w:sz w:val="48"/>
                                <w:szCs w:val="48"/>
                              </w:rPr>
                            </w:pPr>
                            <w:bookmarkStart w:id="192" w:name="_Toc199314477"/>
                            <w:bookmarkStart w:id="193" w:name="_Toc199314590"/>
                            <w:r w:rsidRPr="00D20C71">
                              <w:rPr>
                                <w:rFonts w:asciiTheme="majorBidi" w:hAnsiTheme="majorBidi"/>
                                <w:b/>
                                <w:bCs/>
                                <w:color w:val="auto"/>
                                <w:sz w:val="48"/>
                                <w:szCs w:val="48"/>
                              </w:rPr>
                              <w:t>CONCLUSION GENERALE</w:t>
                            </w:r>
                            <w:bookmarkEnd w:id="192"/>
                            <w:bookmarkEnd w:id="193"/>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723ADDEA" id="Rectangle : coins arrondis 47" o:spid="_x0000_s1034" style="position:absolute;left:0;text-align:left;margin-left:0;margin-top:256.05pt;width:345pt;height:185.5pt;z-index:25170227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" fillcolor="white [3201]" strokecolor="#a7caec [831]" strokeweight="2.25pt">
                <v:stroke joinstyle="miter"/>
                <v:textbox>
                  <w:txbxContent>
                    <w:p w14:paraId="52987440" w14:textId="28D40E08" w:rsidR="00771E97" w:rsidRPr="00D20C71" w:rsidRDefault="00771E97" w:rsidP="00D20C71">
                      <w:pPr>
                        <w:pStyle w:val="Heading1"/>
                        <w:jc w:val="center"/>
                        <w:rPr>
                          <w:rFonts w:asciiTheme="majorBidi" w:hAnsiTheme="majorBidi"/>
                          <w:b/>
                          <w:bCs/>
                          <w:color w:val="auto"/>
                          <w:sz w:val="48"/>
                          <w:szCs w:val="48"/>
                        </w:rPr>
                      </w:pPr>
                      <w:bookmarkStart w:id="201" w:name="_Toc199314477"/>
                      <w:bookmarkStart w:id="202" w:name="_Toc199314590"/>
                      <w:r w:rsidRPr="00D20C71">
                        <w:rPr>
                          <w:rFonts w:asciiTheme="majorBidi" w:hAnsiTheme="majorBidi"/>
                          <w:b/>
                          <w:bCs/>
                          <w:color w:val="auto"/>
                          <w:sz w:val="48"/>
                          <w:szCs w:val="48"/>
                        </w:rPr>
                        <w:t>CONCLUSION GENERALE</w:t>
                      </w:r>
                      <w:bookmarkEnd w:id="201"/>
                      <w:bookmarkEnd w:id="202"/>
                    </w:p>
                  </w:txbxContent>
                </v:textbox>
                <w10:wrap anchorx="margin"/>
              </v:roundrect>
            </w:pict>
          </mc:Fallback>
        </mc:AlternateContent>
      </w:r>
      <w:r w:rsidR="00266BC2" w:rsidRPr="009132A6">
        <w:rPr>
          <w:rFonts w:asciiTheme="majorBidi" w:hAnsiTheme="majorBidi" w:cstheme="majorBidi"/>
          <w:lang w:eastAsia="fr-FR"/>
        </w:rPr>
        <w:br w:type="page"/>
      </w:r>
    </w:p>
    <w:p w14:paraId="61BFF393" w14:textId="77777777" w:rsidR="00E05C71" w:rsidRPr="006D5A58" w:rsidRDefault="00E05C71" w:rsidP="00AE3850">
      <w:pPr>
        <w:spacing w:before="100" w:beforeAutospacing="1" w:after="100" w:afterAutospacing="1" w:line="360" w:lineRule="auto"/>
        <w:ind w:firstLine="720"/>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lastRenderedPageBreak/>
        <w:t>La gestion budgétaire, outil central du contrôle de gestion, permet aux entreprises de planifier, encadrer et ajuster l’utilisation de leurs ressources en cohérence avec leurs objectifs stratégiques. Ce mémoire s’est attaché à étudier dans quelle mesure la gestion budgétaire, telle qu’elle est pratiquée au sein de la Direction Opérationnelle des Télécommunications (DOT) de Beni Messous, constitue un levier efficace de contrôle de gestion dans une entreprise publique comme Algérie Télécom.</w:t>
      </w:r>
    </w:p>
    <w:p w14:paraId="1BF027A5" w14:textId="77777777" w:rsidR="00E05C71" w:rsidRPr="006D5A58" w:rsidRDefault="00E05C71" w:rsidP="00AE3850">
      <w:pPr>
        <w:spacing w:before="100" w:beforeAutospacing="1" w:after="100" w:afterAutospacing="1" w:line="360" w:lineRule="auto"/>
        <w:ind w:firstLine="720"/>
        <w:jc w:val="both"/>
        <w:rPr>
          <w:rFonts w:asciiTheme="majorBidi" w:eastAsia="Times New Roman" w:hAnsiTheme="majorBidi" w:cstheme="majorBidi"/>
          <w:rtl/>
          <w:lang w:eastAsia="fr-FR"/>
        </w:rPr>
      </w:pPr>
      <w:r w:rsidRPr="006D5A58">
        <w:rPr>
          <w:rFonts w:asciiTheme="majorBidi" w:eastAsia="Times New Roman" w:hAnsiTheme="majorBidi" w:cstheme="majorBidi"/>
          <w:lang w:eastAsia="fr-FR"/>
        </w:rPr>
        <w:t>Notre travail s’est appuyé sur une double approche, théorique et pratique. Le premier chapitre a permis de poser les bases conceptuelles relatives au contrôle de gestion, à la gestion budgétaire et au contrôle budgétaire. Le second chapitre, quant à lui, s’est appuyé sur une étude de terrain pour décrire, analyser et évaluer les différentes étapes du processus budgétaire à la DOT de Beni Messous, de l’élaboration des prévisions à l’exécution et au suivi, en passant par les réaménagements et l’analyse des écarts.</w:t>
      </w:r>
    </w:p>
    <w:p w14:paraId="672DA53A" w14:textId="77777777" w:rsidR="00E05C71" w:rsidRPr="006D5A58" w:rsidRDefault="00E05C71" w:rsidP="00AE3850">
      <w:pPr>
        <w:spacing w:before="100" w:beforeAutospacing="1" w:after="100" w:afterAutospacing="1" w:line="360" w:lineRule="auto"/>
        <w:ind w:firstLine="360"/>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t>Au cours de la réalisation de cette étude, plusieurs contraintes ont été rencontrées, impactant parfois la fluidité de la démarche de recherche :</w:t>
      </w:r>
    </w:p>
    <w:p w14:paraId="5D289C6D" w14:textId="77777777" w:rsidR="00E05C71" w:rsidRPr="006D5A58" w:rsidRDefault="00E05C71" w:rsidP="00C13671">
      <w:pPr>
        <w:numPr>
          <w:ilvl w:val="0"/>
          <w:numId w:val="5"/>
        </w:numPr>
        <w:spacing w:before="100" w:beforeAutospacing="1" w:after="100" w:afterAutospacing="1" w:line="360" w:lineRule="auto"/>
        <w:jc w:val="both"/>
        <w:rPr>
          <w:rFonts w:asciiTheme="majorBidi" w:eastAsia="Times New Roman" w:hAnsiTheme="majorBidi" w:cstheme="majorBidi"/>
          <w:lang w:eastAsia="fr-FR"/>
        </w:rPr>
      </w:pPr>
      <w:r w:rsidRPr="006D5A58">
        <w:rPr>
          <w:rFonts w:asciiTheme="majorBidi" w:eastAsia="Times New Roman" w:hAnsiTheme="majorBidi" w:cstheme="majorBidi"/>
          <w:b/>
          <w:bCs/>
          <w:lang w:eastAsia="fr-FR"/>
        </w:rPr>
        <w:t>Un accès limité à certains documents internes</w:t>
      </w:r>
      <w:r w:rsidRPr="006D5A58">
        <w:rPr>
          <w:rFonts w:asciiTheme="majorBidi" w:eastAsia="Times New Roman" w:hAnsiTheme="majorBidi" w:cstheme="majorBidi"/>
          <w:lang w:eastAsia="fr-FR"/>
        </w:rPr>
        <w:t>, jugés confidentiels ou sensibles, restreignant l’exploitation complète de certaines informations budgétaires ;</w:t>
      </w:r>
    </w:p>
    <w:p w14:paraId="7A05F330" w14:textId="77777777" w:rsidR="00E05C71" w:rsidRPr="006D5A58" w:rsidRDefault="00E05C71" w:rsidP="00C13671">
      <w:pPr>
        <w:numPr>
          <w:ilvl w:val="0"/>
          <w:numId w:val="5"/>
        </w:numPr>
        <w:spacing w:before="100" w:beforeAutospacing="1" w:after="100" w:afterAutospacing="1" w:line="360" w:lineRule="auto"/>
        <w:jc w:val="both"/>
        <w:rPr>
          <w:rFonts w:asciiTheme="majorBidi" w:eastAsia="Times New Roman" w:hAnsiTheme="majorBidi" w:cstheme="majorBidi"/>
          <w:lang w:eastAsia="fr-FR"/>
        </w:rPr>
      </w:pPr>
      <w:r w:rsidRPr="006D5A58">
        <w:rPr>
          <w:rFonts w:asciiTheme="majorBidi" w:eastAsia="Times New Roman" w:hAnsiTheme="majorBidi" w:cstheme="majorBidi"/>
          <w:b/>
          <w:bCs/>
          <w:lang w:eastAsia="fr-FR"/>
        </w:rPr>
        <w:t>La disponibilité réduite de certains interlocuteurs clés</w:t>
      </w:r>
      <w:r w:rsidRPr="006D5A58">
        <w:rPr>
          <w:rFonts w:asciiTheme="majorBidi" w:eastAsia="Times New Roman" w:hAnsiTheme="majorBidi" w:cstheme="majorBidi"/>
          <w:lang w:eastAsia="fr-FR"/>
        </w:rPr>
        <w:t>, du fait de la charge de travail ou des contraintes hiérarchiques, ce qui a parfois ralenti le recueil d’informations qualitatives ;</w:t>
      </w:r>
    </w:p>
    <w:p w14:paraId="514F605D" w14:textId="77777777" w:rsidR="00E05C71" w:rsidRPr="006D5A58" w:rsidRDefault="00E05C71" w:rsidP="00C13671">
      <w:pPr>
        <w:numPr>
          <w:ilvl w:val="0"/>
          <w:numId w:val="5"/>
        </w:numPr>
        <w:spacing w:before="100" w:beforeAutospacing="1" w:after="100" w:afterAutospacing="1" w:line="360" w:lineRule="auto"/>
        <w:jc w:val="both"/>
        <w:rPr>
          <w:rFonts w:asciiTheme="majorBidi" w:eastAsia="Times New Roman" w:hAnsiTheme="majorBidi" w:cstheme="majorBidi"/>
          <w:lang w:eastAsia="fr-FR"/>
        </w:rPr>
      </w:pPr>
      <w:r w:rsidRPr="006D5A58">
        <w:rPr>
          <w:rFonts w:asciiTheme="majorBidi" w:eastAsia="Times New Roman" w:hAnsiTheme="majorBidi" w:cstheme="majorBidi"/>
          <w:b/>
          <w:bCs/>
          <w:lang w:eastAsia="fr-FR"/>
        </w:rPr>
        <w:t>La complexité technique du système Oracle</w:t>
      </w:r>
      <w:r w:rsidRPr="006D5A58">
        <w:rPr>
          <w:rFonts w:asciiTheme="majorBidi" w:eastAsia="Times New Roman" w:hAnsiTheme="majorBidi" w:cstheme="majorBidi"/>
          <w:lang w:eastAsia="fr-FR"/>
        </w:rPr>
        <w:t>, dont la maîtrise nécessite un certain temps d’adaptation, en particulier pour accéder aux états de suivi budgétaire ou interpréter correctement les données extraites ;</w:t>
      </w:r>
    </w:p>
    <w:p w14:paraId="6D30A739" w14:textId="77777777" w:rsidR="00E05C71" w:rsidRPr="006D5A58" w:rsidRDefault="00E05C71" w:rsidP="00C13671">
      <w:pPr>
        <w:numPr>
          <w:ilvl w:val="0"/>
          <w:numId w:val="5"/>
        </w:numPr>
        <w:spacing w:before="100" w:beforeAutospacing="1" w:after="100" w:afterAutospacing="1" w:line="360" w:lineRule="auto"/>
        <w:jc w:val="both"/>
        <w:rPr>
          <w:rFonts w:asciiTheme="majorBidi" w:eastAsia="Times New Roman" w:hAnsiTheme="majorBidi" w:cstheme="majorBidi"/>
          <w:lang w:eastAsia="fr-FR"/>
        </w:rPr>
      </w:pPr>
      <w:r w:rsidRPr="006D5A58">
        <w:rPr>
          <w:rFonts w:asciiTheme="majorBidi" w:eastAsia="Times New Roman" w:hAnsiTheme="majorBidi" w:cstheme="majorBidi"/>
          <w:b/>
          <w:bCs/>
          <w:lang w:eastAsia="fr-FR"/>
        </w:rPr>
        <w:t>Une documentation interne partiellement obsolète ou incomplète</w:t>
      </w:r>
      <w:r w:rsidRPr="006D5A58">
        <w:rPr>
          <w:rFonts w:asciiTheme="majorBidi" w:eastAsia="Times New Roman" w:hAnsiTheme="majorBidi" w:cstheme="majorBidi"/>
          <w:lang w:eastAsia="fr-FR"/>
        </w:rPr>
        <w:t>, nécessitant des recoupements avec d'autres sources pour valider certains éléments.</w:t>
      </w:r>
    </w:p>
    <w:p w14:paraId="7E8C34EF" w14:textId="77777777" w:rsidR="00E05C71" w:rsidRPr="006D5A58" w:rsidRDefault="00E05C71" w:rsidP="00AE3850">
      <w:pPr>
        <w:shd w:val="clear" w:color="auto" w:fill="FFFFFF"/>
        <w:spacing w:before="100" w:beforeAutospacing="1" w:after="100" w:afterAutospacing="1" w:line="360" w:lineRule="auto"/>
        <w:ind w:firstLine="360"/>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t>Malgré ces difficultés, l’ensemble des objectifs méthodologiques a pu être atteint, grâce à l’implication des encadrants sur le terrain et à la mobilisation des ressources disponibles</w:t>
      </w:r>
    </w:p>
    <w:p w14:paraId="1B9275FC" w14:textId="77777777" w:rsidR="000D40D6" w:rsidRDefault="000D40D6" w:rsidP="00AE3850">
      <w:pPr>
        <w:spacing w:line="360" w:lineRule="auto"/>
        <w:jc w:val="both"/>
        <w:rPr>
          <w:rFonts w:asciiTheme="majorBidi" w:eastAsia="Times New Roman" w:hAnsiTheme="majorBidi" w:cstheme="majorBidi"/>
          <w:kern w:val="0"/>
          <w14:ligatures w14:val="none"/>
        </w:rPr>
      </w:pPr>
      <w:r>
        <w:rPr>
          <w:rFonts w:asciiTheme="majorBidi" w:hAnsiTheme="majorBidi" w:cstheme="majorBidi"/>
        </w:rPr>
        <w:br w:type="page"/>
      </w:r>
    </w:p>
    <w:p w14:paraId="63D79F25" w14:textId="21A6EB02" w:rsidR="00E05C71" w:rsidRPr="00E05C71" w:rsidRDefault="00E05C71" w:rsidP="00AE3850">
      <w:pPr>
        <w:pStyle w:val="NormalWeb"/>
        <w:spacing w:line="360" w:lineRule="auto"/>
        <w:jc w:val="both"/>
        <w:rPr>
          <w:rFonts w:asciiTheme="majorBidi" w:hAnsiTheme="majorBidi" w:cstheme="majorBidi"/>
          <w:lang w:val="fr-FR"/>
        </w:rPr>
      </w:pPr>
      <w:r w:rsidRPr="00E05C71">
        <w:rPr>
          <w:rFonts w:asciiTheme="majorBidi" w:hAnsiTheme="majorBidi" w:cstheme="majorBidi"/>
          <w:lang w:val="fr-FR"/>
        </w:rPr>
        <w:lastRenderedPageBreak/>
        <w:t>Au cours de cette étude, plusieurs constats importants ont pu être établis :</w:t>
      </w:r>
    </w:p>
    <w:p w14:paraId="6201450D" w14:textId="77777777" w:rsidR="00E05C71" w:rsidRPr="00E05C71" w:rsidRDefault="00E05C71" w:rsidP="00C13671">
      <w:pPr>
        <w:pStyle w:val="NormalWeb"/>
        <w:numPr>
          <w:ilvl w:val="0"/>
          <w:numId w:val="7"/>
        </w:numPr>
        <w:spacing w:line="360" w:lineRule="auto"/>
        <w:jc w:val="both"/>
        <w:rPr>
          <w:rFonts w:asciiTheme="majorBidi" w:hAnsiTheme="majorBidi" w:cstheme="majorBidi"/>
          <w:lang w:val="fr-FR"/>
        </w:rPr>
      </w:pPr>
      <w:r w:rsidRPr="00E05C71">
        <w:rPr>
          <w:rFonts w:asciiTheme="majorBidi" w:hAnsiTheme="majorBidi" w:cstheme="majorBidi"/>
          <w:lang w:val="fr-FR"/>
        </w:rPr>
        <w:t>Le processus budgétaire à la DOT est formalisé et structuré autour des étapes classiques : prévision, budgétisation, exécution, suivi et contrôle. Des phases telles que l’engagement, la liquidation et l’ordonnancement sont clairement définies, ce qui contribue à une meilleure maîtrise des dépenses.</w:t>
      </w:r>
    </w:p>
    <w:p w14:paraId="65C2F22A" w14:textId="77777777" w:rsidR="00E05C71" w:rsidRPr="00E05C71" w:rsidRDefault="00E05C71" w:rsidP="00C13671">
      <w:pPr>
        <w:pStyle w:val="NormalWeb"/>
        <w:numPr>
          <w:ilvl w:val="0"/>
          <w:numId w:val="7"/>
        </w:numPr>
        <w:spacing w:line="360" w:lineRule="auto"/>
        <w:jc w:val="both"/>
        <w:rPr>
          <w:rFonts w:asciiTheme="majorBidi" w:hAnsiTheme="majorBidi" w:cstheme="majorBidi"/>
          <w:lang w:val="fr-FR"/>
        </w:rPr>
      </w:pPr>
      <w:r w:rsidRPr="00E05C71">
        <w:rPr>
          <w:rFonts w:asciiTheme="majorBidi" w:hAnsiTheme="majorBidi" w:cstheme="majorBidi"/>
          <w:lang w:val="fr-FR"/>
        </w:rPr>
        <w:t>Le système d’information Oracle Finance constitue une base technologique centrale pour la gestion budgétaire, bien qu’il présente certaines limites en termes d’ergonomie, de personnalisation des alertes et de compréhension pour les utilisateurs non spécialistes.</w:t>
      </w:r>
    </w:p>
    <w:p w14:paraId="02D12B6C" w14:textId="77777777" w:rsidR="00E05C71" w:rsidRPr="00E05C71" w:rsidRDefault="00E05C71" w:rsidP="00C13671">
      <w:pPr>
        <w:pStyle w:val="NormalWeb"/>
        <w:numPr>
          <w:ilvl w:val="0"/>
          <w:numId w:val="7"/>
        </w:numPr>
        <w:spacing w:line="360" w:lineRule="auto"/>
        <w:jc w:val="both"/>
        <w:rPr>
          <w:rFonts w:asciiTheme="majorBidi" w:hAnsiTheme="majorBidi" w:cstheme="majorBidi"/>
          <w:lang w:val="fr-FR"/>
        </w:rPr>
      </w:pPr>
      <w:r w:rsidRPr="00E05C71">
        <w:rPr>
          <w:rFonts w:asciiTheme="majorBidi" w:hAnsiTheme="majorBidi" w:cstheme="majorBidi"/>
          <w:lang w:val="fr-FR"/>
        </w:rPr>
        <w:t>Des dysfonctionnements persistent dans la gestion quotidienne, notamment des engagements qui ne correspondent pas toujours aux prévisions initiales, des réaménagements réalisés sans validation formelle, ou encore une confusion entre engagements et prévisions budgétaires.</w:t>
      </w:r>
    </w:p>
    <w:p w14:paraId="2D7B92DF" w14:textId="77777777" w:rsidR="00E05C71" w:rsidRPr="00E05C71" w:rsidRDefault="00E05C71" w:rsidP="00C13671">
      <w:pPr>
        <w:pStyle w:val="NormalWeb"/>
        <w:numPr>
          <w:ilvl w:val="0"/>
          <w:numId w:val="7"/>
        </w:numPr>
        <w:spacing w:line="360" w:lineRule="auto"/>
        <w:jc w:val="both"/>
        <w:rPr>
          <w:rFonts w:asciiTheme="majorBidi" w:hAnsiTheme="majorBidi" w:cstheme="majorBidi"/>
          <w:lang w:val="fr-FR"/>
        </w:rPr>
      </w:pPr>
      <w:r w:rsidRPr="00E05C71">
        <w:rPr>
          <w:rFonts w:asciiTheme="majorBidi" w:hAnsiTheme="majorBidi" w:cstheme="majorBidi"/>
          <w:lang w:val="fr-FR"/>
        </w:rPr>
        <w:t>En dépit de ces difficultés, la volonté d'amélioration est manifeste. Plusieurs pistes d’optimisation sont identifiables, telles qu’un meilleur usage du système Oracle, le renforcement des compétences des agents ou encore la coordination plus rigoureuse entre services.</w:t>
      </w:r>
    </w:p>
    <w:p w14:paraId="345792BD" w14:textId="0CE4F543" w:rsidR="00E05C71" w:rsidRPr="00E05C71" w:rsidRDefault="00E05C71" w:rsidP="00AE3850">
      <w:pPr>
        <w:pStyle w:val="NormalWeb"/>
        <w:spacing w:line="360" w:lineRule="auto"/>
        <w:ind w:firstLine="360"/>
        <w:jc w:val="both"/>
        <w:rPr>
          <w:rFonts w:asciiTheme="majorBidi" w:hAnsiTheme="majorBidi" w:cstheme="majorBidi"/>
          <w:lang w:val="fr-FR"/>
        </w:rPr>
      </w:pPr>
      <w:r w:rsidRPr="00E05C71">
        <w:rPr>
          <w:rFonts w:asciiTheme="majorBidi" w:hAnsiTheme="majorBidi" w:cstheme="majorBidi"/>
          <w:lang w:val="fr-FR"/>
        </w:rPr>
        <w:t>À l’issue de notre analyse, nous avons confronté les observations issues du terrain aux hypothèses formulées en début de recherche. Cela nous a permis d’évaluer la cohérence entre le cadre théorique et les pratiques réelles au sein de la DOT de Beni Messous. Les résultats obtenus peuvent être résumés comme suit :</w:t>
      </w:r>
    </w:p>
    <w:p w14:paraId="1EA52AF6" w14:textId="448FBBB4" w:rsidR="00E05C71" w:rsidRPr="00E05C71" w:rsidRDefault="00E05C71" w:rsidP="00AE3850">
      <w:pPr>
        <w:pStyle w:val="NormalWeb"/>
        <w:spacing w:line="360" w:lineRule="auto"/>
        <w:jc w:val="both"/>
        <w:rPr>
          <w:rFonts w:asciiTheme="majorBidi" w:hAnsiTheme="majorBidi" w:cstheme="majorBidi"/>
          <w:lang w:val="fr-FR"/>
        </w:rPr>
      </w:pPr>
      <w:r w:rsidRPr="00E05C71">
        <w:rPr>
          <w:rFonts w:asciiTheme="majorBidi" w:hAnsiTheme="majorBidi" w:cstheme="majorBidi"/>
          <w:lang w:val="fr-FR"/>
        </w:rPr>
        <w:t xml:space="preserve"> </w:t>
      </w:r>
      <w:r w:rsidRPr="00E05C71">
        <w:rPr>
          <w:rStyle w:val="lev"/>
          <w:rFonts w:asciiTheme="majorBidi" w:eastAsiaTheme="majorEastAsia" w:hAnsiTheme="majorBidi"/>
          <w:lang w:val="fr-FR"/>
        </w:rPr>
        <w:t>H1 – Mécanismes de soutien :</w:t>
      </w:r>
      <w:r w:rsidR="000D40D6">
        <w:rPr>
          <w:rFonts w:asciiTheme="majorBidi" w:hAnsiTheme="majorBidi" w:cstheme="majorBidi" w:hint="cs"/>
          <w:rtl/>
          <w:lang w:val="fr-FR"/>
        </w:rPr>
        <w:t xml:space="preserve"> </w:t>
      </w:r>
      <w:r w:rsidRPr="00E05C71">
        <w:rPr>
          <w:rFonts w:asciiTheme="majorBidi" w:hAnsiTheme="majorBidi" w:cstheme="majorBidi"/>
          <w:lang w:val="fr-FR"/>
        </w:rPr>
        <w:t xml:space="preserve">L’hypothèse est </w:t>
      </w:r>
      <w:r w:rsidRPr="00E05C71">
        <w:rPr>
          <w:rStyle w:val="lev"/>
          <w:rFonts w:asciiTheme="majorBidi" w:eastAsiaTheme="majorEastAsia" w:hAnsiTheme="majorBidi"/>
          <w:lang w:val="fr-FR"/>
        </w:rPr>
        <w:t>confirmée</w:t>
      </w:r>
      <w:r w:rsidRPr="00E05C71">
        <w:rPr>
          <w:rFonts w:asciiTheme="majorBidi" w:hAnsiTheme="majorBidi" w:cstheme="majorBidi"/>
          <w:lang w:val="fr-FR"/>
        </w:rPr>
        <w:t>. Le processus budgétaire à la DOT de Beni Messous est bien structuré en plusieurs phases (élaboration, exécution, suivi), ce qui permet un meilleur suivi des dépenses. Les étapes comme l’engagement, la liquidation et l’ordonnancement contribuent à une organisation plus claire et à une meilleure maîtrise des crédits.</w:t>
      </w:r>
    </w:p>
    <w:p w14:paraId="416DF217" w14:textId="58F0614B" w:rsidR="00E05C71" w:rsidRPr="00E05C71" w:rsidRDefault="00E05C71" w:rsidP="00AE3850">
      <w:pPr>
        <w:pStyle w:val="NormalWeb"/>
        <w:spacing w:line="360" w:lineRule="auto"/>
        <w:jc w:val="both"/>
        <w:rPr>
          <w:rFonts w:asciiTheme="majorBidi" w:hAnsiTheme="majorBidi" w:cstheme="majorBidi"/>
          <w:lang w:val="fr-FR"/>
        </w:rPr>
      </w:pPr>
      <w:r w:rsidRPr="00E05C71">
        <w:rPr>
          <w:rFonts w:asciiTheme="majorBidi" w:hAnsiTheme="majorBidi" w:cstheme="majorBidi"/>
          <w:lang w:val="fr-FR"/>
        </w:rPr>
        <w:t xml:space="preserve"> </w:t>
      </w:r>
      <w:r w:rsidRPr="00E05C71">
        <w:rPr>
          <w:rStyle w:val="lev"/>
          <w:rFonts w:asciiTheme="majorBidi" w:eastAsiaTheme="majorEastAsia" w:hAnsiTheme="majorBidi"/>
          <w:lang w:val="fr-FR"/>
        </w:rPr>
        <w:t>H2 – Outils numériques :</w:t>
      </w:r>
      <w:r w:rsidR="000D40D6">
        <w:rPr>
          <w:rFonts w:asciiTheme="majorBidi" w:hAnsiTheme="majorBidi" w:cstheme="majorBidi" w:hint="cs"/>
          <w:rtl/>
          <w:lang w:val="fr-FR"/>
        </w:rPr>
        <w:t xml:space="preserve"> </w:t>
      </w:r>
      <w:r w:rsidRPr="00E05C71">
        <w:rPr>
          <w:rFonts w:asciiTheme="majorBidi" w:hAnsiTheme="majorBidi" w:cstheme="majorBidi"/>
          <w:lang w:val="fr-FR"/>
        </w:rPr>
        <w:t xml:space="preserve">Cette hypothèse est </w:t>
      </w:r>
      <w:r w:rsidRPr="00E05C71">
        <w:rPr>
          <w:rStyle w:val="lev"/>
          <w:rFonts w:asciiTheme="majorBidi" w:eastAsiaTheme="majorEastAsia" w:hAnsiTheme="majorBidi"/>
          <w:lang w:val="fr-FR"/>
        </w:rPr>
        <w:t>partiellement confirmée</w:t>
      </w:r>
      <w:r w:rsidRPr="00E05C71">
        <w:rPr>
          <w:rFonts w:asciiTheme="majorBidi" w:hAnsiTheme="majorBidi" w:cstheme="majorBidi"/>
          <w:lang w:val="fr-FR"/>
        </w:rPr>
        <w:t xml:space="preserve">. Le système Oracle Finance facilite effectivement la traçabilité des opérations et la centralisation des données. Cependant, plusieurs insuffisances techniques limitent son efficacité complète : l’absence </w:t>
      </w:r>
      <w:r w:rsidRPr="00E05C71">
        <w:rPr>
          <w:rFonts w:asciiTheme="majorBidi" w:hAnsiTheme="majorBidi" w:cstheme="majorBidi"/>
          <w:lang w:val="fr-FR"/>
        </w:rPr>
        <w:lastRenderedPageBreak/>
        <w:t>d’alertes automatiques, la possibilité de créer des doublons, et une lecture parfois complexe pour les non-spécialistes.</w:t>
      </w:r>
    </w:p>
    <w:p w14:paraId="31ED2436" w14:textId="345C8198" w:rsidR="00E05C71" w:rsidRPr="00E05C71" w:rsidRDefault="00E05C71" w:rsidP="00AE3850">
      <w:pPr>
        <w:pStyle w:val="NormalWeb"/>
        <w:spacing w:line="360" w:lineRule="auto"/>
        <w:jc w:val="both"/>
        <w:rPr>
          <w:rFonts w:asciiTheme="majorBidi" w:hAnsiTheme="majorBidi" w:cstheme="majorBidi"/>
          <w:lang w:val="fr-FR"/>
        </w:rPr>
      </w:pPr>
      <w:r w:rsidRPr="00E05C71">
        <w:rPr>
          <w:rFonts w:asciiTheme="majorBidi" w:hAnsiTheme="majorBidi" w:cstheme="majorBidi"/>
          <w:lang w:val="fr-FR"/>
        </w:rPr>
        <w:t xml:space="preserve">  </w:t>
      </w:r>
      <w:r w:rsidRPr="00E05C71">
        <w:rPr>
          <w:rStyle w:val="lev"/>
          <w:rFonts w:asciiTheme="majorBidi" w:eastAsiaTheme="majorEastAsia" w:hAnsiTheme="majorBidi"/>
          <w:lang w:val="fr-FR"/>
        </w:rPr>
        <w:t>H3 – Sur les insuffisances :</w:t>
      </w:r>
      <w:r w:rsidR="000D40D6">
        <w:rPr>
          <w:rFonts w:asciiTheme="majorBidi" w:hAnsiTheme="majorBidi" w:cstheme="majorBidi" w:hint="cs"/>
          <w:rtl/>
          <w:lang w:val="fr-FR"/>
        </w:rPr>
        <w:t xml:space="preserve"> </w:t>
      </w:r>
      <w:r w:rsidRPr="00E05C71">
        <w:rPr>
          <w:rFonts w:asciiTheme="majorBidi" w:hAnsiTheme="majorBidi" w:cstheme="majorBidi"/>
          <w:lang w:val="fr-FR"/>
        </w:rPr>
        <w:t xml:space="preserve">Cette hypothèse est </w:t>
      </w:r>
      <w:r w:rsidRPr="00E05C71">
        <w:rPr>
          <w:rStyle w:val="lev"/>
          <w:rFonts w:asciiTheme="majorBidi" w:eastAsiaTheme="majorEastAsia" w:hAnsiTheme="majorBidi"/>
          <w:lang w:val="fr-FR"/>
        </w:rPr>
        <w:t>infirmée</w:t>
      </w:r>
      <w:r w:rsidRPr="00E05C71">
        <w:rPr>
          <w:rFonts w:asciiTheme="majorBidi" w:hAnsiTheme="majorBidi" w:cstheme="majorBidi"/>
          <w:lang w:val="fr-FR"/>
        </w:rPr>
        <w:t>. Contrairement à l’idée d’un processus sans faille, des problèmes importants ont été constatés : confusion entre engagements et prévisions, engagements excessifs, et réaménagements budgétaires réalisés sans validation par la Direction Générale. Ces éléments montrent que la gestion budgétaire n’est pas toujours conforme aux prévisions, et que le contrôle peut être contourné.</w:t>
      </w:r>
    </w:p>
    <w:p w14:paraId="71930CDF" w14:textId="6404C250" w:rsidR="00E05C71" w:rsidRPr="00E05C71" w:rsidRDefault="00E05C71" w:rsidP="00AE3850">
      <w:pPr>
        <w:pStyle w:val="NormalWeb"/>
        <w:spacing w:line="360" w:lineRule="auto"/>
        <w:jc w:val="both"/>
        <w:rPr>
          <w:rFonts w:asciiTheme="majorBidi" w:hAnsiTheme="majorBidi" w:cstheme="majorBidi"/>
          <w:lang w:val="fr-FR"/>
        </w:rPr>
      </w:pPr>
      <w:r w:rsidRPr="00E05C71">
        <w:rPr>
          <w:rFonts w:asciiTheme="majorBidi" w:hAnsiTheme="majorBidi" w:cstheme="majorBidi"/>
          <w:lang w:val="fr-FR"/>
        </w:rPr>
        <w:t xml:space="preserve"> </w:t>
      </w:r>
      <w:r w:rsidRPr="00E05C71">
        <w:rPr>
          <w:rStyle w:val="lev"/>
          <w:rFonts w:asciiTheme="majorBidi" w:eastAsiaTheme="majorEastAsia" w:hAnsiTheme="majorBidi"/>
          <w:lang w:val="fr-FR"/>
        </w:rPr>
        <w:t>H4 – Améliorations possibles :</w:t>
      </w:r>
      <w:r w:rsidR="000D40D6">
        <w:rPr>
          <w:rFonts w:asciiTheme="majorBidi" w:hAnsiTheme="majorBidi" w:cstheme="majorBidi" w:hint="cs"/>
          <w:rtl/>
          <w:lang w:val="fr-FR"/>
        </w:rPr>
        <w:t xml:space="preserve"> </w:t>
      </w:r>
      <w:r w:rsidRPr="00E05C71">
        <w:rPr>
          <w:rFonts w:asciiTheme="majorBidi" w:hAnsiTheme="majorBidi" w:cstheme="majorBidi"/>
          <w:lang w:val="fr-FR"/>
        </w:rPr>
        <w:t xml:space="preserve">Cette hypothèse est </w:t>
      </w:r>
      <w:r w:rsidRPr="00E05C71">
        <w:rPr>
          <w:rStyle w:val="lev"/>
          <w:rFonts w:asciiTheme="majorBidi" w:eastAsiaTheme="majorEastAsia" w:hAnsiTheme="majorBidi"/>
          <w:lang w:val="fr-FR"/>
        </w:rPr>
        <w:t>confirmée</w:t>
      </w:r>
      <w:r w:rsidRPr="00E05C71">
        <w:rPr>
          <w:rFonts w:asciiTheme="majorBidi" w:hAnsiTheme="majorBidi" w:cstheme="majorBidi"/>
          <w:lang w:val="fr-FR"/>
        </w:rPr>
        <w:t>. Des améliorations sont non seulement possibles mais nécessaires. Il est apparu que le renforcement des compétences des agents, une meilleure coordination entre les services, ainsi que l’optimisation de l’outil Oracle, permettraient d'améliorer le pilotage budgétaire de manière significative.</w:t>
      </w:r>
    </w:p>
    <w:p w14:paraId="0DD129FE" w14:textId="77777777" w:rsidR="00E05C71" w:rsidRPr="006D5A58" w:rsidRDefault="00E05C71" w:rsidP="00AE3850">
      <w:pPr>
        <w:spacing w:before="100" w:beforeAutospacing="1" w:after="100" w:afterAutospacing="1" w:line="360" w:lineRule="auto"/>
        <w:ind w:firstLine="360"/>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t>Face à ces constats, plusieurs recommandations ont été formulées dans une logique d’amélioration continue :</w:t>
      </w:r>
    </w:p>
    <w:p w14:paraId="2C44A2D5" w14:textId="77777777" w:rsidR="00E05C71" w:rsidRPr="006D5A58" w:rsidRDefault="00E05C71" w:rsidP="00C13671">
      <w:pPr>
        <w:numPr>
          <w:ilvl w:val="0"/>
          <w:numId w:val="6"/>
        </w:numPr>
        <w:spacing w:before="100" w:beforeAutospacing="1" w:after="100" w:afterAutospacing="1" w:line="360" w:lineRule="auto"/>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t>Comparer systématiquement les engagements aux réalisations effectives (et non seulement aux prévisions) afin d’identifier les écarts réels et non les écarts théoriques ;</w:t>
      </w:r>
    </w:p>
    <w:p w14:paraId="602789A3" w14:textId="77777777" w:rsidR="00E05C71" w:rsidRPr="006D5A58" w:rsidRDefault="00E05C71" w:rsidP="00C13671">
      <w:pPr>
        <w:numPr>
          <w:ilvl w:val="0"/>
          <w:numId w:val="6"/>
        </w:numPr>
        <w:spacing w:before="100" w:beforeAutospacing="1" w:after="100" w:afterAutospacing="1" w:line="360" w:lineRule="auto"/>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t>Renforcer les contrôles internes, en centralisant les réaménagements budgétaires au niveau de la Direction Générale ;</w:t>
      </w:r>
    </w:p>
    <w:p w14:paraId="67D81E42" w14:textId="77777777" w:rsidR="00E05C71" w:rsidRPr="006D5A58" w:rsidRDefault="00E05C71" w:rsidP="00C13671">
      <w:pPr>
        <w:numPr>
          <w:ilvl w:val="0"/>
          <w:numId w:val="6"/>
        </w:numPr>
        <w:spacing w:before="100" w:beforeAutospacing="1" w:after="100" w:afterAutospacing="1" w:line="360" w:lineRule="auto"/>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t>Ajouter dans Oracle des indicateurs visuels (codes couleurs, barres de progression, seuils critiques) pour faciliter la lecture et alerter en cas de dérive ;</w:t>
      </w:r>
    </w:p>
    <w:p w14:paraId="690DC754" w14:textId="77777777" w:rsidR="00E05C71" w:rsidRPr="006D5A58" w:rsidRDefault="00E05C71" w:rsidP="00C13671">
      <w:pPr>
        <w:numPr>
          <w:ilvl w:val="0"/>
          <w:numId w:val="6"/>
        </w:numPr>
        <w:spacing w:before="100" w:beforeAutospacing="1" w:after="100" w:afterAutospacing="1" w:line="360" w:lineRule="auto"/>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t>Développer un module complémentaire de suivi budgétaire interfacé avec Excel, permettant un tableau de bord partagé en temps réel ;</w:t>
      </w:r>
    </w:p>
    <w:p w14:paraId="50A4DD4C" w14:textId="77777777" w:rsidR="00E05C71" w:rsidRPr="006D5A58" w:rsidRDefault="00E05C71" w:rsidP="00C13671">
      <w:pPr>
        <w:numPr>
          <w:ilvl w:val="0"/>
          <w:numId w:val="6"/>
        </w:numPr>
        <w:spacing w:before="100" w:beforeAutospacing="1" w:after="100" w:afterAutospacing="1" w:line="360" w:lineRule="auto"/>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t>Améliorer la formation des agents sur la lecture des tableaux d’exécution et l’analyse des écarts, pour ancrer une véritable culture budgétaire.</w:t>
      </w:r>
    </w:p>
    <w:p w14:paraId="77FC36CA" w14:textId="6DA24F56" w:rsidR="00E05C71" w:rsidRPr="006D5A58" w:rsidRDefault="00E05C71" w:rsidP="00A27879">
      <w:pPr>
        <w:spacing w:before="100" w:beforeAutospacing="1" w:after="100" w:afterAutospacing="1" w:line="360" w:lineRule="auto"/>
        <w:ind w:firstLine="360"/>
        <w:jc w:val="both"/>
        <w:rPr>
          <w:rFonts w:asciiTheme="majorBidi" w:eastAsia="Times New Roman" w:hAnsiTheme="majorBidi" w:cstheme="majorBidi"/>
          <w:lang w:eastAsia="fr-FR"/>
        </w:rPr>
      </w:pPr>
      <w:r w:rsidRPr="006D5A58">
        <w:rPr>
          <w:rFonts w:asciiTheme="majorBidi" w:eastAsia="Times New Roman" w:hAnsiTheme="majorBidi" w:cstheme="majorBidi"/>
          <w:lang w:eastAsia="fr-FR"/>
        </w:rPr>
        <w:t>Ainsi, la gestion budgétaire à la DOT de Beni Messous constitue un outil structurant du contrôle de gestion, mais son efficacité dépend fortement des pratiques réelles, du niveau d’automatisation du système, et du respect des circuits de validation. Une meilleure coordination entre les services, une rigueur accrue dans l’exécution, et une modernisation des outils contribueraient à faire de ce dispositif un levier pleinement opérationnel au service de la performance publique.</w:t>
      </w:r>
    </w:p>
    <w:p w14:paraId="4BF908A4" w14:textId="77777777" w:rsidR="003924EB" w:rsidRPr="009132A6" w:rsidRDefault="003924EB" w:rsidP="00AE3850">
      <w:pPr>
        <w:spacing w:line="360" w:lineRule="auto"/>
        <w:jc w:val="both"/>
        <w:rPr>
          <w:rFonts w:asciiTheme="majorBidi" w:hAnsiTheme="majorBidi" w:cstheme="majorBidi"/>
          <w:lang w:eastAsia="fr-FR"/>
        </w:rPr>
        <w:sectPr w:rsidR="003924EB" w:rsidRPr="009132A6" w:rsidSect="001A4DD5">
          <w:headerReference w:type="default" r:id="rId43"/>
          <w:pgSz w:w="11906" w:h="16838"/>
          <w:pgMar w:top="1418" w:right="1134" w:bottom="1418" w:left="1701" w:header="709" w:footer="709" w:gutter="0"/>
          <w:cols w:space="708"/>
          <w:titlePg/>
          <w:docGrid w:linePitch="360"/>
        </w:sectPr>
      </w:pPr>
    </w:p>
    <w:p w14:paraId="7536A230" w14:textId="77777777" w:rsidR="003924EB" w:rsidRPr="009132A6" w:rsidRDefault="003924EB" w:rsidP="00AE3850">
      <w:pPr>
        <w:spacing w:line="360" w:lineRule="auto"/>
        <w:jc w:val="both"/>
        <w:rPr>
          <w:rFonts w:asciiTheme="majorBidi" w:hAnsiTheme="majorBidi" w:cstheme="majorBidi"/>
          <w:lang w:eastAsia="fr-FR"/>
        </w:rPr>
      </w:pPr>
    </w:p>
    <w:p w14:paraId="225FB519" w14:textId="77777777" w:rsidR="00472A5D" w:rsidRPr="009132A6" w:rsidRDefault="00472A5D" w:rsidP="00AE3850">
      <w:pPr>
        <w:pStyle w:val="Corpsdetexte"/>
        <w:spacing w:before="78" w:line="360" w:lineRule="auto"/>
        <w:ind w:right="110"/>
        <w:jc w:val="both"/>
        <w:rPr>
          <w:rFonts w:asciiTheme="majorBidi" w:hAnsiTheme="majorBidi" w:cstheme="majorBidi"/>
          <w:b/>
          <w:bCs/>
        </w:rPr>
      </w:pPr>
    </w:p>
    <w:p w14:paraId="5E70A77C" w14:textId="2D0CF721" w:rsidR="004F1096" w:rsidRPr="009132A6" w:rsidRDefault="003924EB" w:rsidP="00AE3850">
      <w:pPr>
        <w:spacing w:line="360" w:lineRule="auto"/>
        <w:jc w:val="both"/>
        <w:rPr>
          <w:rFonts w:asciiTheme="majorBidi" w:hAnsiTheme="majorBidi" w:cstheme="majorBidi"/>
        </w:rPr>
      </w:pPr>
      <w:r w:rsidRPr="009132A6">
        <w:rPr>
          <w:rFonts w:asciiTheme="majorBidi" w:hAnsiTheme="majorBidi" w:cstheme="majorBidi"/>
          <w:b/>
          <w:bCs/>
          <w:noProof/>
          <w:sz w:val="72"/>
          <w:szCs w:val="72"/>
          <w:lang w:eastAsia="fr-FR"/>
        </w:rPr>
        <mc:AlternateContent>
          <mc:Choice Requires="wps">
            <w:drawing>
              <wp:anchor distT="0" distB="0" distL="114300" distR="114300" simplePos="0" relativeHeight="251704320" behindDoc="0" locked="0" layoutInCell="1" allowOverlap="1" wp14:anchorId="65716C27" wp14:editId="5E37583F">
                <wp:simplePos x="0" y="0"/>
                <wp:positionH relativeFrom="page">
                  <wp:align>center</wp:align>
                </wp:positionH>
                <wp:positionV relativeFrom="paragraph">
                  <wp:posOffset>2625000</wp:posOffset>
                </wp:positionV>
                <wp:extent cx="4381500" cy="2355850"/>
                <wp:effectExtent l="19050" t="19050" r="19050" b="25400"/>
                <wp:wrapNone/>
                <wp:docPr id="54" name="Rectangle : coins arrondis 54"/>
                <wp:cNvGraphicFramePr/>
                <a:graphic xmlns:a="http://schemas.openxmlformats.org/drawingml/2006/main">
                  <a:graphicData uri="http://schemas.microsoft.com/office/word/2010/wordprocessingShape">
                    <wps:wsp>
                      <wps:cNvSpPr/>
                      <wps:spPr>
                        <a:xfrm>
                          <a:off x="0" y="0"/>
                          <a:ext cx="4381500" cy="2355850"/>
                        </a:xfrm>
                        <a:prstGeom prst="roundRect">
                          <a:avLst/>
                        </a:prstGeom>
                        <a:ln w="28575">
                          <a:solidFill>
                            <a:schemeClr val="tx2">
                              <a:lumMod val="25000"/>
                              <a:lumOff val="75000"/>
                            </a:schemeClr>
                          </a:solidFill>
                        </a:ln>
                      </wps:spPr>
                      <wps:style>
                        <a:lnRef idx="2">
                          <a:schemeClr val="dk1"/>
                        </a:lnRef>
                        <a:fillRef idx="1">
                          <a:schemeClr val="lt1"/>
                        </a:fillRef>
                        <a:effectRef idx="0">
                          <a:schemeClr val="dk1"/>
                        </a:effectRef>
                        <a:fontRef idx="minor">
                          <a:schemeClr val="dk1"/>
                        </a:fontRef>
                      </wps:style>
                      <wps:txbx>
                        <w:txbxContent>
                          <w:p w14:paraId="4EAA856D" w14:textId="667813E9" w:rsidR="00AB34B8" w:rsidRPr="00D20C71" w:rsidRDefault="00AB34B8" w:rsidP="003924EB">
                            <w:pPr>
                              <w:pStyle w:val="Titre1"/>
                              <w:jc w:val="center"/>
                              <w:rPr>
                                <w:rFonts w:asciiTheme="majorBidi" w:hAnsiTheme="majorBidi"/>
                                <w:b/>
                                <w:bCs/>
                                <w:color w:val="auto"/>
                                <w:sz w:val="48"/>
                                <w:szCs w:val="48"/>
                              </w:rPr>
                            </w:pPr>
                            <w:bookmarkStart w:id="194" w:name="_Toc198964997"/>
                            <w:bookmarkStart w:id="195" w:name="_Toc198966487"/>
                            <w:bookmarkStart w:id="196" w:name="_Toc199314478"/>
                            <w:bookmarkStart w:id="197" w:name="_Toc199314591"/>
                            <w:r>
                              <w:rPr>
                                <w:rFonts w:asciiTheme="majorBidi" w:hAnsiTheme="majorBidi"/>
                                <w:b/>
                                <w:bCs/>
                                <w:color w:val="auto"/>
                                <w:sz w:val="48"/>
                                <w:szCs w:val="48"/>
                              </w:rPr>
                              <w:t>BIBLIOGRAPHIE</w:t>
                            </w:r>
                            <w:bookmarkEnd w:id="194"/>
                            <w:bookmarkEnd w:id="195"/>
                            <w:bookmarkEnd w:id="196"/>
                            <w:bookmarkEnd w:id="197"/>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65716C27" id="Rectangle : coins arrondis 54" o:spid="_x0000_s1035" style="position:absolute;left:0;text-align:left;margin-left:0;margin-top:206.7pt;width:345pt;height:185.5pt;z-index:251704320;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" fillcolor="white [3201]" strokecolor="#a7caec [831]" strokeweight="2.25pt">
                <v:stroke joinstyle="miter"/>
                <v:textbox>
                  <w:txbxContent>
                    <w:p w14:paraId="4EAA856D" w14:textId="667813E9" w:rsidR="00771E97" w:rsidRPr="00D20C71" w:rsidRDefault="00771E97" w:rsidP="003924EB">
                      <w:pPr>
                        <w:pStyle w:val="Heading1"/>
                        <w:jc w:val="center"/>
                        <w:rPr>
                          <w:rFonts w:asciiTheme="majorBidi" w:hAnsiTheme="majorBidi"/>
                          <w:b/>
                          <w:bCs/>
                          <w:color w:val="auto"/>
                          <w:sz w:val="48"/>
                          <w:szCs w:val="48"/>
                        </w:rPr>
                      </w:pPr>
                      <w:bookmarkStart w:id="207" w:name="_Toc198964997"/>
                      <w:bookmarkStart w:id="208" w:name="_Toc198966487"/>
                      <w:bookmarkStart w:id="209" w:name="_Toc199314478"/>
                      <w:bookmarkStart w:id="210" w:name="_Toc199314591"/>
                      <w:r>
                        <w:rPr>
                          <w:rFonts w:asciiTheme="majorBidi" w:hAnsiTheme="majorBidi"/>
                          <w:b/>
                          <w:bCs/>
                          <w:color w:val="auto"/>
                          <w:sz w:val="48"/>
                          <w:szCs w:val="48"/>
                        </w:rPr>
                        <w:t>BIBLIOGRAPHIE</w:t>
                      </w:r>
                      <w:bookmarkEnd w:id="207"/>
                      <w:bookmarkEnd w:id="208"/>
                      <w:bookmarkEnd w:id="209"/>
                      <w:bookmarkEnd w:id="210"/>
                    </w:p>
                  </w:txbxContent>
                </v:textbox>
                <w10:wrap anchorx="page"/>
              </v:roundrect>
            </w:pict>
          </mc:Fallback>
        </mc:AlternateContent>
      </w:r>
    </w:p>
    <w:p w14:paraId="7998C6B8" w14:textId="77777777" w:rsidR="003924EB" w:rsidRPr="009132A6" w:rsidRDefault="003924EB" w:rsidP="00AE3850">
      <w:pPr>
        <w:spacing w:line="360" w:lineRule="auto"/>
        <w:jc w:val="both"/>
        <w:rPr>
          <w:rFonts w:asciiTheme="majorBidi" w:hAnsiTheme="majorBidi" w:cstheme="majorBidi"/>
        </w:rPr>
      </w:pPr>
    </w:p>
    <w:p w14:paraId="7BE1F98D" w14:textId="77777777" w:rsidR="003924EB" w:rsidRPr="009132A6" w:rsidRDefault="003924EB" w:rsidP="00AE3850">
      <w:pPr>
        <w:spacing w:line="360" w:lineRule="auto"/>
        <w:jc w:val="both"/>
        <w:rPr>
          <w:rFonts w:asciiTheme="majorBidi" w:hAnsiTheme="majorBidi" w:cstheme="majorBidi"/>
        </w:rPr>
      </w:pPr>
    </w:p>
    <w:p w14:paraId="66FE2D1A" w14:textId="77777777" w:rsidR="003924EB" w:rsidRPr="009132A6" w:rsidRDefault="003924EB" w:rsidP="00AE3850">
      <w:pPr>
        <w:spacing w:line="360" w:lineRule="auto"/>
        <w:jc w:val="both"/>
        <w:rPr>
          <w:rFonts w:asciiTheme="majorBidi" w:hAnsiTheme="majorBidi" w:cstheme="majorBidi"/>
        </w:rPr>
      </w:pPr>
    </w:p>
    <w:p w14:paraId="07DAF175" w14:textId="77777777" w:rsidR="003924EB" w:rsidRPr="009132A6" w:rsidRDefault="003924EB" w:rsidP="00AE3850">
      <w:pPr>
        <w:spacing w:line="360" w:lineRule="auto"/>
        <w:jc w:val="both"/>
        <w:rPr>
          <w:rFonts w:asciiTheme="majorBidi" w:hAnsiTheme="majorBidi" w:cstheme="majorBidi"/>
        </w:rPr>
      </w:pPr>
    </w:p>
    <w:p w14:paraId="10A16CE7" w14:textId="77777777" w:rsidR="003924EB" w:rsidRPr="009132A6" w:rsidRDefault="003924EB" w:rsidP="00AE3850">
      <w:pPr>
        <w:spacing w:line="360" w:lineRule="auto"/>
        <w:jc w:val="both"/>
        <w:rPr>
          <w:rFonts w:asciiTheme="majorBidi" w:hAnsiTheme="majorBidi" w:cstheme="majorBidi"/>
        </w:rPr>
      </w:pPr>
    </w:p>
    <w:p w14:paraId="4F2E3FFC" w14:textId="77777777" w:rsidR="003924EB" w:rsidRPr="009132A6" w:rsidRDefault="003924EB" w:rsidP="00AE3850">
      <w:pPr>
        <w:spacing w:line="360" w:lineRule="auto"/>
        <w:jc w:val="both"/>
        <w:rPr>
          <w:rFonts w:asciiTheme="majorBidi" w:hAnsiTheme="majorBidi" w:cstheme="majorBidi"/>
        </w:rPr>
      </w:pPr>
    </w:p>
    <w:p w14:paraId="533FC960" w14:textId="77777777" w:rsidR="003924EB" w:rsidRPr="009132A6" w:rsidRDefault="003924EB" w:rsidP="00AE3850">
      <w:pPr>
        <w:spacing w:line="360" w:lineRule="auto"/>
        <w:jc w:val="both"/>
        <w:rPr>
          <w:rFonts w:asciiTheme="majorBidi" w:hAnsiTheme="majorBidi" w:cstheme="majorBidi"/>
        </w:rPr>
      </w:pPr>
    </w:p>
    <w:p w14:paraId="699464FB" w14:textId="77777777" w:rsidR="003924EB" w:rsidRPr="009132A6" w:rsidRDefault="003924EB" w:rsidP="00AE3850">
      <w:pPr>
        <w:spacing w:line="360" w:lineRule="auto"/>
        <w:jc w:val="both"/>
        <w:rPr>
          <w:rFonts w:asciiTheme="majorBidi" w:hAnsiTheme="majorBidi" w:cstheme="majorBidi"/>
        </w:rPr>
      </w:pPr>
    </w:p>
    <w:p w14:paraId="0A43ACC5" w14:textId="77777777" w:rsidR="003924EB" w:rsidRPr="009132A6" w:rsidRDefault="003924EB" w:rsidP="00AE3850">
      <w:pPr>
        <w:spacing w:line="360" w:lineRule="auto"/>
        <w:jc w:val="both"/>
        <w:rPr>
          <w:rFonts w:asciiTheme="majorBidi" w:hAnsiTheme="majorBidi" w:cstheme="majorBidi"/>
        </w:rPr>
      </w:pPr>
    </w:p>
    <w:p w14:paraId="14BA5289" w14:textId="77777777" w:rsidR="003924EB" w:rsidRPr="009132A6" w:rsidRDefault="003924EB" w:rsidP="00AE3850">
      <w:pPr>
        <w:spacing w:line="360" w:lineRule="auto"/>
        <w:jc w:val="both"/>
        <w:rPr>
          <w:rFonts w:asciiTheme="majorBidi" w:hAnsiTheme="majorBidi" w:cstheme="majorBidi"/>
        </w:rPr>
      </w:pPr>
    </w:p>
    <w:p w14:paraId="6A76B442" w14:textId="77777777" w:rsidR="003924EB" w:rsidRPr="009132A6" w:rsidRDefault="003924EB" w:rsidP="00AE3850">
      <w:pPr>
        <w:spacing w:line="360" w:lineRule="auto"/>
        <w:jc w:val="both"/>
        <w:rPr>
          <w:rFonts w:asciiTheme="majorBidi" w:hAnsiTheme="majorBidi" w:cstheme="majorBidi"/>
        </w:rPr>
      </w:pPr>
    </w:p>
    <w:p w14:paraId="5E485EE6" w14:textId="77777777" w:rsidR="003924EB" w:rsidRPr="009132A6" w:rsidRDefault="003924EB" w:rsidP="00AE3850">
      <w:pPr>
        <w:spacing w:line="360" w:lineRule="auto"/>
        <w:jc w:val="both"/>
        <w:rPr>
          <w:rFonts w:asciiTheme="majorBidi" w:hAnsiTheme="majorBidi" w:cstheme="majorBidi"/>
        </w:rPr>
      </w:pPr>
    </w:p>
    <w:p w14:paraId="19F153B1" w14:textId="77777777" w:rsidR="003924EB" w:rsidRPr="009132A6" w:rsidRDefault="003924EB" w:rsidP="00AE3850">
      <w:pPr>
        <w:spacing w:line="360" w:lineRule="auto"/>
        <w:jc w:val="both"/>
        <w:rPr>
          <w:rFonts w:asciiTheme="majorBidi" w:hAnsiTheme="majorBidi" w:cstheme="majorBidi"/>
        </w:rPr>
      </w:pPr>
    </w:p>
    <w:p w14:paraId="40A183F7" w14:textId="77777777" w:rsidR="003924EB" w:rsidRPr="009132A6" w:rsidRDefault="003924EB" w:rsidP="00AE3850">
      <w:pPr>
        <w:spacing w:line="360" w:lineRule="auto"/>
        <w:jc w:val="both"/>
        <w:rPr>
          <w:rFonts w:asciiTheme="majorBidi" w:hAnsiTheme="majorBidi" w:cstheme="majorBidi"/>
        </w:rPr>
      </w:pPr>
    </w:p>
    <w:p w14:paraId="1C83977D" w14:textId="77777777" w:rsidR="003924EB" w:rsidRPr="009132A6" w:rsidRDefault="003924EB" w:rsidP="00AE3850">
      <w:pPr>
        <w:spacing w:line="360" w:lineRule="auto"/>
        <w:jc w:val="both"/>
        <w:rPr>
          <w:rFonts w:asciiTheme="majorBidi" w:hAnsiTheme="majorBidi" w:cstheme="majorBidi"/>
        </w:rPr>
      </w:pPr>
    </w:p>
    <w:p w14:paraId="565DB13C" w14:textId="77777777" w:rsidR="003924EB" w:rsidRPr="009132A6" w:rsidRDefault="003924EB" w:rsidP="00AE3850">
      <w:pPr>
        <w:spacing w:line="360" w:lineRule="auto"/>
        <w:jc w:val="both"/>
        <w:rPr>
          <w:rFonts w:asciiTheme="majorBidi" w:hAnsiTheme="majorBidi" w:cstheme="majorBidi"/>
        </w:rPr>
      </w:pPr>
    </w:p>
    <w:p w14:paraId="3B4F4679" w14:textId="77777777" w:rsidR="003924EB" w:rsidRPr="009132A6" w:rsidRDefault="003924EB" w:rsidP="00AE3850">
      <w:pPr>
        <w:spacing w:line="360" w:lineRule="auto"/>
        <w:jc w:val="both"/>
        <w:rPr>
          <w:rFonts w:asciiTheme="majorBidi" w:hAnsiTheme="majorBidi" w:cstheme="majorBidi"/>
        </w:rPr>
      </w:pPr>
    </w:p>
    <w:p w14:paraId="5EBD5E3F" w14:textId="77777777" w:rsidR="003924EB" w:rsidRPr="009132A6" w:rsidRDefault="003924EB" w:rsidP="00AE3850">
      <w:pPr>
        <w:spacing w:line="360" w:lineRule="auto"/>
        <w:jc w:val="both"/>
        <w:rPr>
          <w:rFonts w:asciiTheme="majorBidi" w:hAnsiTheme="majorBidi" w:cstheme="majorBidi"/>
        </w:rPr>
      </w:pPr>
    </w:p>
    <w:p w14:paraId="1909AAEE" w14:textId="77777777" w:rsidR="003924EB" w:rsidRPr="009132A6" w:rsidRDefault="003924EB" w:rsidP="00AE3850">
      <w:pPr>
        <w:spacing w:line="360" w:lineRule="auto"/>
        <w:jc w:val="both"/>
        <w:rPr>
          <w:rFonts w:asciiTheme="majorBidi" w:hAnsiTheme="majorBidi" w:cstheme="majorBidi"/>
        </w:rPr>
      </w:pPr>
    </w:p>
    <w:p w14:paraId="49EB5465" w14:textId="64118387" w:rsidR="003924EB" w:rsidRPr="009132A6" w:rsidRDefault="003924EB" w:rsidP="00AE3850">
      <w:pPr>
        <w:tabs>
          <w:tab w:val="left" w:pos="1491"/>
        </w:tabs>
        <w:spacing w:line="360" w:lineRule="auto"/>
        <w:jc w:val="both"/>
        <w:rPr>
          <w:rFonts w:asciiTheme="majorBidi" w:hAnsiTheme="majorBidi" w:cstheme="majorBidi"/>
        </w:rPr>
      </w:pPr>
      <w:r w:rsidRPr="009132A6">
        <w:rPr>
          <w:rFonts w:asciiTheme="majorBidi" w:hAnsiTheme="majorBidi" w:cstheme="majorBidi"/>
        </w:rPr>
        <w:tab/>
      </w:r>
    </w:p>
    <w:p w14:paraId="628C3E82" w14:textId="77777777" w:rsidR="00E351AE" w:rsidRPr="00696967" w:rsidRDefault="00171D70" w:rsidP="00E351AE">
      <w:pPr>
        <w:spacing w:before="100" w:beforeAutospacing="1" w:after="100" w:afterAutospacing="1" w:line="360" w:lineRule="auto"/>
        <w:outlineLvl w:val="2"/>
        <w:rPr>
          <w:rFonts w:ascii="Times New Roman" w:eastAsia="Times New Roman" w:hAnsi="Times New Roman" w:cs="Times New Roman"/>
          <w:b/>
          <w:bCs/>
          <w:sz w:val="27"/>
          <w:szCs w:val="27"/>
          <w:lang w:eastAsia="fr-FR"/>
        </w:rPr>
      </w:pPr>
      <w:r w:rsidRPr="00171D70">
        <w:rPr>
          <w:rFonts w:asciiTheme="majorBidi" w:hAnsiTheme="majorBidi" w:cstheme="majorBidi"/>
        </w:rPr>
        <w:br w:type="page"/>
      </w:r>
      <w:r w:rsidR="00E351AE" w:rsidRPr="00710CF1">
        <w:rPr>
          <w:rFonts w:ascii="Times New Roman" w:eastAsia="Times New Roman" w:hAnsi="Times New Roman" w:cs="Times New Roman"/>
          <w:b/>
          <w:bCs/>
          <w:sz w:val="27"/>
          <w:szCs w:val="27"/>
          <w:lang w:eastAsia="fr-FR"/>
        </w:rPr>
        <w:lastRenderedPageBreak/>
        <w:t>Ouvrages</w:t>
      </w:r>
    </w:p>
    <w:p w14:paraId="3946FE95"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ALAZARD Claude et SÉPARI Sabine, </w:t>
      </w:r>
      <w:r w:rsidRPr="00710CF1">
        <w:rPr>
          <w:rFonts w:ascii="Times New Roman" w:eastAsia="Times New Roman" w:hAnsi="Times New Roman" w:cs="Times New Roman"/>
          <w:lang w:eastAsia="fr-FR"/>
        </w:rPr>
        <w:t>Contrôle de gestion : manuel et applications</w:t>
      </w:r>
      <w:r w:rsidRPr="00696967">
        <w:rPr>
          <w:rFonts w:ascii="Times New Roman" w:eastAsia="Times New Roman" w:hAnsi="Times New Roman" w:cs="Times New Roman"/>
          <w:lang w:eastAsia="fr-FR"/>
        </w:rPr>
        <w:t>, 5ᵉ édition, DUNOD, Paris, 2018.</w:t>
      </w:r>
    </w:p>
    <w:p w14:paraId="73A16F8B"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AUGÉ Bernard et NARO Gérald, </w:t>
      </w:r>
      <w:r w:rsidRPr="00710CF1">
        <w:rPr>
          <w:rFonts w:ascii="Times New Roman" w:eastAsia="Times New Roman" w:hAnsi="Times New Roman" w:cs="Times New Roman"/>
          <w:lang w:eastAsia="fr-FR"/>
        </w:rPr>
        <w:t>Mini manuel de contrôle de gestion : cours et QCM/QROC</w:t>
      </w:r>
      <w:r w:rsidRPr="00696967">
        <w:rPr>
          <w:rFonts w:ascii="Times New Roman" w:eastAsia="Times New Roman" w:hAnsi="Times New Roman" w:cs="Times New Roman"/>
          <w:lang w:eastAsia="fr-FR"/>
        </w:rPr>
        <w:t>, DUNOD, Paris, 2011.</w:t>
      </w:r>
    </w:p>
    <w:p w14:paraId="13412A66"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BOUQUIN Henri, </w:t>
      </w:r>
      <w:r w:rsidRPr="00710CF1">
        <w:rPr>
          <w:rFonts w:ascii="Times New Roman" w:eastAsia="Times New Roman" w:hAnsi="Times New Roman" w:cs="Times New Roman"/>
          <w:lang w:eastAsia="fr-FR"/>
        </w:rPr>
        <w:t>Les fondements du contrôle de gestion</w:t>
      </w:r>
      <w:r w:rsidRPr="00696967">
        <w:rPr>
          <w:rFonts w:ascii="Times New Roman" w:eastAsia="Times New Roman" w:hAnsi="Times New Roman" w:cs="Times New Roman"/>
          <w:lang w:eastAsia="fr-FR"/>
        </w:rPr>
        <w:t>, Presse Universitaire de France, collection « Que sais-je ? », Paris, 1994.</w:t>
      </w:r>
    </w:p>
    <w:p w14:paraId="46044B1E"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BOUQUIN Henri, </w:t>
      </w:r>
      <w:r w:rsidRPr="00710CF1">
        <w:rPr>
          <w:rFonts w:ascii="Times New Roman" w:eastAsia="Times New Roman" w:hAnsi="Times New Roman" w:cs="Times New Roman"/>
          <w:lang w:eastAsia="fr-FR"/>
        </w:rPr>
        <w:t>Le contrôle de gestion</w:t>
      </w:r>
      <w:r w:rsidRPr="00696967">
        <w:rPr>
          <w:rFonts w:ascii="Times New Roman" w:eastAsia="Times New Roman" w:hAnsi="Times New Roman" w:cs="Times New Roman"/>
          <w:lang w:eastAsia="fr-FR"/>
        </w:rPr>
        <w:t>, Time Édition, Presse Universitaire de France, Paris, 2006.</w:t>
      </w:r>
    </w:p>
    <w:p w14:paraId="2DC2A35A"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BOUQUIN Henri, </w:t>
      </w:r>
      <w:r w:rsidRPr="00710CF1">
        <w:rPr>
          <w:rFonts w:ascii="Times New Roman" w:eastAsia="Times New Roman" w:hAnsi="Times New Roman" w:cs="Times New Roman"/>
          <w:lang w:eastAsia="fr-FR"/>
        </w:rPr>
        <w:t>La maîtrise des budgets dans l’entreprise</w:t>
      </w:r>
      <w:r w:rsidRPr="00696967">
        <w:rPr>
          <w:rFonts w:ascii="Times New Roman" w:eastAsia="Times New Roman" w:hAnsi="Times New Roman" w:cs="Times New Roman"/>
          <w:lang w:eastAsia="fr-FR"/>
        </w:rPr>
        <w:t>, EDICEF, Paris, 1992.</w:t>
      </w:r>
    </w:p>
    <w:p w14:paraId="1F018B4A"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BOU YAKOUB Farouk, </w:t>
      </w:r>
      <w:r w:rsidRPr="00710CF1">
        <w:rPr>
          <w:rFonts w:ascii="Times New Roman" w:eastAsia="Times New Roman" w:hAnsi="Times New Roman" w:cs="Times New Roman"/>
          <w:lang w:eastAsia="fr-FR"/>
        </w:rPr>
        <w:t>L’entreprise et financement bancaire</w:t>
      </w:r>
      <w:r w:rsidRPr="00696967">
        <w:rPr>
          <w:rFonts w:ascii="Times New Roman" w:eastAsia="Times New Roman" w:hAnsi="Times New Roman" w:cs="Times New Roman"/>
          <w:lang w:eastAsia="fr-FR"/>
        </w:rPr>
        <w:t>, Éditions CASABAH, 2005.</w:t>
      </w:r>
    </w:p>
    <w:p w14:paraId="19495653"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CAPPELLETTI Laurent, BARON Philippe, DESMAISON Gérard, RIBOLLET François-Xavier, </w:t>
      </w:r>
      <w:r w:rsidRPr="00710CF1">
        <w:rPr>
          <w:rFonts w:ascii="Times New Roman" w:eastAsia="Times New Roman" w:hAnsi="Times New Roman" w:cs="Times New Roman"/>
          <w:lang w:eastAsia="fr-FR"/>
        </w:rPr>
        <w:t>Le contrôle de gestion</w:t>
      </w:r>
      <w:r w:rsidRPr="00696967">
        <w:rPr>
          <w:rFonts w:ascii="Times New Roman" w:eastAsia="Times New Roman" w:hAnsi="Times New Roman" w:cs="Times New Roman"/>
          <w:lang w:eastAsia="fr-FR"/>
        </w:rPr>
        <w:t>, DUNOD, Paris, 2007.</w:t>
      </w:r>
    </w:p>
    <w:p w14:paraId="2D8169B9"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DEPALLENS Georges, </w:t>
      </w:r>
      <w:r w:rsidRPr="00710CF1">
        <w:rPr>
          <w:rFonts w:ascii="Times New Roman" w:eastAsia="Times New Roman" w:hAnsi="Times New Roman" w:cs="Times New Roman"/>
          <w:lang w:eastAsia="fr-FR"/>
        </w:rPr>
        <w:t>Gestion financière de l’entreprise</w:t>
      </w:r>
      <w:r w:rsidRPr="00696967">
        <w:rPr>
          <w:rFonts w:ascii="Times New Roman" w:eastAsia="Times New Roman" w:hAnsi="Times New Roman" w:cs="Times New Roman"/>
          <w:lang w:eastAsia="fr-FR"/>
        </w:rPr>
        <w:t>, 4ᵉ édition, SIREY, Paris, 1971.</w:t>
      </w:r>
    </w:p>
    <w:p w14:paraId="58C1A131"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DORIATH Brigitte, </w:t>
      </w:r>
      <w:r w:rsidRPr="00710CF1">
        <w:rPr>
          <w:rFonts w:ascii="Times New Roman" w:eastAsia="Times New Roman" w:hAnsi="Times New Roman" w:cs="Times New Roman"/>
          <w:lang w:eastAsia="fr-FR"/>
        </w:rPr>
        <w:t>Gestion budgétaire</w:t>
      </w:r>
      <w:r w:rsidRPr="00696967">
        <w:rPr>
          <w:rFonts w:ascii="Times New Roman" w:eastAsia="Times New Roman" w:hAnsi="Times New Roman" w:cs="Times New Roman"/>
          <w:lang w:eastAsia="fr-FR"/>
        </w:rPr>
        <w:t>, 5ᵉ édition, DUNOD, Paris, 2008.</w:t>
      </w:r>
    </w:p>
    <w:p w14:paraId="1751BD7A"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DORIATH Brigitte, </w:t>
      </w:r>
      <w:r w:rsidRPr="00710CF1">
        <w:rPr>
          <w:rFonts w:ascii="Times New Roman" w:eastAsia="Times New Roman" w:hAnsi="Times New Roman" w:cs="Times New Roman"/>
          <w:lang w:eastAsia="fr-FR"/>
        </w:rPr>
        <w:t>Contrôle de gestion en 20 fiches</w:t>
      </w:r>
      <w:r w:rsidRPr="00696967">
        <w:rPr>
          <w:rFonts w:ascii="Times New Roman" w:eastAsia="Times New Roman" w:hAnsi="Times New Roman" w:cs="Times New Roman"/>
          <w:lang w:eastAsia="fr-FR"/>
        </w:rPr>
        <w:t>, 5ᵉ édition, DUNOD, Paris, 2008.</w:t>
      </w:r>
    </w:p>
    <w:p w14:paraId="35DEC1A5"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DORIATH Brigitte et GOUJET Christian, </w:t>
      </w:r>
      <w:r w:rsidRPr="00710CF1">
        <w:rPr>
          <w:rFonts w:ascii="Times New Roman" w:eastAsia="Times New Roman" w:hAnsi="Times New Roman" w:cs="Times New Roman"/>
          <w:lang w:eastAsia="fr-FR"/>
        </w:rPr>
        <w:t>Gestion prévisionnelle et mesure de la performance</w:t>
      </w:r>
      <w:r w:rsidRPr="00696967">
        <w:rPr>
          <w:rFonts w:ascii="Times New Roman" w:eastAsia="Times New Roman" w:hAnsi="Times New Roman" w:cs="Times New Roman"/>
          <w:lang w:eastAsia="fr-FR"/>
        </w:rPr>
        <w:t>, 3ᵉ édition, DUNOD, Paris, 2007.</w:t>
      </w:r>
    </w:p>
    <w:p w14:paraId="3DB7A5FE"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DORIATH Brigitte et GOUJET Christian, </w:t>
      </w:r>
      <w:r w:rsidRPr="00710CF1">
        <w:rPr>
          <w:rFonts w:ascii="Times New Roman" w:eastAsia="Times New Roman" w:hAnsi="Times New Roman" w:cs="Times New Roman"/>
          <w:lang w:eastAsia="fr-FR"/>
        </w:rPr>
        <w:t>Gestion prévisionnelle et mesure de la performance</w:t>
      </w:r>
      <w:r w:rsidRPr="00696967">
        <w:rPr>
          <w:rFonts w:ascii="Times New Roman" w:eastAsia="Times New Roman" w:hAnsi="Times New Roman" w:cs="Times New Roman"/>
          <w:lang w:eastAsia="fr-FR"/>
        </w:rPr>
        <w:t>, 3ᵉ édition, DUNOD, Paris, 2011.</w:t>
      </w:r>
    </w:p>
    <w:p w14:paraId="4967CCF3"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DURAND Xavier et HELLUY Alain, </w:t>
      </w:r>
      <w:r w:rsidRPr="00710CF1">
        <w:rPr>
          <w:rFonts w:ascii="Times New Roman" w:eastAsia="Times New Roman" w:hAnsi="Times New Roman" w:cs="Times New Roman"/>
          <w:lang w:eastAsia="fr-FR"/>
        </w:rPr>
        <w:t>Les fondamentaux du contrôle de gestion</w:t>
      </w:r>
      <w:r w:rsidRPr="00696967">
        <w:rPr>
          <w:rFonts w:ascii="Times New Roman" w:eastAsia="Times New Roman" w:hAnsi="Times New Roman" w:cs="Times New Roman"/>
          <w:lang w:eastAsia="fr-FR"/>
        </w:rPr>
        <w:t>, Éditions d’Organisation, Paris, 2009.</w:t>
      </w:r>
    </w:p>
    <w:p w14:paraId="2E2E71A7"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GERVAIS Michel, </w:t>
      </w:r>
      <w:r w:rsidRPr="00710CF1">
        <w:rPr>
          <w:rFonts w:ascii="Times New Roman" w:eastAsia="Times New Roman" w:hAnsi="Times New Roman" w:cs="Times New Roman"/>
          <w:lang w:eastAsia="fr-FR"/>
        </w:rPr>
        <w:t>Contrôle de gestion</w:t>
      </w:r>
      <w:r w:rsidRPr="00696967">
        <w:rPr>
          <w:rFonts w:ascii="Times New Roman" w:eastAsia="Times New Roman" w:hAnsi="Times New Roman" w:cs="Times New Roman"/>
          <w:lang w:eastAsia="fr-FR"/>
        </w:rPr>
        <w:t>, 9ᵉ édition, Économica, Paris, 2009.</w:t>
      </w:r>
    </w:p>
    <w:p w14:paraId="46CAD24F"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GERVAIS Michel, </w:t>
      </w:r>
      <w:r w:rsidRPr="00710CF1">
        <w:rPr>
          <w:rFonts w:ascii="Times New Roman" w:eastAsia="Times New Roman" w:hAnsi="Times New Roman" w:cs="Times New Roman"/>
          <w:lang w:eastAsia="fr-FR"/>
        </w:rPr>
        <w:t>Contrôle de gestion par le système budgétaire</w:t>
      </w:r>
      <w:r w:rsidRPr="00696967">
        <w:rPr>
          <w:rFonts w:ascii="Times New Roman" w:eastAsia="Times New Roman" w:hAnsi="Times New Roman" w:cs="Times New Roman"/>
          <w:lang w:eastAsia="fr-FR"/>
        </w:rPr>
        <w:t>, Vuibert, Paris, 1987.</w:t>
      </w:r>
    </w:p>
    <w:p w14:paraId="6DF2F4D7"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GRANDGUILLOT Béatrice et GRANDGUILLOT Francis, </w:t>
      </w:r>
      <w:r w:rsidRPr="00710CF1">
        <w:rPr>
          <w:rFonts w:ascii="Times New Roman" w:eastAsia="Times New Roman" w:hAnsi="Times New Roman" w:cs="Times New Roman"/>
          <w:lang w:eastAsia="fr-FR"/>
        </w:rPr>
        <w:t>L’essentiel du contrôle de gestion</w:t>
      </w:r>
      <w:r w:rsidRPr="00696967">
        <w:rPr>
          <w:rFonts w:ascii="Times New Roman" w:eastAsia="Times New Roman" w:hAnsi="Times New Roman" w:cs="Times New Roman"/>
          <w:lang w:eastAsia="fr-FR"/>
        </w:rPr>
        <w:t>, 9ᵉ édition, Gualino – Lextenso Éditions, 2015-2016.</w:t>
      </w:r>
    </w:p>
    <w:p w14:paraId="1CA7DBA3"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HAMINI Abdelkader, </w:t>
      </w:r>
      <w:r w:rsidRPr="00710CF1">
        <w:rPr>
          <w:rFonts w:ascii="Times New Roman" w:eastAsia="Times New Roman" w:hAnsi="Times New Roman" w:cs="Times New Roman"/>
          <w:lang w:eastAsia="fr-FR"/>
        </w:rPr>
        <w:t>Gestion budgétaire et comptabilité prévisionnelle</w:t>
      </w:r>
      <w:r w:rsidRPr="00696967">
        <w:rPr>
          <w:rFonts w:ascii="Times New Roman" w:eastAsia="Times New Roman" w:hAnsi="Times New Roman" w:cs="Times New Roman"/>
          <w:lang w:eastAsia="fr-FR"/>
        </w:rPr>
        <w:t>, Éditions BERTI, Alger, 2001.</w:t>
      </w:r>
    </w:p>
    <w:p w14:paraId="6EA1B5AF"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LAUZEL Pierre, </w:t>
      </w:r>
      <w:r w:rsidRPr="00710CF1">
        <w:rPr>
          <w:rFonts w:ascii="Times New Roman" w:eastAsia="Times New Roman" w:hAnsi="Times New Roman" w:cs="Times New Roman"/>
          <w:lang w:eastAsia="fr-FR"/>
        </w:rPr>
        <w:t>Comptabilité analytique</w:t>
      </w:r>
      <w:r w:rsidRPr="00696967">
        <w:rPr>
          <w:rFonts w:ascii="Times New Roman" w:eastAsia="Times New Roman" w:hAnsi="Times New Roman" w:cs="Times New Roman"/>
          <w:lang w:eastAsia="fr-FR"/>
        </w:rPr>
        <w:t>, SIREY, Paris, 1971.</w:t>
      </w:r>
    </w:p>
    <w:p w14:paraId="4CC3E0A0"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lastRenderedPageBreak/>
        <w:t xml:space="preserve">LEROY Michel, </w:t>
      </w:r>
      <w:r w:rsidRPr="00710CF1">
        <w:rPr>
          <w:rFonts w:ascii="Times New Roman" w:eastAsia="Times New Roman" w:hAnsi="Times New Roman" w:cs="Times New Roman"/>
          <w:lang w:eastAsia="fr-FR"/>
        </w:rPr>
        <w:t>Contrôle de gestion</w:t>
      </w:r>
      <w:r w:rsidRPr="00696967">
        <w:rPr>
          <w:rFonts w:ascii="Times New Roman" w:eastAsia="Times New Roman" w:hAnsi="Times New Roman" w:cs="Times New Roman"/>
          <w:lang w:eastAsia="fr-FR"/>
        </w:rPr>
        <w:t>, Éditions Francis Lefebvre – DUNOD, Malakoff, 2018.</w:t>
      </w:r>
    </w:p>
    <w:p w14:paraId="118D4341" w14:textId="77777777"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LONING Heinz et al., </w:t>
      </w:r>
      <w:r w:rsidRPr="00710CF1">
        <w:rPr>
          <w:rFonts w:ascii="Times New Roman" w:eastAsia="Times New Roman" w:hAnsi="Times New Roman" w:cs="Times New Roman"/>
          <w:lang w:eastAsia="fr-FR"/>
        </w:rPr>
        <w:t>Le contrôle de gestion : organisation, outils et pratiques</w:t>
      </w:r>
      <w:r w:rsidRPr="00696967">
        <w:rPr>
          <w:rFonts w:ascii="Times New Roman" w:eastAsia="Times New Roman" w:hAnsi="Times New Roman" w:cs="Times New Roman"/>
          <w:lang w:eastAsia="fr-FR"/>
        </w:rPr>
        <w:t>, DUNOD, Paris, 2008.</w:t>
      </w:r>
    </w:p>
    <w:p w14:paraId="55751680" w14:textId="1A3BD8FD" w:rsidR="00E351AE" w:rsidRPr="00696967" w:rsidRDefault="00E351AE" w:rsidP="00C13671">
      <w:pPr>
        <w:numPr>
          <w:ilvl w:val="0"/>
          <w:numId w:val="119"/>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MEYER Jean, </w:t>
      </w:r>
      <w:r w:rsidRPr="00710CF1">
        <w:rPr>
          <w:rFonts w:ascii="Times New Roman" w:eastAsia="Times New Roman" w:hAnsi="Times New Roman" w:cs="Times New Roman"/>
          <w:lang w:eastAsia="fr-FR"/>
        </w:rPr>
        <w:t>Gestion budgétaire</w:t>
      </w:r>
      <w:r w:rsidRPr="00696967">
        <w:rPr>
          <w:rFonts w:ascii="Times New Roman" w:eastAsia="Times New Roman" w:hAnsi="Times New Roman" w:cs="Times New Roman"/>
          <w:lang w:eastAsia="fr-FR"/>
        </w:rPr>
        <w:t>, 4ᵉ édition, DUNOD, Paris, 1970.</w:t>
      </w:r>
    </w:p>
    <w:p w14:paraId="07ED20DE" w14:textId="77777777" w:rsidR="00E351AE" w:rsidRPr="00696967" w:rsidRDefault="00E351AE" w:rsidP="00E351AE">
      <w:pPr>
        <w:spacing w:before="100" w:beforeAutospacing="1" w:after="100" w:afterAutospacing="1" w:line="360" w:lineRule="auto"/>
        <w:outlineLvl w:val="2"/>
        <w:rPr>
          <w:rFonts w:ascii="Times New Roman" w:eastAsia="Times New Roman" w:hAnsi="Times New Roman" w:cs="Times New Roman"/>
          <w:b/>
          <w:bCs/>
          <w:sz w:val="27"/>
          <w:szCs w:val="27"/>
          <w:lang w:eastAsia="fr-FR"/>
        </w:rPr>
      </w:pPr>
      <w:r w:rsidRPr="00710CF1">
        <w:rPr>
          <w:rFonts w:ascii="Times New Roman" w:eastAsia="Times New Roman" w:hAnsi="Times New Roman" w:cs="Times New Roman"/>
          <w:b/>
          <w:bCs/>
          <w:sz w:val="27"/>
          <w:szCs w:val="27"/>
          <w:lang w:eastAsia="fr-FR"/>
        </w:rPr>
        <w:t>Articles scientifiques</w:t>
      </w:r>
    </w:p>
    <w:p w14:paraId="2F129B7F" w14:textId="452FA9EA" w:rsidR="00E351AE" w:rsidRPr="00696967" w:rsidRDefault="00F41FC7" w:rsidP="00C13671">
      <w:pPr>
        <w:numPr>
          <w:ilvl w:val="0"/>
          <w:numId w:val="120"/>
        </w:numPr>
        <w:spacing w:before="100" w:beforeAutospacing="1" w:after="100" w:afterAutospacing="1" w:line="360" w:lineRule="auto"/>
        <w:rPr>
          <w:rFonts w:ascii="Times New Roman" w:eastAsia="Times New Roman" w:hAnsi="Times New Roman" w:cs="Times New Roman"/>
          <w:lang w:eastAsia="fr-FR"/>
        </w:rPr>
      </w:pPr>
      <w:r w:rsidRPr="00F41FC7">
        <w:rPr>
          <w:rStyle w:val="lev"/>
          <w:rFonts w:asciiTheme="majorBidi" w:hAnsiTheme="majorBidi" w:cstheme="majorBidi"/>
          <w:b w:val="0"/>
          <w:bCs w:val="0"/>
        </w:rPr>
        <w:t>Langlois R., Bonnier C., et Bringer J.</w:t>
      </w:r>
      <w:r w:rsidRPr="00F41FC7">
        <w:rPr>
          <w:rFonts w:asciiTheme="majorBidi" w:hAnsiTheme="majorBidi" w:cstheme="majorBidi"/>
          <w:b/>
          <w:bCs/>
        </w:rPr>
        <w:t xml:space="preserve"> </w:t>
      </w:r>
      <w:r w:rsidRPr="00F41FC7">
        <w:rPr>
          <w:rFonts w:asciiTheme="majorBidi" w:hAnsiTheme="majorBidi" w:cstheme="majorBidi"/>
        </w:rPr>
        <w:t xml:space="preserve">(1999), </w:t>
      </w:r>
      <w:r w:rsidRPr="00F41FC7">
        <w:rPr>
          <w:rStyle w:val="Accentuation"/>
          <w:rFonts w:asciiTheme="majorBidi" w:hAnsiTheme="majorBidi" w:cstheme="majorBidi"/>
        </w:rPr>
        <w:t>Le contrôle de gestion : fondements et pratiques</w:t>
      </w:r>
      <w:r w:rsidRPr="00F41FC7">
        <w:rPr>
          <w:rFonts w:asciiTheme="majorBidi" w:hAnsiTheme="majorBidi" w:cstheme="majorBidi"/>
        </w:rPr>
        <w:t>, Éditions Economica, Paris.</w:t>
      </w:r>
      <w:r w:rsidRPr="00F41FC7">
        <w:rPr>
          <w:rFonts w:asciiTheme="majorBidi" w:hAnsiTheme="majorBidi" w:cstheme="majorBidi"/>
          <w:color w:val="000000"/>
        </w:rPr>
        <w:t>, p. 299</w:t>
      </w:r>
      <w:r w:rsidRPr="00D0504E">
        <w:rPr>
          <w:rFonts w:asciiTheme="majorBidi" w:hAnsiTheme="majorBidi" w:cstheme="majorBidi"/>
          <w:color w:val="000000"/>
        </w:rPr>
        <w:t>.</w:t>
      </w:r>
      <w:r w:rsidR="00E351AE" w:rsidRPr="00696967">
        <w:rPr>
          <w:rFonts w:ascii="Times New Roman" w:eastAsia="Times New Roman" w:hAnsi="Times New Roman" w:cs="Times New Roman"/>
          <w:lang w:eastAsia="fr-FR"/>
        </w:rPr>
        <w:t>.</w:t>
      </w:r>
    </w:p>
    <w:p w14:paraId="3F2D4D80" w14:textId="28CB7429" w:rsidR="00E351AE" w:rsidRPr="00696967" w:rsidRDefault="00E351AE" w:rsidP="00C13671">
      <w:pPr>
        <w:numPr>
          <w:ilvl w:val="0"/>
          <w:numId w:val="120"/>
        </w:numPr>
        <w:spacing w:before="100" w:beforeAutospacing="1" w:after="100" w:afterAutospacing="1" w:line="360" w:lineRule="auto"/>
        <w:rPr>
          <w:rFonts w:ascii="Times New Roman" w:eastAsia="Times New Roman" w:hAnsi="Times New Roman" w:cs="Times New Roman"/>
          <w:lang w:eastAsia="fr-FR"/>
        </w:rPr>
      </w:pPr>
      <w:r w:rsidRPr="00696967">
        <w:rPr>
          <w:rFonts w:ascii="Times New Roman" w:eastAsia="Times New Roman" w:hAnsi="Times New Roman" w:cs="Times New Roman"/>
          <w:lang w:eastAsia="fr-FR"/>
        </w:rPr>
        <w:t xml:space="preserve">Cairn.info, </w:t>
      </w:r>
      <w:r w:rsidRPr="00710CF1">
        <w:rPr>
          <w:rFonts w:ascii="Times New Roman" w:eastAsia="Times New Roman" w:hAnsi="Times New Roman" w:cs="Times New Roman"/>
          <w:lang w:eastAsia="fr-FR"/>
        </w:rPr>
        <w:t>Comptabilité Contrôle Audit</w:t>
      </w:r>
      <w:r w:rsidRPr="00696967">
        <w:rPr>
          <w:rFonts w:ascii="Times New Roman" w:eastAsia="Times New Roman" w:hAnsi="Times New Roman" w:cs="Times New Roman"/>
          <w:lang w:eastAsia="fr-FR"/>
        </w:rPr>
        <w:t>, disponible sur : https://www.cairn.info/revue-comptabilite-controle-audit-2010-1-page-159.htm [consulté le 19/03/2025].</w:t>
      </w:r>
    </w:p>
    <w:p w14:paraId="4802FC2B" w14:textId="77777777" w:rsidR="00E351AE" w:rsidRPr="00696967" w:rsidRDefault="00E351AE" w:rsidP="00E351AE">
      <w:pPr>
        <w:spacing w:before="100" w:beforeAutospacing="1" w:after="100" w:afterAutospacing="1" w:line="360" w:lineRule="auto"/>
        <w:outlineLvl w:val="2"/>
        <w:rPr>
          <w:rFonts w:ascii="Times New Roman" w:eastAsia="Times New Roman" w:hAnsi="Times New Roman" w:cs="Times New Roman"/>
          <w:b/>
          <w:bCs/>
          <w:sz w:val="27"/>
          <w:szCs w:val="27"/>
          <w:lang w:eastAsia="fr-FR"/>
        </w:rPr>
      </w:pPr>
      <w:r w:rsidRPr="00710CF1">
        <w:rPr>
          <w:rFonts w:ascii="Times New Roman" w:eastAsia="Times New Roman" w:hAnsi="Times New Roman" w:cs="Times New Roman"/>
          <w:b/>
          <w:bCs/>
          <w:sz w:val="27"/>
          <w:szCs w:val="27"/>
          <w:lang w:eastAsia="fr-FR"/>
        </w:rPr>
        <w:t>Articles en ligne</w:t>
      </w:r>
    </w:p>
    <w:p w14:paraId="3590E134" w14:textId="77777777" w:rsidR="00E351AE" w:rsidRPr="00696967" w:rsidRDefault="00E351AE" w:rsidP="00C13671">
      <w:pPr>
        <w:numPr>
          <w:ilvl w:val="0"/>
          <w:numId w:val="121"/>
        </w:numPr>
        <w:spacing w:before="100" w:beforeAutospacing="1" w:after="100" w:afterAutospacing="1" w:line="360" w:lineRule="auto"/>
        <w:rPr>
          <w:rFonts w:ascii="Times New Roman" w:eastAsia="Times New Roman" w:hAnsi="Times New Roman" w:cs="Times New Roman"/>
          <w:lang w:eastAsia="fr-FR"/>
        </w:rPr>
      </w:pPr>
      <w:r w:rsidRPr="00710CF1">
        <w:rPr>
          <w:rFonts w:ascii="Times New Roman" w:eastAsia="Times New Roman" w:hAnsi="Times New Roman" w:cs="Times New Roman"/>
          <w:lang w:eastAsia="fr-FR"/>
        </w:rPr>
        <w:t>Accounting Notes</w:t>
      </w:r>
      <w:r w:rsidRPr="00696967">
        <w:rPr>
          <w:rFonts w:ascii="Times New Roman" w:eastAsia="Times New Roman" w:hAnsi="Times New Roman" w:cs="Times New Roman"/>
          <w:lang w:eastAsia="fr-FR"/>
        </w:rPr>
        <w:t xml:space="preserve">, </w:t>
      </w:r>
      <w:r w:rsidRPr="00710CF1">
        <w:rPr>
          <w:rFonts w:ascii="Times New Roman" w:eastAsia="Times New Roman" w:hAnsi="Times New Roman" w:cs="Times New Roman"/>
          <w:lang w:eastAsia="fr-FR"/>
        </w:rPr>
        <w:t>Budgetary Control: Meaning, Objectives, Control, Advantages and Limitations</w:t>
      </w:r>
      <w:r w:rsidRPr="00696967">
        <w:rPr>
          <w:rFonts w:ascii="Times New Roman" w:eastAsia="Times New Roman" w:hAnsi="Times New Roman" w:cs="Times New Roman"/>
          <w:lang w:eastAsia="fr-FR"/>
        </w:rPr>
        <w:t xml:space="preserve">, disponible sur : </w:t>
      </w:r>
      <w:hyperlink r:id="rId44" w:tgtFrame="_new" w:history="1">
        <w:r w:rsidRPr="00710CF1">
          <w:rPr>
            <w:rFonts w:ascii="Times New Roman" w:eastAsia="Times New Roman" w:hAnsi="Times New Roman" w:cs="Times New Roman"/>
            <w:color w:val="0000FF"/>
            <w:u w:val="single"/>
            <w:lang w:eastAsia="fr-FR"/>
          </w:rPr>
          <w:t>https://www.accountingnotes.net/cost-accounting/budgetary-control/budgetary-control-meaning-objectivescontrol-advantages-and-limitations/17138</w:t>
        </w:r>
      </w:hyperlink>
      <w:r w:rsidRPr="00696967">
        <w:rPr>
          <w:rFonts w:ascii="Times New Roman" w:eastAsia="Times New Roman" w:hAnsi="Times New Roman" w:cs="Times New Roman"/>
          <w:lang w:eastAsia="fr-FR"/>
        </w:rPr>
        <w:t xml:space="preserve"> [consulté le 25/04/2023 à 15:10].</w:t>
      </w:r>
    </w:p>
    <w:p w14:paraId="52B91AEE" w14:textId="77777777" w:rsidR="00F41FC7" w:rsidRDefault="00E351AE" w:rsidP="00F41FC7">
      <w:pPr>
        <w:spacing w:before="100" w:beforeAutospacing="1" w:after="100" w:afterAutospacing="1" w:line="360" w:lineRule="auto"/>
        <w:outlineLvl w:val="2"/>
        <w:rPr>
          <w:rFonts w:ascii="Times New Roman" w:eastAsia="Times New Roman" w:hAnsi="Times New Roman" w:cs="Times New Roman"/>
          <w:b/>
          <w:bCs/>
          <w:sz w:val="27"/>
          <w:szCs w:val="27"/>
          <w:lang w:eastAsia="fr-FR"/>
        </w:rPr>
      </w:pPr>
      <w:r w:rsidRPr="00710CF1">
        <w:rPr>
          <w:rFonts w:ascii="Times New Roman" w:eastAsia="Times New Roman" w:hAnsi="Times New Roman" w:cs="Times New Roman"/>
          <w:b/>
          <w:bCs/>
          <w:sz w:val="27"/>
          <w:szCs w:val="27"/>
          <w:lang w:eastAsia="fr-FR"/>
        </w:rPr>
        <w:t xml:space="preserve">Divers </w:t>
      </w:r>
    </w:p>
    <w:p w14:paraId="55585B43" w14:textId="224AFE78" w:rsidR="00E351AE" w:rsidRPr="00F41FC7" w:rsidRDefault="00E351AE" w:rsidP="00C13671">
      <w:pPr>
        <w:pStyle w:val="Paragraphedeliste"/>
        <w:numPr>
          <w:ilvl w:val="0"/>
          <w:numId w:val="122"/>
        </w:numPr>
        <w:spacing w:before="100" w:beforeAutospacing="1" w:after="100" w:afterAutospacing="1" w:line="360" w:lineRule="auto"/>
        <w:outlineLvl w:val="2"/>
        <w:rPr>
          <w:rFonts w:ascii="Times New Roman" w:eastAsia="Times New Roman" w:hAnsi="Times New Roman" w:cs="Times New Roman"/>
          <w:lang w:eastAsia="fr-FR"/>
        </w:rPr>
      </w:pPr>
      <w:r w:rsidRPr="00F41FC7">
        <w:rPr>
          <w:rFonts w:ascii="Times New Roman" w:eastAsia="Times New Roman" w:hAnsi="Times New Roman" w:cs="Times New Roman"/>
          <w:lang w:eastAsia="fr-FR"/>
        </w:rPr>
        <w:t>AZROU Mohamed et BERANE Farid, Contribution du contrôle budgétaire à la performance de l’entreprise : Cas de Générale Emballage, Mémoire de Master, Université Abderrahmane Mira – Béjaïa, Algérie, 2017.</w:t>
      </w:r>
    </w:p>
    <w:p w14:paraId="49C152F3" w14:textId="3FA2E115" w:rsidR="00550875" w:rsidRPr="009132A6" w:rsidRDefault="00550875" w:rsidP="00C13671">
      <w:pPr>
        <w:pStyle w:val="Paragraphedeliste"/>
        <w:numPr>
          <w:ilvl w:val="0"/>
          <w:numId w:val="118"/>
        </w:numPr>
        <w:tabs>
          <w:tab w:val="left" w:pos="1491"/>
        </w:tabs>
        <w:spacing w:line="360" w:lineRule="auto"/>
        <w:jc w:val="both"/>
        <w:rPr>
          <w:rFonts w:asciiTheme="majorBidi" w:hAnsiTheme="majorBidi" w:cstheme="majorBidi"/>
        </w:rPr>
        <w:sectPr w:rsidR="00550875" w:rsidRPr="009132A6" w:rsidSect="001A4DD5">
          <w:headerReference w:type="default" r:id="rId45"/>
          <w:pgSz w:w="11906" w:h="16838"/>
          <w:pgMar w:top="1418" w:right="1134" w:bottom="1418" w:left="1701" w:header="709" w:footer="709" w:gutter="0"/>
          <w:cols w:space="708"/>
          <w:titlePg/>
          <w:docGrid w:linePitch="360"/>
        </w:sectPr>
      </w:pPr>
    </w:p>
    <w:p w14:paraId="50D02B0E" w14:textId="15B74D9E" w:rsidR="00550875" w:rsidRPr="009132A6" w:rsidRDefault="00550875" w:rsidP="00AE3850">
      <w:pPr>
        <w:tabs>
          <w:tab w:val="left" w:pos="1491"/>
        </w:tabs>
        <w:spacing w:line="360" w:lineRule="auto"/>
        <w:jc w:val="both"/>
        <w:rPr>
          <w:rFonts w:asciiTheme="majorBidi" w:hAnsiTheme="majorBidi" w:cstheme="majorBidi"/>
        </w:rPr>
      </w:pPr>
      <w:r w:rsidRPr="009132A6">
        <w:rPr>
          <w:rFonts w:asciiTheme="majorBidi" w:hAnsiTheme="majorBidi" w:cstheme="majorBidi"/>
          <w:b/>
          <w:bCs/>
          <w:noProof/>
          <w:sz w:val="72"/>
          <w:szCs w:val="72"/>
          <w:lang w:eastAsia="fr-FR"/>
        </w:rPr>
        <w:lastRenderedPageBreak/>
        <mc:AlternateContent>
          <mc:Choice Requires="wps">
            <w:drawing>
              <wp:anchor distT="0" distB="0" distL="114300" distR="114300" simplePos="0" relativeHeight="251706368" behindDoc="0" locked="0" layoutInCell="1" allowOverlap="1" wp14:anchorId="342961F8" wp14:editId="67A92ECD">
                <wp:simplePos x="0" y="0"/>
                <wp:positionH relativeFrom="page">
                  <wp:align>center</wp:align>
                </wp:positionH>
                <wp:positionV relativeFrom="paragraph">
                  <wp:posOffset>3251744</wp:posOffset>
                </wp:positionV>
                <wp:extent cx="4381500" cy="2355850"/>
                <wp:effectExtent l="19050" t="19050" r="19050" b="25400"/>
                <wp:wrapNone/>
                <wp:docPr id="55" name="Rectangle : coins arrondis 55"/>
                <wp:cNvGraphicFramePr/>
                <a:graphic xmlns:a="http://schemas.openxmlformats.org/drawingml/2006/main">
                  <a:graphicData uri="http://schemas.microsoft.com/office/word/2010/wordprocessingShape">
                    <wps:wsp>
                      <wps:cNvSpPr/>
                      <wps:spPr>
                        <a:xfrm>
                          <a:off x="0" y="0"/>
                          <a:ext cx="4381500" cy="2355850"/>
                        </a:xfrm>
                        <a:prstGeom prst="roundRect">
                          <a:avLst/>
                        </a:prstGeom>
                        <a:ln w="28575">
                          <a:solidFill>
                            <a:schemeClr val="tx2">
                              <a:lumMod val="25000"/>
                              <a:lumOff val="75000"/>
                            </a:schemeClr>
                          </a:solidFill>
                        </a:ln>
                      </wps:spPr>
                      <wps:style>
                        <a:lnRef idx="2">
                          <a:schemeClr val="dk1"/>
                        </a:lnRef>
                        <a:fillRef idx="1">
                          <a:schemeClr val="lt1"/>
                        </a:fillRef>
                        <a:effectRef idx="0">
                          <a:schemeClr val="dk1"/>
                        </a:effectRef>
                        <a:fontRef idx="minor">
                          <a:schemeClr val="dk1"/>
                        </a:fontRef>
                      </wps:style>
                      <wps:txbx>
                        <w:txbxContent>
                          <w:p w14:paraId="4853A9CD" w14:textId="267ABD5A" w:rsidR="00AB34B8" w:rsidRPr="00D20C71" w:rsidRDefault="00AB34B8" w:rsidP="00550875">
                            <w:pPr>
                              <w:pStyle w:val="Titre1"/>
                              <w:jc w:val="center"/>
                              <w:rPr>
                                <w:rFonts w:asciiTheme="majorBidi" w:hAnsiTheme="majorBidi"/>
                                <w:b/>
                                <w:bCs/>
                                <w:color w:val="auto"/>
                                <w:sz w:val="48"/>
                                <w:szCs w:val="48"/>
                              </w:rPr>
                            </w:pPr>
                            <w:bookmarkStart w:id="198" w:name="_Toc198964998"/>
                            <w:bookmarkStart w:id="199" w:name="_Toc198966488"/>
                            <w:bookmarkStart w:id="200" w:name="_Toc199314479"/>
                            <w:bookmarkStart w:id="201" w:name="_Toc199314592"/>
                            <w:r>
                              <w:rPr>
                                <w:rFonts w:asciiTheme="majorBidi" w:hAnsiTheme="majorBidi"/>
                                <w:b/>
                                <w:bCs/>
                                <w:color w:val="auto"/>
                                <w:sz w:val="48"/>
                                <w:szCs w:val="48"/>
                              </w:rPr>
                              <w:t>ANNEXES</w:t>
                            </w:r>
                            <w:bookmarkEnd w:id="198"/>
                            <w:bookmarkEnd w:id="199"/>
                            <w:bookmarkEnd w:id="200"/>
                            <w:bookmarkEnd w:id="201"/>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342961F8" id="Rectangle : coins arrondis 55" o:spid="_x0000_s1036" style="position:absolute;left:0;text-align:left;margin-left:0;margin-top:256.05pt;width:345pt;height:185.5pt;z-index:251706368;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" fillcolor="white [3201]" strokecolor="#a7caec [831]" strokeweight="2.25pt">
                <v:stroke joinstyle="miter"/>
                <v:textbox>
                  <w:txbxContent>
                    <w:p w14:paraId="4853A9CD" w14:textId="267ABD5A" w:rsidR="00771E97" w:rsidRPr="00D20C71" w:rsidRDefault="00771E97" w:rsidP="00550875">
                      <w:pPr>
                        <w:pStyle w:val="Heading1"/>
                        <w:jc w:val="center"/>
                        <w:rPr>
                          <w:rFonts w:asciiTheme="majorBidi" w:hAnsiTheme="majorBidi"/>
                          <w:b/>
                          <w:bCs/>
                          <w:color w:val="auto"/>
                          <w:sz w:val="48"/>
                          <w:szCs w:val="48"/>
                        </w:rPr>
                      </w:pPr>
                      <w:bookmarkStart w:id="215" w:name="_Toc198964998"/>
                      <w:bookmarkStart w:id="216" w:name="_Toc198966488"/>
                      <w:bookmarkStart w:id="217" w:name="_Toc199314479"/>
                      <w:bookmarkStart w:id="218" w:name="_Toc199314592"/>
                      <w:r>
                        <w:rPr>
                          <w:rFonts w:asciiTheme="majorBidi" w:hAnsiTheme="majorBidi"/>
                          <w:b/>
                          <w:bCs/>
                          <w:color w:val="auto"/>
                          <w:sz w:val="48"/>
                          <w:szCs w:val="48"/>
                        </w:rPr>
                        <w:t>ANNEXES</w:t>
                      </w:r>
                      <w:bookmarkEnd w:id="215"/>
                      <w:bookmarkEnd w:id="216"/>
                      <w:bookmarkEnd w:id="217"/>
                      <w:bookmarkEnd w:id="218"/>
                    </w:p>
                  </w:txbxContent>
                </v:textbox>
                <w10:wrap anchorx="page"/>
              </v:roundrect>
            </w:pict>
          </mc:Fallback>
        </mc:AlternateContent>
      </w:r>
    </w:p>
    <w:p w14:paraId="2D0228B7" w14:textId="77777777" w:rsidR="00550875" w:rsidRPr="009132A6" w:rsidRDefault="00550875" w:rsidP="00AE3850">
      <w:pPr>
        <w:spacing w:line="360" w:lineRule="auto"/>
        <w:jc w:val="both"/>
        <w:rPr>
          <w:rFonts w:asciiTheme="majorBidi" w:hAnsiTheme="majorBidi" w:cstheme="majorBidi"/>
        </w:rPr>
      </w:pPr>
    </w:p>
    <w:p w14:paraId="3760E818" w14:textId="77777777" w:rsidR="00550875" w:rsidRPr="009132A6" w:rsidRDefault="00550875" w:rsidP="00AE3850">
      <w:pPr>
        <w:spacing w:line="360" w:lineRule="auto"/>
        <w:jc w:val="both"/>
        <w:rPr>
          <w:rFonts w:asciiTheme="majorBidi" w:hAnsiTheme="majorBidi" w:cstheme="majorBidi"/>
        </w:rPr>
      </w:pPr>
    </w:p>
    <w:p w14:paraId="7E2C7FB7" w14:textId="77777777" w:rsidR="00550875" w:rsidRPr="009132A6" w:rsidRDefault="00550875" w:rsidP="00AE3850">
      <w:pPr>
        <w:spacing w:line="360" w:lineRule="auto"/>
        <w:jc w:val="both"/>
        <w:rPr>
          <w:rFonts w:asciiTheme="majorBidi" w:hAnsiTheme="majorBidi" w:cstheme="majorBidi"/>
        </w:rPr>
      </w:pPr>
    </w:p>
    <w:p w14:paraId="22D3724B" w14:textId="77777777" w:rsidR="00550875" w:rsidRPr="009132A6" w:rsidRDefault="00550875" w:rsidP="00AE3850">
      <w:pPr>
        <w:spacing w:line="360" w:lineRule="auto"/>
        <w:jc w:val="both"/>
        <w:rPr>
          <w:rFonts w:asciiTheme="majorBidi" w:hAnsiTheme="majorBidi" w:cstheme="majorBidi"/>
        </w:rPr>
      </w:pPr>
    </w:p>
    <w:p w14:paraId="05553298" w14:textId="77777777" w:rsidR="00550875" w:rsidRPr="009132A6" w:rsidRDefault="00550875" w:rsidP="00AE3850">
      <w:pPr>
        <w:spacing w:line="360" w:lineRule="auto"/>
        <w:jc w:val="both"/>
        <w:rPr>
          <w:rFonts w:asciiTheme="majorBidi" w:hAnsiTheme="majorBidi" w:cstheme="majorBidi"/>
        </w:rPr>
      </w:pPr>
    </w:p>
    <w:p w14:paraId="1E28FB85" w14:textId="77777777" w:rsidR="00550875" w:rsidRPr="009132A6" w:rsidRDefault="00550875" w:rsidP="00AE3850">
      <w:pPr>
        <w:spacing w:line="360" w:lineRule="auto"/>
        <w:jc w:val="both"/>
        <w:rPr>
          <w:rFonts w:asciiTheme="majorBidi" w:hAnsiTheme="majorBidi" w:cstheme="majorBidi"/>
        </w:rPr>
      </w:pPr>
    </w:p>
    <w:p w14:paraId="05F144AF" w14:textId="77777777" w:rsidR="00550875" w:rsidRPr="009132A6" w:rsidRDefault="00550875" w:rsidP="00AE3850">
      <w:pPr>
        <w:spacing w:line="360" w:lineRule="auto"/>
        <w:jc w:val="both"/>
        <w:rPr>
          <w:rFonts w:asciiTheme="majorBidi" w:hAnsiTheme="majorBidi" w:cstheme="majorBidi"/>
        </w:rPr>
      </w:pPr>
    </w:p>
    <w:p w14:paraId="45E09770" w14:textId="77777777" w:rsidR="00550875" w:rsidRPr="009132A6" w:rsidRDefault="00550875" w:rsidP="00AE3850">
      <w:pPr>
        <w:spacing w:line="360" w:lineRule="auto"/>
        <w:jc w:val="both"/>
        <w:rPr>
          <w:rFonts w:asciiTheme="majorBidi" w:hAnsiTheme="majorBidi" w:cstheme="majorBidi"/>
        </w:rPr>
      </w:pPr>
    </w:p>
    <w:p w14:paraId="2F21A878" w14:textId="77777777" w:rsidR="00550875" w:rsidRPr="009132A6" w:rsidRDefault="00550875" w:rsidP="00AE3850">
      <w:pPr>
        <w:spacing w:line="360" w:lineRule="auto"/>
        <w:jc w:val="both"/>
        <w:rPr>
          <w:rFonts w:asciiTheme="majorBidi" w:hAnsiTheme="majorBidi" w:cstheme="majorBidi"/>
        </w:rPr>
      </w:pPr>
    </w:p>
    <w:p w14:paraId="38E2B9D6" w14:textId="77777777" w:rsidR="00550875" w:rsidRPr="009132A6" w:rsidRDefault="00550875" w:rsidP="00AE3850">
      <w:pPr>
        <w:spacing w:line="360" w:lineRule="auto"/>
        <w:jc w:val="both"/>
        <w:rPr>
          <w:rFonts w:asciiTheme="majorBidi" w:hAnsiTheme="majorBidi" w:cstheme="majorBidi"/>
        </w:rPr>
      </w:pPr>
    </w:p>
    <w:p w14:paraId="389B698D" w14:textId="77777777" w:rsidR="00550875" w:rsidRPr="009132A6" w:rsidRDefault="00550875" w:rsidP="00AE3850">
      <w:pPr>
        <w:spacing w:line="360" w:lineRule="auto"/>
        <w:jc w:val="both"/>
        <w:rPr>
          <w:rFonts w:asciiTheme="majorBidi" w:hAnsiTheme="majorBidi" w:cstheme="majorBidi"/>
        </w:rPr>
      </w:pPr>
    </w:p>
    <w:p w14:paraId="07CF1081" w14:textId="77777777" w:rsidR="00550875" w:rsidRPr="009132A6" w:rsidRDefault="00550875" w:rsidP="00AE3850">
      <w:pPr>
        <w:spacing w:line="360" w:lineRule="auto"/>
        <w:jc w:val="both"/>
        <w:rPr>
          <w:rFonts w:asciiTheme="majorBidi" w:hAnsiTheme="majorBidi" w:cstheme="majorBidi"/>
        </w:rPr>
      </w:pPr>
    </w:p>
    <w:p w14:paraId="286446DD" w14:textId="77777777" w:rsidR="00550875" w:rsidRPr="009132A6" w:rsidRDefault="00550875" w:rsidP="00AE3850">
      <w:pPr>
        <w:spacing w:line="360" w:lineRule="auto"/>
        <w:jc w:val="both"/>
        <w:rPr>
          <w:rFonts w:asciiTheme="majorBidi" w:hAnsiTheme="majorBidi" w:cstheme="majorBidi"/>
        </w:rPr>
      </w:pPr>
    </w:p>
    <w:p w14:paraId="442080C4" w14:textId="77777777" w:rsidR="00550875" w:rsidRPr="009132A6" w:rsidRDefault="00550875" w:rsidP="00AE3850">
      <w:pPr>
        <w:spacing w:line="360" w:lineRule="auto"/>
        <w:jc w:val="both"/>
        <w:rPr>
          <w:rFonts w:asciiTheme="majorBidi" w:hAnsiTheme="majorBidi" w:cstheme="majorBidi"/>
        </w:rPr>
      </w:pPr>
    </w:p>
    <w:p w14:paraId="38D73891" w14:textId="77777777" w:rsidR="00550875" w:rsidRPr="009132A6" w:rsidRDefault="00550875" w:rsidP="00AE3850">
      <w:pPr>
        <w:spacing w:line="360" w:lineRule="auto"/>
        <w:jc w:val="both"/>
        <w:rPr>
          <w:rFonts w:asciiTheme="majorBidi" w:hAnsiTheme="majorBidi" w:cstheme="majorBidi"/>
        </w:rPr>
      </w:pPr>
    </w:p>
    <w:p w14:paraId="653D9E29" w14:textId="77777777" w:rsidR="00550875" w:rsidRPr="009132A6" w:rsidRDefault="00550875" w:rsidP="00AE3850">
      <w:pPr>
        <w:spacing w:line="360" w:lineRule="auto"/>
        <w:jc w:val="both"/>
        <w:rPr>
          <w:rFonts w:asciiTheme="majorBidi" w:hAnsiTheme="majorBidi" w:cstheme="majorBidi"/>
        </w:rPr>
      </w:pPr>
    </w:p>
    <w:p w14:paraId="203D4CCC" w14:textId="77777777" w:rsidR="00550875" w:rsidRPr="009132A6" w:rsidRDefault="00550875" w:rsidP="00AE3850">
      <w:pPr>
        <w:spacing w:line="360" w:lineRule="auto"/>
        <w:jc w:val="both"/>
        <w:rPr>
          <w:rFonts w:asciiTheme="majorBidi" w:hAnsiTheme="majorBidi" w:cstheme="majorBidi"/>
        </w:rPr>
      </w:pPr>
    </w:p>
    <w:p w14:paraId="2F4F9B62" w14:textId="77777777" w:rsidR="00550875" w:rsidRPr="009132A6" w:rsidRDefault="00550875" w:rsidP="00AE3850">
      <w:pPr>
        <w:spacing w:line="360" w:lineRule="auto"/>
        <w:jc w:val="both"/>
        <w:rPr>
          <w:rFonts w:asciiTheme="majorBidi" w:hAnsiTheme="majorBidi" w:cstheme="majorBidi"/>
        </w:rPr>
      </w:pPr>
    </w:p>
    <w:p w14:paraId="1A2ABB50" w14:textId="77777777" w:rsidR="00550875" w:rsidRPr="009132A6" w:rsidRDefault="00550875" w:rsidP="00AE3850">
      <w:pPr>
        <w:spacing w:line="360" w:lineRule="auto"/>
        <w:jc w:val="both"/>
        <w:rPr>
          <w:rFonts w:asciiTheme="majorBidi" w:hAnsiTheme="majorBidi" w:cstheme="majorBidi"/>
        </w:rPr>
      </w:pPr>
    </w:p>
    <w:p w14:paraId="3A9E79C1" w14:textId="77777777" w:rsidR="00550875" w:rsidRPr="009132A6" w:rsidRDefault="00550875" w:rsidP="00AE3850">
      <w:pPr>
        <w:spacing w:line="360" w:lineRule="auto"/>
        <w:jc w:val="both"/>
        <w:rPr>
          <w:rFonts w:asciiTheme="majorBidi" w:hAnsiTheme="majorBidi" w:cstheme="majorBidi"/>
        </w:rPr>
      </w:pPr>
    </w:p>
    <w:p w14:paraId="7650177C" w14:textId="77777777" w:rsidR="00550875" w:rsidRPr="009132A6" w:rsidRDefault="00550875" w:rsidP="00AE3850">
      <w:pPr>
        <w:spacing w:line="360" w:lineRule="auto"/>
        <w:jc w:val="both"/>
        <w:rPr>
          <w:rFonts w:asciiTheme="majorBidi" w:hAnsiTheme="majorBidi" w:cstheme="majorBidi"/>
        </w:rPr>
      </w:pPr>
    </w:p>
    <w:p w14:paraId="55C10B07" w14:textId="77777777" w:rsidR="00550875" w:rsidRPr="009132A6" w:rsidRDefault="00550875" w:rsidP="00AE3850">
      <w:pPr>
        <w:spacing w:line="360" w:lineRule="auto"/>
        <w:jc w:val="both"/>
        <w:rPr>
          <w:rFonts w:asciiTheme="majorBidi" w:hAnsiTheme="majorBidi" w:cstheme="majorBidi"/>
        </w:rPr>
      </w:pPr>
    </w:p>
    <w:p w14:paraId="11440C83" w14:textId="77777777" w:rsidR="00550875" w:rsidRPr="009132A6" w:rsidRDefault="00550875" w:rsidP="00AE3850">
      <w:pPr>
        <w:spacing w:line="360" w:lineRule="auto"/>
        <w:jc w:val="both"/>
        <w:rPr>
          <w:rFonts w:asciiTheme="majorBidi" w:hAnsiTheme="majorBidi" w:cstheme="majorBidi"/>
        </w:rPr>
      </w:pPr>
    </w:p>
    <w:p w14:paraId="0547C1BA" w14:textId="62B9AD48" w:rsidR="00550875" w:rsidRPr="00BA55EC" w:rsidRDefault="00C82632" w:rsidP="00AE3850">
      <w:pPr>
        <w:spacing w:line="360" w:lineRule="auto"/>
        <w:jc w:val="both"/>
        <w:rPr>
          <w:rFonts w:asciiTheme="majorBidi" w:hAnsiTheme="majorBidi" w:cstheme="majorBidi"/>
          <w:b/>
          <w:bCs/>
          <w:sz w:val="28"/>
          <w:szCs w:val="28"/>
        </w:rPr>
      </w:pPr>
      <w:r w:rsidRPr="00BA55EC">
        <w:rPr>
          <w:rFonts w:asciiTheme="majorBidi" w:hAnsiTheme="majorBidi" w:cstheme="majorBidi"/>
          <w:b/>
          <w:bCs/>
          <w:sz w:val="28"/>
          <w:szCs w:val="28"/>
        </w:rPr>
        <w:lastRenderedPageBreak/>
        <w:t>Annexe 01 : Demande d’achat</w:t>
      </w:r>
    </w:p>
    <w:p w14:paraId="1B74996A" w14:textId="687C772C" w:rsidR="00550875" w:rsidRPr="009132A6" w:rsidRDefault="00D84B59" w:rsidP="00AE3850">
      <w:pPr>
        <w:tabs>
          <w:tab w:val="left" w:pos="1049"/>
        </w:tabs>
        <w:spacing w:line="360" w:lineRule="auto"/>
        <w:jc w:val="both"/>
        <w:rPr>
          <w:rFonts w:asciiTheme="majorBidi" w:hAnsiTheme="majorBidi" w:cstheme="majorBidi"/>
        </w:rPr>
      </w:pPr>
      <w:r>
        <w:rPr>
          <w:rFonts w:asciiTheme="majorBidi" w:hAnsiTheme="majorBidi" w:cstheme="majorBidi"/>
          <w:noProof/>
          <w:lang w:eastAsia="fr-FR"/>
        </w:rPr>
        <w:drawing>
          <wp:inline distT="0" distB="0" distL="0" distR="0" wp14:anchorId="09F4D091" wp14:editId="4FFE459A">
            <wp:extent cx="7828508" cy="5460365"/>
            <wp:effectExtent l="2857" t="0" r="4128" b="4127"/>
            <wp:docPr id="13" name="Image 13" descr="Une image contenant texte, reçu,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descr="Une image contenant texte, reçu, diagramme, Parallèle&#10;&#10;Le contenu généré par l’IA peut être incorrect."/>
                    <pic:cNvPicPr/>
                  </pic:nvPicPr>
                  <pic:blipFill>
                    <a:blip r:embed="rId46">
                      <a:extLst>
                        <a:ext uri="{28A0092B-C50C-407E-A947-70E740481C1C}">
                          <a14:useLocalDpi xmlns:a14="http://schemas.microsoft.com/office/drawing/2010/main" val="0"/>
                        </a:ext>
                      </a:extLst>
                    </a:blip>
                    <a:stretch>
                      <a:fillRect/>
                    </a:stretch>
                  </pic:blipFill>
                  <pic:spPr>
                    <a:xfrm rot="5400000">
                      <a:off x="0" y="0"/>
                      <a:ext cx="7838802" cy="5467545"/>
                    </a:xfrm>
                    <a:prstGeom prst="rect">
                      <a:avLst/>
                    </a:prstGeom>
                  </pic:spPr>
                </pic:pic>
              </a:graphicData>
            </a:graphic>
          </wp:inline>
        </w:drawing>
      </w:r>
      <w:r w:rsidR="00550875" w:rsidRPr="009132A6">
        <w:rPr>
          <w:rFonts w:asciiTheme="majorBidi" w:hAnsiTheme="majorBidi" w:cstheme="majorBidi"/>
        </w:rPr>
        <w:tab/>
      </w:r>
    </w:p>
    <w:p w14:paraId="22FDD406" w14:textId="7EBBC06B" w:rsidR="00550875" w:rsidRPr="009132A6" w:rsidRDefault="00550875" w:rsidP="00AE3850">
      <w:pPr>
        <w:spacing w:line="360" w:lineRule="auto"/>
        <w:jc w:val="both"/>
        <w:rPr>
          <w:rFonts w:asciiTheme="majorBidi" w:hAnsiTheme="majorBidi" w:cstheme="majorBidi"/>
        </w:rPr>
      </w:pPr>
      <w:r w:rsidRPr="009132A6">
        <w:rPr>
          <w:rFonts w:asciiTheme="majorBidi" w:hAnsiTheme="majorBidi" w:cstheme="majorBidi"/>
        </w:rPr>
        <w:br w:type="page"/>
      </w:r>
    </w:p>
    <w:p w14:paraId="303FE576" w14:textId="6CCA7CF9" w:rsidR="00553E02" w:rsidRPr="00EF404D" w:rsidRDefault="003A26AB" w:rsidP="00AE3850">
      <w:pPr>
        <w:tabs>
          <w:tab w:val="left" w:pos="1049"/>
        </w:tabs>
        <w:spacing w:line="360" w:lineRule="auto"/>
        <w:jc w:val="both"/>
        <w:rPr>
          <w:rFonts w:asciiTheme="majorBidi" w:hAnsiTheme="majorBidi" w:cstheme="majorBidi"/>
          <w:b/>
          <w:bCs/>
          <w:sz w:val="28"/>
          <w:szCs w:val="28"/>
        </w:rPr>
      </w:pPr>
      <w:r w:rsidRPr="00EF404D">
        <w:rPr>
          <w:rFonts w:asciiTheme="majorBidi" w:hAnsiTheme="majorBidi" w:cstheme="majorBidi"/>
          <w:b/>
          <w:bCs/>
          <w:sz w:val="28"/>
          <w:szCs w:val="28"/>
        </w:rPr>
        <w:lastRenderedPageBreak/>
        <w:t xml:space="preserve">Annexe 02 : </w:t>
      </w:r>
      <w:r w:rsidR="00A50669" w:rsidRPr="00EF404D">
        <w:rPr>
          <w:rFonts w:asciiTheme="majorBidi" w:hAnsiTheme="majorBidi" w:cstheme="majorBidi"/>
          <w:b/>
          <w:bCs/>
          <w:sz w:val="28"/>
          <w:szCs w:val="28"/>
        </w:rPr>
        <w:t>Bon de Commande</w:t>
      </w:r>
    </w:p>
    <w:p w14:paraId="6A090B54" w14:textId="77777777" w:rsidR="00A50669" w:rsidRDefault="00EF404D" w:rsidP="00AE3850">
      <w:pPr>
        <w:tabs>
          <w:tab w:val="left" w:pos="1049"/>
        </w:tabs>
        <w:spacing w:line="360" w:lineRule="auto"/>
        <w:jc w:val="both"/>
        <w:rPr>
          <w:rFonts w:asciiTheme="majorBidi" w:hAnsiTheme="majorBidi" w:cstheme="majorBidi"/>
          <w:noProof/>
        </w:rPr>
      </w:pPr>
      <w:r>
        <w:rPr>
          <w:rFonts w:asciiTheme="majorBidi" w:hAnsiTheme="majorBidi" w:cstheme="majorBidi"/>
          <w:noProof/>
          <w:lang w:eastAsia="fr-FR"/>
        </w:rPr>
        <w:drawing>
          <wp:inline distT="0" distB="0" distL="0" distR="0" wp14:anchorId="382972D8" wp14:editId="7964DA33">
            <wp:extent cx="7767218" cy="5340551"/>
            <wp:effectExtent l="0" t="6032" r="0" b="0"/>
            <wp:docPr id="14" name="Image 14" descr="Une image contenant texte, Parallèle, diagramm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descr="Une image contenant texte, Parallèle, diagramme&#10;&#10;Le contenu généré par l’IA peut être incorrect."/>
                    <pic:cNvPicPr/>
                  </pic:nvPicPr>
                  <pic:blipFill>
                    <a:blip r:embed="rId47">
                      <a:extLst>
                        <a:ext uri="{28A0092B-C50C-407E-A947-70E740481C1C}">
                          <a14:useLocalDpi xmlns:a14="http://schemas.microsoft.com/office/drawing/2010/main" val="0"/>
                        </a:ext>
                      </a:extLst>
                    </a:blip>
                    <a:stretch>
                      <a:fillRect/>
                    </a:stretch>
                  </pic:blipFill>
                  <pic:spPr>
                    <a:xfrm rot="16200000">
                      <a:off x="0" y="0"/>
                      <a:ext cx="7775033" cy="5345924"/>
                    </a:xfrm>
                    <a:prstGeom prst="rect">
                      <a:avLst/>
                    </a:prstGeom>
                  </pic:spPr>
                </pic:pic>
              </a:graphicData>
            </a:graphic>
          </wp:inline>
        </w:drawing>
      </w:r>
    </w:p>
    <w:p w14:paraId="5F89A3B4" w14:textId="4001AB24" w:rsidR="00E1230C" w:rsidRDefault="00E1230C" w:rsidP="00AE3850">
      <w:pPr>
        <w:spacing w:line="360" w:lineRule="auto"/>
        <w:jc w:val="both"/>
        <w:rPr>
          <w:rFonts w:asciiTheme="majorBidi" w:hAnsiTheme="majorBidi" w:cstheme="majorBidi"/>
          <w:noProof/>
        </w:rPr>
      </w:pPr>
      <w:r>
        <w:rPr>
          <w:rFonts w:asciiTheme="majorBidi" w:hAnsiTheme="majorBidi" w:cstheme="majorBidi"/>
          <w:noProof/>
        </w:rPr>
        <w:br w:type="page"/>
      </w:r>
    </w:p>
    <w:p w14:paraId="1B0F6663" w14:textId="6B7E4500" w:rsidR="00E1230C" w:rsidRPr="00E1230C" w:rsidRDefault="00E1230C" w:rsidP="00AE3850">
      <w:pPr>
        <w:spacing w:line="360" w:lineRule="auto"/>
        <w:jc w:val="both"/>
        <w:rPr>
          <w:rFonts w:asciiTheme="majorBidi" w:hAnsiTheme="majorBidi" w:cstheme="majorBidi"/>
          <w:b/>
          <w:bCs/>
          <w:noProof/>
          <w:sz w:val="28"/>
          <w:szCs w:val="28"/>
        </w:rPr>
      </w:pPr>
      <w:r w:rsidRPr="00E1230C">
        <w:rPr>
          <w:rFonts w:asciiTheme="majorBidi" w:hAnsiTheme="majorBidi" w:cstheme="majorBidi"/>
          <w:b/>
          <w:bCs/>
          <w:noProof/>
          <w:sz w:val="28"/>
          <w:szCs w:val="28"/>
        </w:rPr>
        <w:lastRenderedPageBreak/>
        <w:t xml:space="preserve">Annexe 03 : </w:t>
      </w:r>
      <w:r w:rsidR="00CF40C3">
        <w:rPr>
          <w:rFonts w:asciiTheme="majorBidi" w:hAnsiTheme="majorBidi" w:cstheme="majorBidi"/>
          <w:b/>
          <w:bCs/>
          <w:noProof/>
          <w:sz w:val="28"/>
          <w:szCs w:val="28"/>
        </w:rPr>
        <w:t>F</w:t>
      </w:r>
      <w:r w:rsidR="008D383F">
        <w:rPr>
          <w:rFonts w:asciiTheme="majorBidi" w:hAnsiTheme="majorBidi" w:cstheme="majorBidi"/>
          <w:b/>
          <w:bCs/>
          <w:noProof/>
          <w:sz w:val="28"/>
          <w:szCs w:val="28"/>
        </w:rPr>
        <w:t>a</w:t>
      </w:r>
      <w:r w:rsidR="00CF40C3">
        <w:rPr>
          <w:rFonts w:asciiTheme="majorBidi" w:hAnsiTheme="majorBidi" w:cstheme="majorBidi"/>
          <w:b/>
          <w:bCs/>
          <w:noProof/>
          <w:sz w:val="28"/>
          <w:szCs w:val="28"/>
        </w:rPr>
        <w:t>cture</w:t>
      </w:r>
      <w:r w:rsidR="008D383F">
        <w:rPr>
          <w:rFonts w:asciiTheme="majorBidi" w:hAnsiTheme="majorBidi" w:cstheme="majorBidi"/>
          <w:b/>
          <w:bCs/>
          <w:noProof/>
          <w:sz w:val="28"/>
          <w:szCs w:val="28"/>
        </w:rPr>
        <w:t xml:space="preserve"> de sonalgaz</w:t>
      </w:r>
    </w:p>
    <w:p w14:paraId="7DEC14CA" w14:textId="78E32C23" w:rsidR="00E1230C" w:rsidRDefault="00E1230C" w:rsidP="00AE3850">
      <w:pPr>
        <w:spacing w:line="360" w:lineRule="auto"/>
        <w:jc w:val="both"/>
        <w:rPr>
          <w:rFonts w:asciiTheme="majorBidi" w:hAnsiTheme="majorBidi" w:cstheme="majorBidi"/>
          <w:noProof/>
        </w:rPr>
      </w:pPr>
      <w:r>
        <w:rPr>
          <w:rFonts w:asciiTheme="majorBidi" w:hAnsiTheme="majorBidi" w:cstheme="majorBidi"/>
          <w:noProof/>
          <w:lang w:eastAsia="fr-FR"/>
        </w:rPr>
        <w:drawing>
          <wp:inline distT="0" distB="0" distL="0" distR="0" wp14:anchorId="3E212843" wp14:editId="6E37F5AE">
            <wp:extent cx="5760085" cy="5866130"/>
            <wp:effectExtent l="0" t="0" r="0" b="1270"/>
            <wp:docPr id="43" name="Image 43" descr="Une image contenant texte, Parallèle, capture d’écran, Rectang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 43" descr="Une image contenant texte, Parallèle, capture d’écran, Rectangle&#10;&#10;Le contenu généré par l’IA peut être incorrect."/>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760085" cy="5866130"/>
                    </a:xfrm>
                    <a:prstGeom prst="rect">
                      <a:avLst/>
                    </a:prstGeom>
                  </pic:spPr>
                </pic:pic>
              </a:graphicData>
            </a:graphic>
          </wp:inline>
        </w:drawing>
      </w:r>
    </w:p>
    <w:p w14:paraId="2107B6EF" w14:textId="77777777" w:rsidR="00E1230C" w:rsidRDefault="00E1230C" w:rsidP="00AE3850">
      <w:pPr>
        <w:spacing w:line="360" w:lineRule="auto"/>
        <w:jc w:val="both"/>
        <w:rPr>
          <w:rFonts w:asciiTheme="majorBidi" w:hAnsiTheme="majorBidi" w:cstheme="majorBidi"/>
          <w:noProof/>
        </w:rPr>
      </w:pPr>
    </w:p>
    <w:p w14:paraId="6113EAEF" w14:textId="1729C2F8" w:rsidR="00E1230C" w:rsidRPr="00E1230C" w:rsidRDefault="00E1230C" w:rsidP="00AE3850">
      <w:pPr>
        <w:spacing w:line="360" w:lineRule="auto"/>
        <w:jc w:val="both"/>
        <w:rPr>
          <w:rFonts w:asciiTheme="majorBidi" w:hAnsiTheme="majorBidi" w:cstheme="majorBidi"/>
        </w:rPr>
        <w:sectPr w:rsidR="00E1230C" w:rsidRPr="00E1230C" w:rsidSect="001A4DD5">
          <w:headerReference w:type="default" r:id="rId49"/>
          <w:pgSz w:w="11906" w:h="16838"/>
          <w:pgMar w:top="1418" w:right="1134" w:bottom="1418" w:left="1701" w:header="709" w:footer="709" w:gutter="0"/>
          <w:cols w:space="708"/>
          <w:titlePg/>
          <w:docGrid w:linePitch="360"/>
        </w:sectPr>
      </w:pPr>
    </w:p>
    <w:p w14:paraId="19AEE01B" w14:textId="1D139F13" w:rsidR="00553E02" w:rsidRPr="009132A6" w:rsidRDefault="00553E02" w:rsidP="00AE3850">
      <w:pPr>
        <w:tabs>
          <w:tab w:val="left" w:pos="1049"/>
        </w:tabs>
        <w:spacing w:line="360" w:lineRule="auto"/>
        <w:jc w:val="both"/>
        <w:rPr>
          <w:rFonts w:asciiTheme="majorBidi" w:hAnsiTheme="majorBidi" w:cstheme="majorBidi"/>
        </w:rPr>
      </w:pPr>
      <w:r w:rsidRPr="009132A6">
        <w:rPr>
          <w:rFonts w:asciiTheme="majorBidi" w:hAnsiTheme="majorBidi" w:cstheme="majorBidi"/>
          <w:b/>
          <w:bCs/>
          <w:noProof/>
          <w:sz w:val="72"/>
          <w:szCs w:val="72"/>
          <w:lang w:eastAsia="fr-FR"/>
        </w:rPr>
        <w:lastRenderedPageBreak/>
        <mc:AlternateContent>
          <mc:Choice Requires="wps">
            <w:drawing>
              <wp:anchor distT="0" distB="0" distL="114300" distR="114300" simplePos="0" relativeHeight="251708416" behindDoc="0" locked="0" layoutInCell="1" allowOverlap="1" wp14:anchorId="14CA5A05" wp14:editId="7A9CF3F3">
                <wp:simplePos x="0" y="0"/>
                <wp:positionH relativeFrom="page">
                  <wp:align>center</wp:align>
                </wp:positionH>
                <wp:positionV relativeFrom="paragraph">
                  <wp:posOffset>3252016</wp:posOffset>
                </wp:positionV>
                <wp:extent cx="4381500" cy="2355850"/>
                <wp:effectExtent l="19050" t="19050" r="19050" b="25400"/>
                <wp:wrapNone/>
                <wp:docPr id="56" name="Rectangle : coins arrondis 56"/>
                <wp:cNvGraphicFramePr/>
                <a:graphic xmlns:a="http://schemas.openxmlformats.org/drawingml/2006/main">
                  <a:graphicData uri="http://schemas.microsoft.com/office/word/2010/wordprocessingShape">
                    <wps:wsp>
                      <wps:cNvSpPr/>
                      <wps:spPr>
                        <a:xfrm>
                          <a:off x="0" y="0"/>
                          <a:ext cx="4381500" cy="2355850"/>
                        </a:xfrm>
                        <a:prstGeom prst="roundRect">
                          <a:avLst/>
                        </a:prstGeom>
                        <a:ln w="28575">
                          <a:solidFill>
                            <a:schemeClr val="tx2">
                              <a:lumMod val="25000"/>
                              <a:lumOff val="75000"/>
                            </a:schemeClr>
                          </a:solidFill>
                        </a:ln>
                      </wps:spPr>
                      <wps:style>
                        <a:lnRef idx="2">
                          <a:schemeClr val="dk1"/>
                        </a:lnRef>
                        <a:fillRef idx="1">
                          <a:schemeClr val="lt1"/>
                        </a:fillRef>
                        <a:effectRef idx="0">
                          <a:schemeClr val="dk1"/>
                        </a:effectRef>
                        <a:fontRef idx="minor">
                          <a:schemeClr val="dk1"/>
                        </a:fontRef>
                      </wps:style>
                      <wps:txbx>
                        <w:txbxContent>
                          <w:p w14:paraId="5428CFCE" w14:textId="3089A195" w:rsidR="00AB34B8" w:rsidRPr="00D20C71" w:rsidRDefault="00AB34B8" w:rsidP="00553E02">
                            <w:pPr>
                              <w:pStyle w:val="Titre1"/>
                              <w:jc w:val="center"/>
                              <w:rPr>
                                <w:rFonts w:asciiTheme="majorBidi" w:hAnsiTheme="majorBidi"/>
                                <w:b/>
                                <w:bCs/>
                                <w:color w:val="auto"/>
                                <w:sz w:val="48"/>
                                <w:szCs w:val="48"/>
                              </w:rPr>
                            </w:pPr>
                            <w:bookmarkStart w:id="202" w:name="_Toc198964999"/>
                            <w:bookmarkStart w:id="203" w:name="_Toc198966489"/>
                            <w:bookmarkStart w:id="204" w:name="_Toc199314480"/>
                            <w:bookmarkStart w:id="205" w:name="_Toc199314593"/>
                            <w:r>
                              <w:rPr>
                                <w:rFonts w:asciiTheme="majorBidi" w:hAnsiTheme="majorBidi"/>
                                <w:b/>
                                <w:bCs/>
                                <w:color w:val="auto"/>
                                <w:sz w:val="48"/>
                                <w:szCs w:val="48"/>
                              </w:rPr>
                              <w:t>TABLE DE MATIERE</w:t>
                            </w:r>
                            <w:bookmarkEnd w:id="202"/>
                            <w:bookmarkEnd w:id="203"/>
                            <w:bookmarkEnd w:id="204"/>
                            <w:bookmarkEnd w:id="205"/>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oundrect w14:anchorId="14CA5A05" id="Rectangle : coins arrondis 56" o:spid="_x0000_s1037" style="position:absolute;left:0;text-align:left;margin-left:0;margin-top:256.05pt;width:345pt;height:185.5pt;z-index:251708416;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" fillcolor="white [3201]" strokecolor="#a7caec [831]" strokeweight="2.25pt">
                <v:stroke joinstyle="miter"/>
                <v:textbox>
                  <w:txbxContent>
                    <w:p w14:paraId="5428CFCE" w14:textId="3089A195" w:rsidR="00771E97" w:rsidRPr="00D20C71" w:rsidRDefault="00771E97" w:rsidP="00553E02">
                      <w:pPr>
                        <w:pStyle w:val="Heading1"/>
                        <w:jc w:val="center"/>
                        <w:rPr>
                          <w:rFonts w:asciiTheme="majorBidi" w:hAnsiTheme="majorBidi"/>
                          <w:b/>
                          <w:bCs/>
                          <w:color w:val="auto"/>
                          <w:sz w:val="48"/>
                          <w:szCs w:val="48"/>
                        </w:rPr>
                      </w:pPr>
                      <w:bookmarkStart w:id="223" w:name="_Toc198964999"/>
                      <w:bookmarkStart w:id="224" w:name="_Toc198966489"/>
                      <w:bookmarkStart w:id="225" w:name="_Toc199314480"/>
                      <w:bookmarkStart w:id="226" w:name="_Toc199314593"/>
                      <w:r>
                        <w:rPr>
                          <w:rFonts w:asciiTheme="majorBidi" w:hAnsiTheme="majorBidi"/>
                          <w:b/>
                          <w:bCs/>
                          <w:color w:val="auto"/>
                          <w:sz w:val="48"/>
                          <w:szCs w:val="48"/>
                        </w:rPr>
                        <w:t>TABLE DE MATIERE</w:t>
                      </w:r>
                      <w:bookmarkEnd w:id="223"/>
                      <w:bookmarkEnd w:id="224"/>
                      <w:bookmarkEnd w:id="225"/>
                      <w:bookmarkEnd w:id="226"/>
                    </w:p>
                  </w:txbxContent>
                </v:textbox>
                <w10:wrap anchorx="page"/>
              </v:roundrect>
            </w:pict>
          </mc:Fallback>
        </mc:AlternateContent>
      </w:r>
    </w:p>
    <w:p w14:paraId="34CDCC6F" w14:textId="77777777" w:rsidR="00553E02" w:rsidRPr="009132A6" w:rsidRDefault="00553E02" w:rsidP="00AE3850">
      <w:pPr>
        <w:spacing w:line="360" w:lineRule="auto"/>
        <w:jc w:val="both"/>
        <w:rPr>
          <w:rFonts w:asciiTheme="majorBidi" w:hAnsiTheme="majorBidi" w:cstheme="majorBidi"/>
        </w:rPr>
      </w:pPr>
    </w:p>
    <w:p w14:paraId="6D3A423F" w14:textId="77777777" w:rsidR="00553E02" w:rsidRPr="009132A6" w:rsidRDefault="00553E02" w:rsidP="00AE3850">
      <w:pPr>
        <w:spacing w:line="360" w:lineRule="auto"/>
        <w:jc w:val="both"/>
        <w:rPr>
          <w:rFonts w:asciiTheme="majorBidi" w:hAnsiTheme="majorBidi" w:cstheme="majorBidi"/>
        </w:rPr>
      </w:pPr>
    </w:p>
    <w:p w14:paraId="4AC2BFAF" w14:textId="77777777" w:rsidR="00553E02" w:rsidRPr="009132A6" w:rsidRDefault="00553E02" w:rsidP="00AE3850">
      <w:pPr>
        <w:spacing w:line="360" w:lineRule="auto"/>
        <w:jc w:val="both"/>
        <w:rPr>
          <w:rFonts w:asciiTheme="majorBidi" w:hAnsiTheme="majorBidi" w:cstheme="majorBidi"/>
        </w:rPr>
      </w:pPr>
    </w:p>
    <w:p w14:paraId="42A6742D" w14:textId="77777777" w:rsidR="00553E02" w:rsidRPr="009132A6" w:rsidRDefault="00553E02" w:rsidP="00AE3850">
      <w:pPr>
        <w:spacing w:line="360" w:lineRule="auto"/>
        <w:jc w:val="both"/>
        <w:rPr>
          <w:rFonts w:asciiTheme="majorBidi" w:hAnsiTheme="majorBidi" w:cstheme="majorBidi"/>
        </w:rPr>
      </w:pPr>
    </w:p>
    <w:p w14:paraId="1E790AB7" w14:textId="77777777" w:rsidR="00553E02" w:rsidRPr="009132A6" w:rsidRDefault="00553E02" w:rsidP="00AE3850">
      <w:pPr>
        <w:spacing w:line="360" w:lineRule="auto"/>
        <w:jc w:val="both"/>
        <w:rPr>
          <w:rFonts w:asciiTheme="majorBidi" w:hAnsiTheme="majorBidi" w:cstheme="majorBidi"/>
        </w:rPr>
      </w:pPr>
    </w:p>
    <w:p w14:paraId="2EB80F6F" w14:textId="77777777" w:rsidR="00553E02" w:rsidRPr="009132A6" w:rsidRDefault="00553E02" w:rsidP="00AE3850">
      <w:pPr>
        <w:spacing w:line="360" w:lineRule="auto"/>
        <w:jc w:val="both"/>
        <w:rPr>
          <w:rFonts w:asciiTheme="majorBidi" w:hAnsiTheme="majorBidi" w:cstheme="majorBidi"/>
        </w:rPr>
      </w:pPr>
    </w:p>
    <w:p w14:paraId="14F95044" w14:textId="77777777" w:rsidR="00553E02" w:rsidRPr="009132A6" w:rsidRDefault="00553E02" w:rsidP="00AE3850">
      <w:pPr>
        <w:spacing w:line="360" w:lineRule="auto"/>
        <w:jc w:val="both"/>
        <w:rPr>
          <w:rFonts w:asciiTheme="majorBidi" w:hAnsiTheme="majorBidi" w:cstheme="majorBidi"/>
        </w:rPr>
      </w:pPr>
    </w:p>
    <w:p w14:paraId="0F2664BB" w14:textId="77777777" w:rsidR="00553E02" w:rsidRPr="009132A6" w:rsidRDefault="00553E02" w:rsidP="00AE3850">
      <w:pPr>
        <w:spacing w:line="360" w:lineRule="auto"/>
        <w:jc w:val="both"/>
        <w:rPr>
          <w:rFonts w:asciiTheme="majorBidi" w:hAnsiTheme="majorBidi" w:cstheme="majorBidi"/>
        </w:rPr>
      </w:pPr>
    </w:p>
    <w:p w14:paraId="60AEE047" w14:textId="77777777" w:rsidR="00553E02" w:rsidRPr="009132A6" w:rsidRDefault="00553E02" w:rsidP="00AE3850">
      <w:pPr>
        <w:spacing w:line="360" w:lineRule="auto"/>
        <w:jc w:val="both"/>
        <w:rPr>
          <w:rFonts w:asciiTheme="majorBidi" w:hAnsiTheme="majorBidi" w:cstheme="majorBidi"/>
        </w:rPr>
      </w:pPr>
    </w:p>
    <w:p w14:paraId="13C6E314" w14:textId="77777777" w:rsidR="00553E02" w:rsidRPr="009132A6" w:rsidRDefault="00553E02" w:rsidP="00AE3850">
      <w:pPr>
        <w:spacing w:line="360" w:lineRule="auto"/>
        <w:jc w:val="both"/>
        <w:rPr>
          <w:rFonts w:asciiTheme="majorBidi" w:hAnsiTheme="majorBidi" w:cstheme="majorBidi"/>
        </w:rPr>
      </w:pPr>
    </w:p>
    <w:p w14:paraId="7FA05D54" w14:textId="77777777" w:rsidR="00553E02" w:rsidRPr="009132A6" w:rsidRDefault="00553E02" w:rsidP="00AE3850">
      <w:pPr>
        <w:spacing w:line="360" w:lineRule="auto"/>
        <w:jc w:val="both"/>
        <w:rPr>
          <w:rFonts w:asciiTheme="majorBidi" w:hAnsiTheme="majorBidi" w:cstheme="majorBidi"/>
        </w:rPr>
      </w:pPr>
    </w:p>
    <w:p w14:paraId="3AC2F92E" w14:textId="77777777" w:rsidR="00553E02" w:rsidRPr="009132A6" w:rsidRDefault="00553E02" w:rsidP="00AE3850">
      <w:pPr>
        <w:spacing w:line="360" w:lineRule="auto"/>
        <w:jc w:val="both"/>
        <w:rPr>
          <w:rFonts w:asciiTheme="majorBidi" w:hAnsiTheme="majorBidi" w:cstheme="majorBidi"/>
        </w:rPr>
      </w:pPr>
    </w:p>
    <w:p w14:paraId="3A27A882" w14:textId="77777777" w:rsidR="00553E02" w:rsidRPr="009132A6" w:rsidRDefault="00553E02" w:rsidP="00AE3850">
      <w:pPr>
        <w:spacing w:line="360" w:lineRule="auto"/>
        <w:jc w:val="both"/>
        <w:rPr>
          <w:rFonts w:asciiTheme="majorBidi" w:hAnsiTheme="majorBidi" w:cstheme="majorBidi"/>
        </w:rPr>
      </w:pPr>
    </w:p>
    <w:p w14:paraId="0B51FE72" w14:textId="77777777" w:rsidR="00553E02" w:rsidRPr="009132A6" w:rsidRDefault="00553E02" w:rsidP="00AE3850">
      <w:pPr>
        <w:spacing w:line="360" w:lineRule="auto"/>
        <w:jc w:val="both"/>
        <w:rPr>
          <w:rFonts w:asciiTheme="majorBidi" w:hAnsiTheme="majorBidi" w:cstheme="majorBidi"/>
        </w:rPr>
      </w:pPr>
    </w:p>
    <w:p w14:paraId="4E9FB21D" w14:textId="77777777" w:rsidR="00553E02" w:rsidRPr="009132A6" w:rsidRDefault="00553E02" w:rsidP="00AE3850">
      <w:pPr>
        <w:spacing w:line="360" w:lineRule="auto"/>
        <w:jc w:val="both"/>
        <w:rPr>
          <w:rFonts w:asciiTheme="majorBidi" w:hAnsiTheme="majorBidi" w:cstheme="majorBidi"/>
        </w:rPr>
      </w:pPr>
    </w:p>
    <w:p w14:paraId="6BA796A9" w14:textId="77777777" w:rsidR="00553E02" w:rsidRPr="009132A6" w:rsidRDefault="00553E02" w:rsidP="00AE3850">
      <w:pPr>
        <w:spacing w:line="360" w:lineRule="auto"/>
        <w:jc w:val="both"/>
        <w:rPr>
          <w:rFonts w:asciiTheme="majorBidi" w:hAnsiTheme="majorBidi" w:cstheme="majorBidi"/>
        </w:rPr>
      </w:pPr>
    </w:p>
    <w:p w14:paraId="4F02F6F4" w14:textId="77777777" w:rsidR="00553E02" w:rsidRPr="009132A6" w:rsidRDefault="00553E02" w:rsidP="00AE3850">
      <w:pPr>
        <w:spacing w:line="360" w:lineRule="auto"/>
        <w:jc w:val="both"/>
        <w:rPr>
          <w:rFonts w:asciiTheme="majorBidi" w:hAnsiTheme="majorBidi" w:cstheme="majorBidi"/>
        </w:rPr>
      </w:pPr>
    </w:p>
    <w:p w14:paraId="12FC9CAA" w14:textId="77777777" w:rsidR="00553E02" w:rsidRPr="009132A6" w:rsidRDefault="00553E02" w:rsidP="00AE3850">
      <w:pPr>
        <w:spacing w:line="360" w:lineRule="auto"/>
        <w:jc w:val="both"/>
        <w:rPr>
          <w:rFonts w:asciiTheme="majorBidi" w:hAnsiTheme="majorBidi" w:cstheme="majorBidi"/>
        </w:rPr>
      </w:pPr>
    </w:p>
    <w:p w14:paraId="6D4D0E2A" w14:textId="77777777" w:rsidR="00553E02" w:rsidRPr="009132A6" w:rsidRDefault="00553E02" w:rsidP="00AE3850">
      <w:pPr>
        <w:spacing w:line="360" w:lineRule="auto"/>
        <w:jc w:val="both"/>
        <w:rPr>
          <w:rFonts w:asciiTheme="majorBidi" w:hAnsiTheme="majorBidi" w:cstheme="majorBidi"/>
        </w:rPr>
      </w:pPr>
    </w:p>
    <w:p w14:paraId="755AE859" w14:textId="77777777" w:rsidR="00553E02" w:rsidRPr="009132A6" w:rsidRDefault="00553E02" w:rsidP="00AE3850">
      <w:pPr>
        <w:spacing w:line="360" w:lineRule="auto"/>
        <w:jc w:val="both"/>
        <w:rPr>
          <w:rFonts w:asciiTheme="majorBidi" w:hAnsiTheme="majorBidi" w:cstheme="majorBidi"/>
        </w:rPr>
      </w:pPr>
    </w:p>
    <w:p w14:paraId="35C5A374" w14:textId="7A1C58D4" w:rsidR="00553E02" w:rsidRPr="009132A6" w:rsidRDefault="00553E02" w:rsidP="00AE3850">
      <w:pPr>
        <w:tabs>
          <w:tab w:val="left" w:pos="1749"/>
        </w:tabs>
        <w:spacing w:line="360" w:lineRule="auto"/>
        <w:jc w:val="both"/>
        <w:rPr>
          <w:rFonts w:asciiTheme="majorBidi" w:hAnsiTheme="majorBidi" w:cstheme="majorBidi"/>
        </w:rPr>
      </w:pPr>
      <w:r w:rsidRPr="009132A6">
        <w:rPr>
          <w:rFonts w:asciiTheme="majorBidi" w:hAnsiTheme="majorBidi" w:cstheme="majorBidi"/>
        </w:rPr>
        <w:tab/>
      </w:r>
    </w:p>
    <w:p w14:paraId="1154C72F" w14:textId="7C6A1B9B" w:rsidR="00553E02" w:rsidRPr="009132A6" w:rsidRDefault="00553E02" w:rsidP="00AE3850">
      <w:pPr>
        <w:spacing w:line="360" w:lineRule="auto"/>
        <w:jc w:val="both"/>
        <w:rPr>
          <w:rFonts w:asciiTheme="majorBidi" w:hAnsiTheme="majorBidi" w:cstheme="majorBidi"/>
        </w:rPr>
      </w:pPr>
      <w:r w:rsidRPr="009132A6">
        <w:rPr>
          <w:rFonts w:asciiTheme="majorBidi" w:hAnsiTheme="majorBidi" w:cstheme="majorBidi"/>
        </w:rPr>
        <w:br w:type="page"/>
      </w:r>
    </w:p>
    <w:p w14:paraId="62CAAD79" w14:textId="60886032" w:rsidR="00080724" w:rsidRPr="00785D39" w:rsidRDefault="00DC0FBC" w:rsidP="00AE3850">
      <w:pPr>
        <w:pStyle w:val="TM1"/>
        <w:rPr>
          <w:rFonts w:asciiTheme="majorBidi" w:hAnsiTheme="majorBidi" w:cstheme="majorBidi"/>
          <w:b/>
          <w:bCs/>
          <w:noProof/>
        </w:rPr>
      </w:pPr>
      <w:r w:rsidRPr="009132A6">
        <w:rPr>
          <w:rFonts w:asciiTheme="majorBidi" w:hAnsiTheme="majorBidi" w:cstheme="majorBidi"/>
        </w:rPr>
        <w:lastRenderedPageBreak/>
        <w:fldChar w:fldCharType="begin"/>
      </w:r>
      <w:r w:rsidRPr="009132A6">
        <w:rPr>
          <w:rFonts w:asciiTheme="majorBidi" w:hAnsiTheme="majorBidi" w:cstheme="majorBidi"/>
        </w:rPr>
        <w:instrText xml:space="preserve"> TOC \o "1-5" \h \z \u </w:instrText>
      </w:r>
      <w:r w:rsidRPr="009132A6">
        <w:rPr>
          <w:rFonts w:asciiTheme="majorBidi" w:hAnsiTheme="majorBidi" w:cstheme="majorBidi"/>
        </w:rPr>
        <w:fldChar w:fldCharType="separate"/>
      </w:r>
      <w:hyperlink w:anchor="_Toc199314356" w:history="1">
        <w:r w:rsidR="00080724" w:rsidRPr="00785D39">
          <w:rPr>
            <w:rStyle w:val="Lienhypertexte"/>
            <w:rFonts w:asciiTheme="majorBidi" w:hAnsiTheme="majorBidi" w:cstheme="majorBidi"/>
            <w:b/>
            <w:bCs/>
            <w:noProof/>
          </w:rPr>
          <w:t>Sommaire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_Toc199314356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I</w:t>
        </w:r>
        <w:r w:rsidR="00080724" w:rsidRPr="00785D39">
          <w:rPr>
            <w:rFonts w:asciiTheme="majorBidi" w:hAnsiTheme="majorBidi" w:cstheme="majorBidi"/>
            <w:b/>
            <w:bCs/>
            <w:noProof/>
            <w:webHidden/>
          </w:rPr>
          <w:fldChar w:fldCharType="end"/>
        </w:r>
      </w:hyperlink>
    </w:p>
    <w:p w14:paraId="146DD4E0" w14:textId="1456E34B" w:rsidR="00080724" w:rsidRPr="00785D39" w:rsidRDefault="00AB34B8" w:rsidP="00AE3850">
      <w:pPr>
        <w:pStyle w:val="TM1"/>
        <w:rPr>
          <w:rFonts w:asciiTheme="majorBidi" w:hAnsiTheme="majorBidi" w:cstheme="majorBidi"/>
          <w:b/>
          <w:bCs/>
          <w:noProof/>
        </w:rPr>
      </w:pPr>
      <w:hyperlink w:anchor="_Toc199314357" w:history="1">
        <w:r w:rsidR="00080724" w:rsidRPr="00785D39">
          <w:rPr>
            <w:rStyle w:val="Lienhypertexte"/>
            <w:rFonts w:asciiTheme="majorBidi" w:hAnsiTheme="majorBidi" w:cstheme="majorBidi"/>
            <w:b/>
            <w:bCs/>
            <w:noProof/>
          </w:rPr>
          <w:t>Dédicaces</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_Toc199314357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II</w:t>
        </w:r>
        <w:r w:rsidR="00080724" w:rsidRPr="00785D39">
          <w:rPr>
            <w:rFonts w:asciiTheme="majorBidi" w:hAnsiTheme="majorBidi" w:cstheme="majorBidi"/>
            <w:b/>
            <w:bCs/>
            <w:noProof/>
            <w:webHidden/>
          </w:rPr>
          <w:fldChar w:fldCharType="end"/>
        </w:r>
      </w:hyperlink>
    </w:p>
    <w:p w14:paraId="548C47A7" w14:textId="7A4181C6" w:rsidR="00080724" w:rsidRPr="00785D39" w:rsidRDefault="00AB34B8" w:rsidP="00AE3850">
      <w:pPr>
        <w:pStyle w:val="TM1"/>
        <w:rPr>
          <w:rFonts w:asciiTheme="majorBidi" w:hAnsiTheme="majorBidi" w:cstheme="majorBidi"/>
          <w:b/>
          <w:bCs/>
          <w:noProof/>
        </w:rPr>
      </w:pPr>
      <w:hyperlink w:anchor="_Toc199314358" w:history="1">
        <w:r w:rsidR="00080724" w:rsidRPr="00785D39">
          <w:rPr>
            <w:rStyle w:val="Lienhypertexte"/>
            <w:rFonts w:asciiTheme="majorBidi" w:hAnsiTheme="majorBidi" w:cstheme="majorBidi"/>
            <w:b/>
            <w:bCs/>
            <w:noProof/>
          </w:rPr>
          <w:t>Remerciements</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_Toc199314358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IV</w:t>
        </w:r>
        <w:r w:rsidR="00080724" w:rsidRPr="00785D39">
          <w:rPr>
            <w:rFonts w:asciiTheme="majorBidi" w:hAnsiTheme="majorBidi" w:cstheme="majorBidi"/>
            <w:b/>
            <w:bCs/>
            <w:noProof/>
            <w:webHidden/>
          </w:rPr>
          <w:fldChar w:fldCharType="end"/>
        </w:r>
      </w:hyperlink>
    </w:p>
    <w:p w14:paraId="24A5A6F0" w14:textId="6707F7A2" w:rsidR="00080724" w:rsidRPr="00785D39" w:rsidRDefault="00AB34B8" w:rsidP="00AE3850">
      <w:pPr>
        <w:pStyle w:val="TM1"/>
        <w:rPr>
          <w:rFonts w:asciiTheme="majorBidi" w:hAnsiTheme="majorBidi" w:cstheme="majorBidi"/>
          <w:b/>
          <w:bCs/>
          <w:noProof/>
        </w:rPr>
      </w:pPr>
      <w:hyperlink w:anchor="_Toc199314359" w:history="1">
        <w:r w:rsidR="00080724" w:rsidRPr="00785D39">
          <w:rPr>
            <w:rStyle w:val="Lienhypertexte"/>
            <w:rFonts w:asciiTheme="majorBidi" w:hAnsiTheme="majorBidi" w:cstheme="majorBidi"/>
            <w:b/>
            <w:bCs/>
            <w:noProof/>
          </w:rPr>
          <w:t>Liste des figures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_Toc199314359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V</w:t>
        </w:r>
        <w:r w:rsidR="00080724" w:rsidRPr="00785D39">
          <w:rPr>
            <w:rFonts w:asciiTheme="majorBidi" w:hAnsiTheme="majorBidi" w:cstheme="majorBidi"/>
            <w:b/>
            <w:bCs/>
            <w:noProof/>
            <w:webHidden/>
          </w:rPr>
          <w:fldChar w:fldCharType="end"/>
        </w:r>
      </w:hyperlink>
    </w:p>
    <w:p w14:paraId="020213CB" w14:textId="0B7E35C7" w:rsidR="00080724" w:rsidRPr="00785D39" w:rsidRDefault="00AB34B8" w:rsidP="00AE3850">
      <w:pPr>
        <w:pStyle w:val="TM1"/>
        <w:rPr>
          <w:rFonts w:asciiTheme="majorBidi" w:hAnsiTheme="majorBidi" w:cstheme="majorBidi"/>
          <w:b/>
          <w:bCs/>
          <w:noProof/>
        </w:rPr>
      </w:pPr>
      <w:hyperlink w:anchor="_Toc199314360" w:history="1">
        <w:r w:rsidR="00080724" w:rsidRPr="00785D39">
          <w:rPr>
            <w:rStyle w:val="Lienhypertexte"/>
            <w:rFonts w:asciiTheme="majorBidi" w:hAnsiTheme="majorBidi" w:cstheme="majorBidi"/>
            <w:b/>
            <w:bCs/>
            <w:noProof/>
          </w:rPr>
          <w:t>Liste des tableaux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VI</w:t>
        </w:r>
        <w:r w:rsidR="00080724" w:rsidRPr="00785D39">
          <w:rPr>
            <w:rFonts w:asciiTheme="majorBidi" w:hAnsiTheme="majorBidi" w:cstheme="majorBidi"/>
            <w:b/>
            <w:bCs/>
            <w:noProof/>
            <w:webHidden/>
          </w:rPr>
          <w:fldChar w:fldCharType="end"/>
        </w:r>
      </w:hyperlink>
    </w:p>
    <w:p w14:paraId="24BDF49E" w14:textId="05DB7907" w:rsidR="00080724" w:rsidRPr="00785D39" w:rsidRDefault="00AB34B8" w:rsidP="00AE3850">
      <w:pPr>
        <w:pStyle w:val="TM1"/>
        <w:rPr>
          <w:rFonts w:asciiTheme="majorBidi" w:hAnsiTheme="majorBidi" w:cstheme="majorBidi"/>
          <w:b/>
          <w:bCs/>
          <w:noProof/>
        </w:rPr>
      </w:pPr>
      <w:hyperlink w:anchor="_Toc199314361" w:history="1">
        <w:r w:rsidR="00080724" w:rsidRPr="00785D39">
          <w:rPr>
            <w:rStyle w:val="Lienhypertexte"/>
            <w:rFonts w:asciiTheme="majorBidi" w:hAnsiTheme="majorBidi" w:cstheme="majorBidi"/>
            <w:b/>
            <w:bCs/>
            <w:noProof/>
          </w:rPr>
          <w:t>Liste des abréviations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VII</w:t>
        </w:r>
        <w:r w:rsidR="00080724" w:rsidRPr="00785D39">
          <w:rPr>
            <w:rFonts w:asciiTheme="majorBidi" w:hAnsiTheme="majorBidi" w:cstheme="majorBidi"/>
            <w:b/>
            <w:bCs/>
            <w:noProof/>
            <w:webHidden/>
          </w:rPr>
          <w:fldChar w:fldCharType="end"/>
        </w:r>
      </w:hyperlink>
    </w:p>
    <w:p w14:paraId="265E08C6" w14:textId="64A3166C" w:rsidR="00080724" w:rsidRPr="00785D39" w:rsidRDefault="00AB34B8" w:rsidP="00AE3850">
      <w:pPr>
        <w:pStyle w:val="TM1"/>
        <w:rPr>
          <w:rFonts w:asciiTheme="majorBidi" w:hAnsiTheme="majorBidi" w:cstheme="majorBidi"/>
          <w:b/>
          <w:bCs/>
          <w:noProof/>
        </w:rPr>
      </w:pPr>
      <w:hyperlink w:anchor="_Toc199314362" w:history="1">
        <w:r w:rsidR="00080724" w:rsidRPr="00785D39">
          <w:rPr>
            <w:rStyle w:val="Lienhypertexte"/>
            <w:rFonts w:asciiTheme="majorBidi" w:hAnsiTheme="majorBidi" w:cstheme="majorBidi"/>
            <w:b/>
            <w:bCs/>
            <w:noProof/>
          </w:rPr>
          <w:t>Résumé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VIII</w:t>
        </w:r>
        <w:r w:rsidR="00080724" w:rsidRPr="00785D39">
          <w:rPr>
            <w:rFonts w:asciiTheme="majorBidi" w:hAnsiTheme="majorBidi" w:cstheme="majorBidi"/>
            <w:b/>
            <w:bCs/>
            <w:noProof/>
            <w:webHidden/>
          </w:rPr>
          <w:fldChar w:fldCharType="end"/>
        </w:r>
      </w:hyperlink>
    </w:p>
    <w:p w14:paraId="00836754" w14:textId="1D21A8B3" w:rsidR="00080724" w:rsidRPr="00785D39" w:rsidRDefault="00AB34B8" w:rsidP="00AE3850">
      <w:pPr>
        <w:pStyle w:val="TM1"/>
        <w:rPr>
          <w:rFonts w:asciiTheme="majorBidi" w:hAnsiTheme="majorBidi" w:cstheme="majorBidi"/>
          <w:b/>
          <w:bCs/>
          <w:noProof/>
        </w:rPr>
      </w:pPr>
      <w:hyperlink w:anchor="_Toc199314363" w:history="1">
        <w:r w:rsidR="00080724" w:rsidRPr="00785D39">
          <w:rPr>
            <w:rStyle w:val="Lienhypertexte"/>
            <w:rFonts w:asciiTheme="majorBidi" w:hAnsiTheme="majorBidi" w:cstheme="majorBidi"/>
            <w:b/>
            <w:bCs/>
            <w:noProof/>
            <w:rtl/>
            <w:lang w:bidi="ar-DZ"/>
          </w:rPr>
          <w:t>الملخص</w:t>
        </w:r>
        <w:r w:rsidR="00080724" w:rsidRPr="00785D39">
          <w:rPr>
            <w:rStyle w:val="Lienhypertexte"/>
            <w:rFonts w:asciiTheme="majorBidi" w:hAnsiTheme="majorBidi" w:cstheme="majorBidi"/>
            <w:b/>
            <w:bCs/>
            <w:noProof/>
            <w:lang w:bidi="ar-DZ"/>
          </w:rPr>
          <w:t>:</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IX</w:t>
        </w:r>
        <w:r w:rsidR="00080724" w:rsidRPr="00785D39">
          <w:rPr>
            <w:rFonts w:asciiTheme="majorBidi" w:hAnsiTheme="majorBidi" w:cstheme="majorBidi"/>
            <w:b/>
            <w:bCs/>
            <w:noProof/>
            <w:webHidden/>
          </w:rPr>
          <w:fldChar w:fldCharType="end"/>
        </w:r>
      </w:hyperlink>
    </w:p>
    <w:p w14:paraId="4C1FBB5C" w14:textId="6AEDED54" w:rsidR="00080724" w:rsidRPr="00785D39" w:rsidRDefault="00AB34B8" w:rsidP="00AE3850">
      <w:pPr>
        <w:pStyle w:val="TM1"/>
        <w:rPr>
          <w:rFonts w:asciiTheme="majorBidi" w:hAnsiTheme="majorBidi" w:cstheme="majorBidi"/>
          <w:b/>
          <w:bCs/>
          <w:noProof/>
        </w:rPr>
      </w:pPr>
      <w:hyperlink w:anchor="_Toc199314364" w:history="1">
        <w:r w:rsidR="00080724" w:rsidRPr="00785D39">
          <w:rPr>
            <w:rStyle w:val="Lienhypertexte"/>
            <w:rFonts w:asciiTheme="majorBidi" w:hAnsiTheme="majorBidi" w:cstheme="majorBidi"/>
            <w:b/>
            <w:bCs/>
            <w:noProof/>
            <w:lang w:val="en-CA"/>
          </w:rPr>
          <w:t>Abstract:</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X</w:t>
        </w:r>
        <w:r w:rsidR="00080724" w:rsidRPr="00785D39">
          <w:rPr>
            <w:rFonts w:asciiTheme="majorBidi" w:hAnsiTheme="majorBidi" w:cstheme="majorBidi"/>
            <w:b/>
            <w:bCs/>
            <w:noProof/>
            <w:webHidden/>
          </w:rPr>
          <w:fldChar w:fldCharType="end"/>
        </w:r>
      </w:hyperlink>
    </w:p>
    <w:p w14:paraId="78639AF3" w14:textId="2E3B2648" w:rsidR="00080724" w:rsidRPr="00785D39" w:rsidRDefault="00AB34B8" w:rsidP="00AE3850">
      <w:pPr>
        <w:pStyle w:val="TM1"/>
        <w:rPr>
          <w:rFonts w:asciiTheme="majorBidi" w:hAnsiTheme="majorBidi" w:cstheme="majorBidi"/>
          <w:b/>
          <w:bCs/>
          <w:noProof/>
        </w:rPr>
      </w:pPr>
      <w:hyperlink w:anchor="_Toc199314365" w:history="1">
        <w:r w:rsidR="00080724" w:rsidRPr="00785D39">
          <w:rPr>
            <w:rStyle w:val="Lienhypertexte"/>
            <w:rFonts w:asciiTheme="majorBidi" w:hAnsiTheme="majorBidi" w:cstheme="majorBidi"/>
            <w:b/>
            <w:bCs/>
            <w:noProof/>
          </w:rPr>
          <w:t>INTRODUCTION GENERALE</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w:t>
        </w:r>
        <w:r w:rsidR="00080724" w:rsidRPr="00785D39">
          <w:rPr>
            <w:rFonts w:asciiTheme="majorBidi" w:hAnsiTheme="majorBidi" w:cstheme="majorBidi"/>
            <w:b/>
            <w:bCs/>
            <w:noProof/>
            <w:webHidden/>
          </w:rPr>
          <w:fldChar w:fldCharType="end"/>
        </w:r>
      </w:hyperlink>
    </w:p>
    <w:p w14:paraId="203C627A" w14:textId="438BD710"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366" w:history="1">
        <w:r w:rsidR="00080724" w:rsidRPr="00785D39">
          <w:rPr>
            <w:rStyle w:val="Lienhypertexte"/>
            <w:rFonts w:asciiTheme="majorBidi" w:hAnsiTheme="majorBidi" w:cstheme="majorBidi"/>
            <w:b/>
            <w:bCs/>
            <w:noProof/>
            <w:lang w:eastAsia="fr-FR"/>
          </w:rPr>
          <w:t>Problématique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w:t>
        </w:r>
        <w:r w:rsidR="00080724" w:rsidRPr="00785D39">
          <w:rPr>
            <w:rFonts w:asciiTheme="majorBidi" w:hAnsiTheme="majorBidi" w:cstheme="majorBidi"/>
            <w:b/>
            <w:bCs/>
            <w:noProof/>
            <w:webHidden/>
          </w:rPr>
          <w:fldChar w:fldCharType="end"/>
        </w:r>
      </w:hyperlink>
    </w:p>
    <w:p w14:paraId="479AA216" w14:textId="62B5E8A8"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367" w:history="1">
        <w:r w:rsidR="00080724" w:rsidRPr="00785D39">
          <w:rPr>
            <w:rStyle w:val="Lienhypertexte"/>
            <w:rFonts w:asciiTheme="majorBidi" w:hAnsiTheme="majorBidi" w:cstheme="majorBidi"/>
            <w:b/>
            <w:bCs/>
            <w:noProof/>
            <w:lang w:eastAsia="fr-FR"/>
          </w:rPr>
          <w:t>Questions de recherche secondaires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w:t>
        </w:r>
        <w:r w:rsidR="00080724" w:rsidRPr="00785D39">
          <w:rPr>
            <w:rFonts w:asciiTheme="majorBidi" w:hAnsiTheme="majorBidi" w:cstheme="majorBidi"/>
            <w:b/>
            <w:bCs/>
            <w:noProof/>
            <w:webHidden/>
          </w:rPr>
          <w:fldChar w:fldCharType="end"/>
        </w:r>
      </w:hyperlink>
    </w:p>
    <w:p w14:paraId="1248EF93" w14:textId="05648B80"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368" w:history="1">
        <w:r w:rsidR="00080724" w:rsidRPr="00785D39">
          <w:rPr>
            <w:rStyle w:val="Lienhypertexte"/>
            <w:rFonts w:asciiTheme="majorBidi" w:hAnsiTheme="majorBidi" w:cstheme="majorBidi"/>
            <w:b/>
            <w:bCs/>
            <w:noProof/>
            <w:lang w:eastAsia="fr-FR"/>
          </w:rPr>
          <w:t>Hypothèse générale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w:t>
        </w:r>
        <w:r w:rsidR="00080724" w:rsidRPr="00785D39">
          <w:rPr>
            <w:rFonts w:asciiTheme="majorBidi" w:hAnsiTheme="majorBidi" w:cstheme="majorBidi"/>
            <w:b/>
            <w:bCs/>
            <w:noProof/>
            <w:webHidden/>
          </w:rPr>
          <w:fldChar w:fldCharType="end"/>
        </w:r>
      </w:hyperlink>
    </w:p>
    <w:p w14:paraId="131B9C1E" w14:textId="5F46CB43"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369" w:history="1">
        <w:r w:rsidR="00080724" w:rsidRPr="00785D39">
          <w:rPr>
            <w:rStyle w:val="Lienhypertexte"/>
            <w:rFonts w:asciiTheme="majorBidi" w:hAnsiTheme="majorBidi" w:cstheme="majorBidi"/>
            <w:b/>
            <w:bCs/>
            <w:noProof/>
            <w:lang w:eastAsia="fr-FR"/>
          </w:rPr>
          <w:t>Hypothèses spécifiques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_Toc199314369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w:t>
        </w:r>
        <w:r w:rsidR="00080724" w:rsidRPr="00785D39">
          <w:rPr>
            <w:rFonts w:asciiTheme="majorBidi" w:hAnsiTheme="majorBidi" w:cstheme="majorBidi"/>
            <w:b/>
            <w:bCs/>
            <w:noProof/>
            <w:webHidden/>
          </w:rPr>
          <w:fldChar w:fldCharType="end"/>
        </w:r>
      </w:hyperlink>
    </w:p>
    <w:p w14:paraId="2540E9D7" w14:textId="63C73E4E"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370" w:history="1">
        <w:r w:rsidR="00080724" w:rsidRPr="00785D39">
          <w:rPr>
            <w:rStyle w:val="Lienhypertexte"/>
            <w:rFonts w:asciiTheme="majorBidi" w:hAnsiTheme="majorBidi" w:cstheme="majorBidi"/>
            <w:b/>
            <w:bCs/>
            <w:noProof/>
          </w:rPr>
          <w:t>Motifs du choix du thème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w:t>
        </w:r>
        <w:r w:rsidR="00080724" w:rsidRPr="00785D39">
          <w:rPr>
            <w:rFonts w:asciiTheme="majorBidi" w:hAnsiTheme="majorBidi" w:cstheme="majorBidi"/>
            <w:b/>
            <w:bCs/>
            <w:noProof/>
            <w:webHidden/>
          </w:rPr>
          <w:fldChar w:fldCharType="end"/>
        </w:r>
      </w:hyperlink>
    </w:p>
    <w:p w14:paraId="4657A6C3" w14:textId="4EC8654E"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371" w:history="1">
        <w:r w:rsidR="00080724" w:rsidRPr="00785D39">
          <w:rPr>
            <w:rStyle w:val="Lienhypertexte"/>
            <w:rFonts w:asciiTheme="majorBidi" w:hAnsiTheme="majorBidi" w:cstheme="majorBidi"/>
            <w:b/>
            <w:bCs/>
            <w:noProof/>
            <w:lang w:eastAsia="fr-FR"/>
          </w:rPr>
          <w:t>Objectifs de la recherche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w:t>
        </w:r>
        <w:r w:rsidR="00080724" w:rsidRPr="00785D39">
          <w:rPr>
            <w:rFonts w:asciiTheme="majorBidi" w:hAnsiTheme="majorBidi" w:cstheme="majorBidi"/>
            <w:b/>
            <w:bCs/>
            <w:noProof/>
            <w:webHidden/>
          </w:rPr>
          <w:fldChar w:fldCharType="end"/>
        </w:r>
      </w:hyperlink>
    </w:p>
    <w:p w14:paraId="2BA54F86" w14:textId="41A3F089"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372" w:history="1">
        <w:r w:rsidR="00080724" w:rsidRPr="00785D39">
          <w:rPr>
            <w:rStyle w:val="Lienhypertexte"/>
            <w:rFonts w:asciiTheme="majorBidi" w:hAnsiTheme="majorBidi" w:cstheme="majorBidi"/>
            <w:b/>
            <w:bCs/>
            <w:noProof/>
            <w:lang w:eastAsia="fr-FR"/>
          </w:rPr>
          <w:t>Méthodologie de la recherche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w:t>
        </w:r>
        <w:r w:rsidR="00080724" w:rsidRPr="00785D39">
          <w:rPr>
            <w:rFonts w:asciiTheme="majorBidi" w:hAnsiTheme="majorBidi" w:cstheme="majorBidi"/>
            <w:b/>
            <w:bCs/>
            <w:noProof/>
            <w:webHidden/>
          </w:rPr>
          <w:fldChar w:fldCharType="end"/>
        </w:r>
      </w:hyperlink>
    </w:p>
    <w:p w14:paraId="7FE8827F" w14:textId="0C5861EF"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373" w:history="1">
        <w:r w:rsidR="00080724" w:rsidRPr="00785D39">
          <w:rPr>
            <w:rStyle w:val="Lienhypertexte"/>
            <w:rFonts w:asciiTheme="majorBidi" w:hAnsiTheme="majorBidi" w:cstheme="majorBidi"/>
            <w:b/>
            <w:bCs/>
            <w:noProof/>
            <w:lang w:eastAsia="fr-FR"/>
          </w:rPr>
          <w:t>Le plan de travail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7</w:t>
        </w:r>
        <w:r w:rsidR="00080724" w:rsidRPr="00785D39">
          <w:rPr>
            <w:rFonts w:asciiTheme="majorBidi" w:hAnsiTheme="majorBidi" w:cstheme="majorBidi"/>
            <w:b/>
            <w:bCs/>
            <w:noProof/>
            <w:webHidden/>
          </w:rPr>
          <w:fldChar w:fldCharType="end"/>
        </w:r>
      </w:hyperlink>
    </w:p>
    <w:p w14:paraId="15E33288" w14:textId="001AAF99" w:rsidR="00080724" w:rsidRPr="00785D39" w:rsidRDefault="00AB34B8" w:rsidP="00AE3850">
      <w:pPr>
        <w:pStyle w:val="TM1"/>
        <w:rPr>
          <w:rFonts w:asciiTheme="majorBidi" w:hAnsiTheme="majorBidi" w:cstheme="majorBidi"/>
          <w:b/>
          <w:bCs/>
          <w:noProof/>
        </w:rPr>
      </w:pPr>
      <w:hyperlink w:anchor="_Toc199314374" w:history="1">
        <w:r w:rsidR="00080724" w:rsidRPr="00785D39">
          <w:rPr>
            <w:rStyle w:val="Lienhypertexte"/>
            <w:rFonts w:asciiTheme="majorBidi" w:hAnsiTheme="majorBidi" w:cstheme="majorBidi"/>
            <w:b/>
            <w:bCs/>
            <w:noProof/>
          </w:rPr>
          <w:t>CHAPITRE 01 : Les concepts fondamentaux du contrôle de gestion et de la gestion budgétaire</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8</w:t>
        </w:r>
        <w:r w:rsidR="00080724" w:rsidRPr="00785D39">
          <w:rPr>
            <w:rFonts w:asciiTheme="majorBidi" w:hAnsiTheme="majorBidi" w:cstheme="majorBidi"/>
            <w:b/>
            <w:bCs/>
            <w:noProof/>
            <w:webHidden/>
          </w:rPr>
          <w:fldChar w:fldCharType="end"/>
        </w:r>
      </w:hyperlink>
    </w:p>
    <w:p w14:paraId="48165091" w14:textId="16FF184D" w:rsidR="00080724" w:rsidRPr="00785D39" w:rsidRDefault="00AB34B8" w:rsidP="00AE3850">
      <w:pPr>
        <w:pStyle w:val="TM1"/>
        <w:rPr>
          <w:rFonts w:asciiTheme="majorBidi" w:hAnsiTheme="majorBidi" w:cstheme="majorBidi"/>
          <w:b/>
          <w:bCs/>
          <w:noProof/>
        </w:rPr>
      </w:pPr>
      <w:hyperlink w:anchor="_Toc199314375" w:history="1">
        <w:r w:rsidR="00080724" w:rsidRPr="00785D39">
          <w:rPr>
            <w:rStyle w:val="Lienhypertexte"/>
            <w:rFonts w:asciiTheme="majorBidi" w:hAnsiTheme="majorBidi" w:cstheme="majorBidi"/>
            <w:b/>
            <w:bCs/>
            <w:noProof/>
            <w:lang w:eastAsia="fr-FR"/>
          </w:rPr>
          <w:t>Introduction du chapitre 01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9</w:t>
        </w:r>
        <w:r w:rsidR="00080724" w:rsidRPr="00785D39">
          <w:rPr>
            <w:rFonts w:asciiTheme="majorBidi" w:hAnsiTheme="majorBidi" w:cstheme="majorBidi"/>
            <w:b/>
            <w:bCs/>
            <w:noProof/>
            <w:webHidden/>
          </w:rPr>
          <w:fldChar w:fldCharType="end"/>
        </w:r>
      </w:hyperlink>
    </w:p>
    <w:p w14:paraId="1B1D9741" w14:textId="5A54A7E9"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376" w:history="1">
        <w:r w:rsidR="00080724" w:rsidRPr="00785D39">
          <w:rPr>
            <w:rStyle w:val="Lienhypertexte"/>
            <w:rFonts w:asciiTheme="majorBidi" w:hAnsiTheme="majorBidi" w:cstheme="majorBidi"/>
            <w:b/>
            <w:bCs/>
            <w:noProof/>
            <w:lang w:eastAsia="fr-FR"/>
          </w:rPr>
          <w:t>Section01 :</w:t>
        </w:r>
        <w:r w:rsidR="00080724" w:rsidRPr="00785D39">
          <w:rPr>
            <w:rStyle w:val="Lienhypertexte"/>
            <w:rFonts w:asciiTheme="majorBidi" w:hAnsiTheme="majorBidi" w:cstheme="majorBidi"/>
            <w:b/>
            <w:bCs/>
            <w:noProof/>
          </w:rPr>
          <w:t xml:space="preserve"> </w:t>
        </w:r>
        <w:r w:rsidR="00080724" w:rsidRPr="00785D39">
          <w:rPr>
            <w:rStyle w:val="Lienhypertexte"/>
            <w:rFonts w:asciiTheme="majorBidi" w:hAnsiTheme="majorBidi" w:cstheme="majorBidi"/>
            <w:b/>
            <w:bCs/>
            <w:noProof/>
            <w:lang w:eastAsia="fr-FR"/>
          </w:rPr>
          <w:t>Notions de base sur le contrôle de gestion</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10</w:t>
        </w:r>
        <w:r w:rsidR="00080724" w:rsidRPr="00785D39">
          <w:rPr>
            <w:rFonts w:asciiTheme="majorBidi" w:hAnsiTheme="majorBidi" w:cstheme="majorBidi"/>
            <w:b/>
            <w:bCs/>
            <w:noProof/>
            <w:webHidden/>
          </w:rPr>
          <w:fldChar w:fldCharType="end"/>
        </w:r>
      </w:hyperlink>
    </w:p>
    <w:p w14:paraId="59406484" w14:textId="17313B46"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377" w:history="1">
        <w:r w:rsidR="00080724" w:rsidRPr="00785D39">
          <w:rPr>
            <w:rStyle w:val="Lienhypertexte"/>
            <w:rFonts w:asciiTheme="majorBidi" w:eastAsia="Times New Roman" w:hAnsiTheme="majorBidi" w:cstheme="majorBidi"/>
            <w:b/>
            <w:bCs/>
            <w:noProof/>
            <w:lang w:eastAsia="fr-FR"/>
          </w:rPr>
          <w:t>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L’évolution du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10</w:t>
        </w:r>
        <w:r w:rsidR="00080724" w:rsidRPr="00785D39">
          <w:rPr>
            <w:rFonts w:asciiTheme="majorBidi" w:hAnsiTheme="majorBidi" w:cstheme="majorBidi"/>
            <w:b/>
            <w:bCs/>
            <w:noProof/>
            <w:webHidden/>
          </w:rPr>
          <w:fldChar w:fldCharType="end"/>
        </w:r>
      </w:hyperlink>
    </w:p>
    <w:p w14:paraId="165CF5DF" w14:textId="78904654"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378" w:history="1">
        <w:r w:rsidR="00080724" w:rsidRPr="00785D39">
          <w:rPr>
            <w:rStyle w:val="Lienhypertexte"/>
            <w:rFonts w:asciiTheme="majorBidi" w:hAnsiTheme="majorBidi" w:cstheme="majorBidi"/>
            <w:b/>
            <w:bCs/>
            <w:noProof/>
            <w:lang w:eastAsia="fr-FR"/>
          </w:rPr>
          <w:t>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Définition du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12</w:t>
        </w:r>
        <w:r w:rsidR="00080724" w:rsidRPr="00785D39">
          <w:rPr>
            <w:rFonts w:asciiTheme="majorBidi" w:hAnsiTheme="majorBidi" w:cstheme="majorBidi"/>
            <w:b/>
            <w:bCs/>
            <w:noProof/>
            <w:webHidden/>
          </w:rPr>
          <w:fldChar w:fldCharType="end"/>
        </w:r>
      </w:hyperlink>
    </w:p>
    <w:p w14:paraId="07511E4B" w14:textId="23E9B868"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79" w:history="1">
        <w:r w:rsidR="00080724" w:rsidRPr="00785D39">
          <w:rPr>
            <w:rStyle w:val="Lienhypertexte"/>
            <w:rFonts w:asciiTheme="majorBidi" w:eastAsia="Times New Roman" w:hAnsiTheme="majorBidi" w:cstheme="majorBidi"/>
            <w:b/>
            <w:bCs/>
            <w:noProof/>
            <w:lang w:eastAsia="fr-FR"/>
          </w:rPr>
          <w:t>2.1.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La notion de contrôle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_Toc199314379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12</w:t>
        </w:r>
        <w:r w:rsidR="00080724" w:rsidRPr="00785D39">
          <w:rPr>
            <w:rFonts w:asciiTheme="majorBidi" w:hAnsiTheme="majorBidi" w:cstheme="majorBidi"/>
            <w:b/>
            <w:bCs/>
            <w:noProof/>
            <w:webHidden/>
          </w:rPr>
          <w:fldChar w:fldCharType="end"/>
        </w:r>
      </w:hyperlink>
    </w:p>
    <w:p w14:paraId="4E03D227" w14:textId="31F96B35"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80" w:history="1">
        <w:r w:rsidR="00080724" w:rsidRPr="00785D39">
          <w:rPr>
            <w:rStyle w:val="Lienhypertexte"/>
            <w:rFonts w:asciiTheme="majorBidi" w:hAnsiTheme="majorBidi" w:cstheme="majorBidi"/>
            <w:b/>
            <w:bCs/>
            <w:noProof/>
            <w:lang w:eastAsia="fr-FR"/>
          </w:rPr>
          <w:t>2.2.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Qu’est-ce que le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12</w:t>
        </w:r>
        <w:r w:rsidR="00080724" w:rsidRPr="00785D39">
          <w:rPr>
            <w:rFonts w:asciiTheme="majorBidi" w:hAnsiTheme="majorBidi" w:cstheme="majorBidi"/>
            <w:b/>
            <w:bCs/>
            <w:noProof/>
            <w:webHidden/>
          </w:rPr>
          <w:fldChar w:fldCharType="end"/>
        </w:r>
      </w:hyperlink>
    </w:p>
    <w:p w14:paraId="03A1F0C6" w14:textId="391EFFBC"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381" w:history="1">
        <w:r w:rsidR="00080724" w:rsidRPr="00785D39">
          <w:rPr>
            <w:rStyle w:val="Lienhypertexte"/>
            <w:rFonts w:asciiTheme="majorBidi" w:eastAsia="Times New Roman" w:hAnsiTheme="majorBidi" w:cstheme="majorBidi"/>
            <w:b/>
            <w:bCs/>
            <w:noProof/>
            <w:lang w:eastAsia="fr-FR"/>
          </w:rPr>
          <w:t>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objectifs du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14</w:t>
        </w:r>
        <w:r w:rsidR="00080724" w:rsidRPr="00785D39">
          <w:rPr>
            <w:rFonts w:asciiTheme="majorBidi" w:hAnsiTheme="majorBidi" w:cstheme="majorBidi"/>
            <w:b/>
            <w:bCs/>
            <w:noProof/>
            <w:webHidden/>
          </w:rPr>
          <w:fldChar w:fldCharType="end"/>
        </w:r>
      </w:hyperlink>
    </w:p>
    <w:p w14:paraId="769E7DCB" w14:textId="0A5CED93"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82" w:history="1">
        <w:r w:rsidR="00080724" w:rsidRPr="00785D39">
          <w:rPr>
            <w:rStyle w:val="Lienhypertexte"/>
            <w:rFonts w:asciiTheme="majorBidi" w:hAnsiTheme="majorBidi" w:cstheme="majorBidi"/>
            <w:b/>
            <w:bCs/>
            <w:noProof/>
            <w:lang w:eastAsia="fr-FR"/>
          </w:rPr>
          <w:t>3.1.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L’efficacité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14</w:t>
        </w:r>
        <w:r w:rsidR="00080724" w:rsidRPr="00785D39">
          <w:rPr>
            <w:rFonts w:asciiTheme="majorBidi" w:hAnsiTheme="majorBidi" w:cstheme="majorBidi"/>
            <w:b/>
            <w:bCs/>
            <w:noProof/>
            <w:webHidden/>
          </w:rPr>
          <w:fldChar w:fldCharType="end"/>
        </w:r>
      </w:hyperlink>
    </w:p>
    <w:p w14:paraId="394CD8D8" w14:textId="2FCA2B3D"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83" w:history="1">
        <w:r w:rsidR="00080724" w:rsidRPr="00785D39">
          <w:rPr>
            <w:rStyle w:val="Lienhypertexte"/>
            <w:rFonts w:asciiTheme="majorBidi" w:hAnsiTheme="majorBidi" w:cstheme="majorBidi"/>
            <w:b/>
            <w:bCs/>
            <w:noProof/>
            <w:lang w:eastAsia="fr-FR"/>
          </w:rPr>
          <w:t>3.2.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L’efficience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14</w:t>
        </w:r>
        <w:r w:rsidR="00080724" w:rsidRPr="00785D39">
          <w:rPr>
            <w:rFonts w:asciiTheme="majorBidi" w:hAnsiTheme="majorBidi" w:cstheme="majorBidi"/>
            <w:b/>
            <w:bCs/>
            <w:noProof/>
            <w:webHidden/>
          </w:rPr>
          <w:fldChar w:fldCharType="end"/>
        </w:r>
      </w:hyperlink>
    </w:p>
    <w:p w14:paraId="5427B94C" w14:textId="1072AF1C"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84" w:history="1">
        <w:r w:rsidR="00080724" w:rsidRPr="00785D39">
          <w:rPr>
            <w:rStyle w:val="Lienhypertexte"/>
            <w:rFonts w:asciiTheme="majorBidi" w:hAnsiTheme="majorBidi" w:cstheme="majorBidi"/>
            <w:b/>
            <w:bCs/>
            <w:noProof/>
            <w:lang w:eastAsia="fr-FR"/>
          </w:rPr>
          <w:t>3.3.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L’économie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15</w:t>
        </w:r>
        <w:r w:rsidR="00080724" w:rsidRPr="00785D39">
          <w:rPr>
            <w:rFonts w:asciiTheme="majorBidi" w:hAnsiTheme="majorBidi" w:cstheme="majorBidi"/>
            <w:b/>
            <w:bCs/>
            <w:noProof/>
            <w:webHidden/>
          </w:rPr>
          <w:fldChar w:fldCharType="end"/>
        </w:r>
      </w:hyperlink>
    </w:p>
    <w:p w14:paraId="12FC88DB" w14:textId="184BCC91"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385" w:history="1">
        <w:r w:rsidR="00080724" w:rsidRPr="00785D39">
          <w:rPr>
            <w:rStyle w:val="Lienhypertexte"/>
            <w:rFonts w:asciiTheme="majorBidi" w:hAnsiTheme="majorBidi" w:cstheme="majorBidi"/>
            <w:b/>
            <w:bCs/>
            <w:noProof/>
            <w:lang w:eastAsia="fr-FR"/>
          </w:rPr>
          <w:t>4.</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shd w:val="clear" w:color="auto" w:fill="FFFFFF"/>
            <w:lang w:eastAsia="fr-FR"/>
          </w:rPr>
          <w:t>Limites du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15</w:t>
        </w:r>
        <w:r w:rsidR="00080724" w:rsidRPr="00785D39">
          <w:rPr>
            <w:rFonts w:asciiTheme="majorBidi" w:hAnsiTheme="majorBidi" w:cstheme="majorBidi"/>
            <w:b/>
            <w:bCs/>
            <w:noProof/>
            <w:webHidden/>
          </w:rPr>
          <w:fldChar w:fldCharType="end"/>
        </w:r>
      </w:hyperlink>
    </w:p>
    <w:p w14:paraId="7D1AF0C7" w14:textId="50D102C9"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386" w:history="1">
        <w:r w:rsidR="00080724" w:rsidRPr="00785D39">
          <w:rPr>
            <w:rStyle w:val="Lienhypertexte"/>
            <w:rFonts w:asciiTheme="majorBidi" w:hAnsiTheme="majorBidi" w:cstheme="majorBidi"/>
            <w:b/>
            <w:bCs/>
            <w:noProof/>
            <w:lang w:eastAsia="fr-FR"/>
          </w:rPr>
          <w:t>5.</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shd w:val="clear" w:color="auto" w:fill="FFFFFF"/>
            <w:lang w:eastAsia="fr-FR"/>
          </w:rPr>
          <w:t>Mission et rôle du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16</w:t>
        </w:r>
        <w:r w:rsidR="00080724" w:rsidRPr="00785D39">
          <w:rPr>
            <w:rFonts w:asciiTheme="majorBidi" w:hAnsiTheme="majorBidi" w:cstheme="majorBidi"/>
            <w:b/>
            <w:bCs/>
            <w:noProof/>
            <w:webHidden/>
          </w:rPr>
          <w:fldChar w:fldCharType="end"/>
        </w:r>
      </w:hyperlink>
    </w:p>
    <w:p w14:paraId="0D93FD7A" w14:textId="1DE0548F"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87" w:history="1">
        <w:r w:rsidR="00080724" w:rsidRPr="00785D39">
          <w:rPr>
            <w:rStyle w:val="Lienhypertexte"/>
            <w:rFonts w:asciiTheme="majorBidi" w:hAnsiTheme="majorBidi" w:cstheme="majorBidi"/>
            <w:b/>
            <w:bCs/>
            <w:noProof/>
            <w:lang w:eastAsia="fr-FR"/>
          </w:rPr>
          <w:t>5.1.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Les missions du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16</w:t>
        </w:r>
        <w:r w:rsidR="00080724" w:rsidRPr="00785D39">
          <w:rPr>
            <w:rFonts w:asciiTheme="majorBidi" w:hAnsiTheme="majorBidi" w:cstheme="majorBidi"/>
            <w:b/>
            <w:bCs/>
            <w:noProof/>
            <w:webHidden/>
          </w:rPr>
          <w:fldChar w:fldCharType="end"/>
        </w:r>
      </w:hyperlink>
    </w:p>
    <w:p w14:paraId="016FFC7A" w14:textId="47C58A4D"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88" w:history="1">
        <w:r w:rsidR="00080724" w:rsidRPr="00785D39">
          <w:rPr>
            <w:rStyle w:val="Lienhypertexte"/>
            <w:rFonts w:asciiTheme="majorBidi" w:hAnsiTheme="majorBidi" w:cstheme="majorBidi"/>
            <w:b/>
            <w:bCs/>
            <w:noProof/>
            <w:lang w:eastAsia="fr-FR"/>
          </w:rPr>
          <w:t>5.2.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 rôle du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17</w:t>
        </w:r>
        <w:r w:rsidR="00080724" w:rsidRPr="00785D39">
          <w:rPr>
            <w:rFonts w:asciiTheme="majorBidi" w:hAnsiTheme="majorBidi" w:cstheme="majorBidi"/>
            <w:b/>
            <w:bCs/>
            <w:noProof/>
            <w:webHidden/>
          </w:rPr>
          <w:fldChar w:fldCharType="end"/>
        </w:r>
      </w:hyperlink>
    </w:p>
    <w:p w14:paraId="40358EEA" w14:textId="3AEE74A1"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389" w:history="1">
        <w:r w:rsidR="00080724" w:rsidRPr="00785D39">
          <w:rPr>
            <w:rStyle w:val="Lienhypertexte"/>
            <w:rFonts w:asciiTheme="majorBidi" w:hAnsiTheme="majorBidi" w:cstheme="majorBidi"/>
            <w:b/>
            <w:bCs/>
            <w:noProof/>
            <w:lang w:eastAsia="fr-FR"/>
          </w:rPr>
          <w:t>6.</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Les outils du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_Toc199314389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18</w:t>
        </w:r>
        <w:r w:rsidR="00080724" w:rsidRPr="00785D39">
          <w:rPr>
            <w:rFonts w:asciiTheme="majorBidi" w:hAnsiTheme="majorBidi" w:cstheme="majorBidi"/>
            <w:b/>
            <w:bCs/>
            <w:noProof/>
            <w:webHidden/>
          </w:rPr>
          <w:fldChar w:fldCharType="end"/>
        </w:r>
      </w:hyperlink>
    </w:p>
    <w:p w14:paraId="61B8827F" w14:textId="4FE36F32"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90" w:history="1">
        <w:r w:rsidR="00080724" w:rsidRPr="00785D39">
          <w:rPr>
            <w:rStyle w:val="Lienhypertexte"/>
            <w:rFonts w:asciiTheme="majorBidi" w:eastAsia="Times New Roman" w:hAnsiTheme="majorBidi" w:cstheme="majorBidi"/>
            <w:b/>
            <w:bCs/>
            <w:noProof/>
            <w:lang w:eastAsia="fr-FR"/>
          </w:rPr>
          <w:t>6.1.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La comptabilité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18</w:t>
        </w:r>
        <w:r w:rsidR="00080724" w:rsidRPr="00785D39">
          <w:rPr>
            <w:rFonts w:asciiTheme="majorBidi" w:hAnsiTheme="majorBidi" w:cstheme="majorBidi"/>
            <w:b/>
            <w:bCs/>
            <w:noProof/>
            <w:webHidden/>
          </w:rPr>
          <w:fldChar w:fldCharType="end"/>
        </w:r>
      </w:hyperlink>
    </w:p>
    <w:p w14:paraId="7E731F1F" w14:textId="6BEEC10C"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391" w:history="1">
        <w:r w:rsidR="00080724" w:rsidRPr="00785D39">
          <w:rPr>
            <w:rStyle w:val="Lienhypertexte"/>
            <w:rFonts w:asciiTheme="majorBidi" w:hAnsiTheme="majorBidi" w:cstheme="majorBidi"/>
            <w:b/>
            <w:bCs/>
            <w:noProof/>
            <w:lang w:eastAsia="fr-FR"/>
          </w:rPr>
          <w:t>6.1.1.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Définition de la comptabilité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18</w:t>
        </w:r>
        <w:r w:rsidR="00080724" w:rsidRPr="00785D39">
          <w:rPr>
            <w:rFonts w:asciiTheme="majorBidi" w:hAnsiTheme="majorBidi" w:cstheme="majorBidi"/>
            <w:b/>
            <w:bCs/>
            <w:noProof/>
            <w:webHidden/>
          </w:rPr>
          <w:fldChar w:fldCharType="end"/>
        </w:r>
      </w:hyperlink>
    </w:p>
    <w:p w14:paraId="217DD210" w14:textId="222A9D2B"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392" w:history="1">
        <w:r w:rsidR="00080724" w:rsidRPr="00785D39">
          <w:rPr>
            <w:rStyle w:val="Lienhypertexte"/>
            <w:rFonts w:asciiTheme="majorBidi" w:hAnsiTheme="majorBidi" w:cstheme="majorBidi"/>
            <w:b/>
            <w:bCs/>
            <w:noProof/>
            <w:lang w:eastAsia="fr-FR"/>
          </w:rPr>
          <w:t>6.1.2.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Objectifs de la comptabilité analytique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19</w:t>
        </w:r>
        <w:r w:rsidR="00080724" w:rsidRPr="00785D39">
          <w:rPr>
            <w:rFonts w:asciiTheme="majorBidi" w:hAnsiTheme="majorBidi" w:cstheme="majorBidi"/>
            <w:b/>
            <w:bCs/>
            <w:noProof/>
            <w:webHidden/>
          </w:rPr>
          <w:fldChar w:fldCharType="end"/>
        </w:r>
      </w:hyperlink>
    </w:p>
    <w:p w14:paraId="72F07591" w14:textId="3614D8EB"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93" w:history="1">
        <w:r w:rsidR="00080724" w:rsidRPr="00785D39">
          <w:rPr>
            <w:rStyle w:val="Lienhypertexte"/>
            <w:rFonts w:asciiTheme="majorBidi" w:eastAsia="Times New Roman" w:hAnsiTheme="majorBidi" w:cstheme="majorBidi"/>
            <w:b/>
            <w:bCs/>
            <w:noProof/>
            <w:lang w:eastAsia="fr-FR"/>
          </w:rPr>
          <w:t>6.2.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La gestion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19</w:t>
        </w:r>
        <w:r w:rsidR="00080724" w:rsidRPr="00785D39">
          <w:rPr>
            <w:rFonts w:asciiTheme="majorBidi" w:hAnsiTheme="majorBidi" w:cstheme="majorBidi"/>
            <w:b/>
            <w:bCs/>
            <w:noProof/>
            <w:webHidden/>
          </w:rPr>
          <w:fldChar w:fldCharType="end"/>
        </w:r>
      </w:hyperlink>
    </w:p>
    <w:p w14:paraId="0DDB4001" w14:textId="1CFE2FC9"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394" w:history="1">
        <w:r w:rsidR="00080724" w:rsidRPr="00785D39">
          <w:rPr>
            <w:rStyle w:val="Lienhypertexte"/>
            <w:rFonts w:asciiTheme="majorBidi" w:hAnsiTheme="majorBidi" w:cstheme="majorBidi"/>
            <w:b/>
            <w:bCs/>
            <w:noProof/>
            <w:lang w:eastAsia="fr-FR"/>
          </w:rPr>
          <w:t>6.2.1.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Définition de la gestion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19</w:t>
        </w:r>
        <w:r w:rsidR="00080724" w:rsidRPr="00785D39">
          <w:rPr>
            <w:rFonts w:asciiTheme="majorBidi" w:hAnsiTheme="majorBidi" w:cstheme="majorBidi"/>
            <w:b/>
            <w:bCs/>
            <w:noProof/>
            <w:webHidden/>
          </w:rPr>
          <w:fldChar w:fldCharType="end"/>
        </w:r>
      </w:hyperlink>
    </w:p>
    <w:p w14:paraId="2F331173" w14:textId="56C8F523"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395" w:history="1">
        <w:r w:rsidR="00080724" w:rsidRPr="00785D39">
          <w:rPr>
            <w:rStyle w:val="Lienhypertexte"/>
            <w:rFonts w:asciiTheme="majorBidi" w:hAnsiTheme="majorBidi" w:cstheme="majorBidi"/>
            <w:b/>
            <w:bCs/>
            <w:noProof/>
            <w:lang w:eastAsia="fr-FR"/>
          </w:rPr>
          <w:t>6.2.2.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Objectifs de la gestion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20</w:t>
        </w:r>
        <w:r w:rsidR="00080724" w:rsidRPr="00785D39">
          <w:rPr>
            <w:rFonts w:asciiTheme="majorBidi" w:hAnsiTheme="majorBidi" w:cstheme="majorBidi"/>
            <w:b/>
            <w:bCs/>
            <w:noProof/>
            <w:webHidden/>
          </w:rPr>
          <w:fldChar w:fldCharType="end"/>
        </w:r>
      </w:hyperlink>
    </w:p>
    <w:p w14:paraId="55312D43" w14:textId="6E46F33A"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396" w:history="1">
        <w:r w:rsidR="00080724" w:rsidRPr="00785D39">
          <w:rPr>
            <w:rStyle w:val="Lienhypertexte"/>
            <w:rFonts w:asciiTheme="majorBidi" w:eastAsia="Times New Roman" w:hAnsiTheme="majorBidi" w:cstheme="majorBidi"/>
            <w:b/>
            <w:bCs/>
            <w:noProof/>
            <w:lang w:eastAsia="fr-FR"/>
          </w:rPr>
          <w:t>6.3.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 tableau de bord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20</w:t>
        </w:r>
        <w:r w:rsidR="00080724" w:rsidRPr="00785D39">
          <w:rPr>
            <w:rFonts w:asciiTheme="majorBidi" w:hAnsiTheme="majorBidi" w:cstheme="majorBidi"/>
            <w:b/>
            <w:bCs/>
            <w:noProof/>
            <w:webHidden/>
          </w:rPr>
          <w:fldChar w:fldCharType="end"/>
        </w:r>
      </w:hyperlink>
    </w:p>
    <w:p w14:paraId="5AA23DED" w14:textId="6BB405B2"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397" w:history="1">
        <w:r w:rsidR="00080724" w:rsidRPr="00785D39">
          <w:rPr>
            <w:rStyle w:val="Lienhypertexte"/>
            <w:rFonts w:asciiTheme="majorBidi" w:hAnsiTheme="majorBidi" w:cstheme="majorBidi"/>
            <w:b/>
            <w:bCs/>
            <w:noProof/>
            <w:lang w:eastAsia="fr-FR"/>
          </w:rPr>
          <w:t>6.3.1.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Définition du tableau de bord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20</w:t>
        </w:r>
        <w:r w:rsidR="00080724" w:rsidRPr="00785D39">
          <w:rPr>
            <w:rFonts w:asciiTheme="majorBidi" w:hAnsiTheme="majorBidi" w:cstheme="majorBidi"/>
            <w:b/>
            <w:bCs/>
            <w:noProof/>
            <w:webHidden/>
          </w:rPr>
          <w:fldChar w:fldCharType="end"/>
        </w:r>
      </w:hyperlink>
    </w:p>
    <w:p w14:paraId="1D2E9E18" w14:textId="0C683F29"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398" w:history="1">
        <w:r w:rsidR="00080724" w:rsidRPr="00785D39">
          <w:rPr>
            <w:rStyle w:val="Lienhypertexte"/>
            <w:rFonts w:asciiTheme="majorBidi" w:hAnsiTheme="majorBidi" w:cstheme="majorBidi"/>
            <w:b/>
            <w:bCs/>
            <w:noProof/>
            <w:lang w:eastAsia="fr-FR"/>
          </w:rPr>
          <w:t>6.3.2.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Objectifs du tableau de bord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20</w:t>
        </w:r>
        <w:r w:rsidR="00080724" w:rsidRPr="00785D39">
          <w:rPr>
            <w:rFonts w:asciiTheme="majorBidi" w:hAnsiTheme="majorBidi" w:cstheme="majorBidi"/>
            <w:b/>
            <w:bCs/>
            <w:noProof/>
            <w:webHidden/>
          </w:rPr>
          <w:fldChar w:fldCharType="end"/>
        </w:r>
      </w:hyperlink>
    </w:p>
    <w:p w14:paraId="2073AEE6" w14:textId="707D12E8"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399" w:history="1">
        <w:r w:rsidR="00080724" w:rsidRPr="00785D39">
          <w:rPr>
            <w:rStyle w:val="Lienhypertexte"/>
            <w:rFonts w:asciiTheme="majorBidi" w:hAnsiTheme="majorBidi" w:cstheme="majorBidi"/>
            <w:b/>
            <w:bCs/>
            <w:noProof/>
            <w:lang w:eastAsia="fr-FR"/>
          </w:rPr>
          <w:t>6.3.3.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Rôles du tableau de bord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_Toc199314399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21</w:t>
        </w:r>
        <w:r w:rsidR="00080724" w:rsidRPr="00785D39">
          <w:rPr>
            <w:rFonts w:asciiTheme="majorBidi" w:hAnsiTheme="majorBidi" w:cstheme="majorBidi"/>
            <w:b/>
            <w:bCs/>
            <w:noProof/>
            <w:webHidden/>
          </w:rPr>
          <w:fldChar w:fldCharType="end"/>
        </w:r>
      </w:hyperlink>
    </w:p>
    <w:p w14:paraId="11097F88" w14:textId="29427A78"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400" w:history="1">
        <w:r w:rsidR="00080724" w:rsidRPr="00785D39">
          <w:rPr>
            <w:rStyle w:val="Lienhypertexte"/>
            <w:rFonts w:asciiTheme="majorBidi" w:hAnsiTheme="majorBidi" w:cstheme="majorBidi"/>
            <w:b/>
            <w:bCs/>
            <w:noProof/>
            <w:lang w:eastAsia="fr-FR"/>
          </w:rPr>
          <w:t>6.3.4.</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Les instruments du tableau de bord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21</w:t>
        </w:r>
        <w:r w:rsidR="00080724" w:rsidRPr="00785D39">
          <w:rPr>
            <w:rFonts w:asciiTheme="majorBidi" w:hAnsiTheme="majorBidi" w:cstheme="majorBidi"/>
            <w:b/>
            <w:bCs/>
            <w:noProof/>
            <w:webHidden/>
          </w:rPr>
          <w:fldChar w:fldCharType="end"/>
        </w:r>
      </w:hyperlink>
    </w:p>
    <w:p w14:paraId="346E2CF2" w14:textId="03CEB191"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401" w:history="1">
        <w:r w:rsidR="00080724" w:rsidRPr="00785D39">
          <w:rPr>
            <w:rStyle w:val="Lienhypertexte"/>
            <w:rFonts w:asciiTheme="majorBidi" w:hAnsiTheme="majorBidi" w:cstheme="majorBidi"/>
            <w:b/>
            <w:bCs/>
            <w:noProof/>
            <w:lang w:eastAsia="fr-FR"/>
          </w:rPr>
          <w:t>Section 02 : Concepts clés de la gestion budgétaire</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22</w:t>
        </w:r>
        <w:r w:rsidR="00080724" w:rsidRPr="00785D39">
          <w:rPr>
            <w:rFonts w:asciiTheme="majorBidi" w:hAnsiTheme="majorBidi" w:cstheme="majorBidi"/>
            <w:b/>
            <w:bCs/>
            <w:noProof/>
            <w:webHidden/>
          </w:rPr>
          <w:fldChar w:fldCharType="end"/>
        </w:r>
      </w:hyperlink>
    </w:p>
    <w:p w14:paraId="01BEFDA9" w14:textId="37D3195C"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02" w:history="1">
        <w:r w:rsidR="00080724" w:rsidRPr="00785D39">
          <w:rPr>
            <w:rStyle w:val="Lienhypertexte"/>
            <w:rFonts w:asciiTheme="majorBidi" w:hAnsiTheme="majorBidi" w:cstheme="majorBidi"/>
            <w:b/>
            <w:bCs/>
            <w:noProof/>
            <w:lang w:eastAsia="fr-FR"/>
          </w:rPr>
          <w:t>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Définition du processus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22</w:t>
        </w:r>
        <w:r w:rsidR="00080724" w:rsidRPr="00785D39">
          <w:rPr>
            <w:rFonts w:asciiTheme="majorBidi" w:hAnsiTheme="majorBidi" w:cstheme="majorBidi"/>
            <w:b/>
            <w:bCs/>
            <w:noProof/>
            <w:webHidden/>
          </w:rPr>
          <w:fldChar w:fldCharType="end"/>
        </w:r>
      </w:hyperlink>
    </w:p>
    <w:p w14:paraId="1715E349" w14:textId="39D11A8D"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03" w:history="1">
        <w:r w:rsidR="00080724" w:rsidRPr="00785D39">
          <w:rPr>
            <w:rStyle w:val="Lienhypertexte"/>
            <w:rFonts w:asciiTheme="majorBidi" w:hAnsiTheme="majorBidi" w:cstheme="majorBidi"/>
            <w:b/>
            <w:bCs/>
            <w:noProof/>
          </w:rPr>
          <w:t>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L’historique de la gestion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23</w:t>
        </w:r>
        <w:r w:rsidR="00080724" w:rsidRPr="00785D39">
          <w:rPr>
            <w:rFonts w:asciiTheme="majorBidi" w:hAnsiTheme="majorBidi" w:cstheme="majorBidi"/>
            <w:b/>
            <w:bCs/>
            <w:noProof/>
            <w:webHidden/>
          </w:rPr>
          <w:fldChar w:fldCharType="end"/>
        </w:r>
      </w:hyperlink>
    </w:p>
    <w:p w14:paraId="3DBD256A" w14:textId="2D08D07C"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04" w:history="1">
        <w:r w:rsidR="00080724" w:rsidRPr="00785D39">
          <w:rPr>
            <w:rStyle w:val="Lienhypertexte"/>
            <w:rFonts w:asciiTheme="majorBidi" w:hAnsiTheme="majorBidi" w:cstheme="majorBidi"/>
            <w:b/>
            <w:bCs/>
            <w:noProof/>
            <w:lang w:eastAsia="fr-FR"/>
          </w:rPr>
          <w:t>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Objectifs et rôles de la gestion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24</w:t>
        </w:r>
        <w:r w:rsidR="00080724" w:rsidRPr="00785D39">
          <w:rPr>
            <w:rFonts w:asciiTheme="majorBidi" w:hAnsiTheme="majorBidi" w:cstheme="majorBidi"/>
            <w:b/>
            <w:bCs/>
            <w:noProof/>
            <w:webHidden/>
          </w:rPr>
          <w:fldChar w:fldCharType="end"/>
        </w:r>
      </w:hyperlink>
    </w:p>
    <w:p w14:paraId="1C511F56" w14:textId="2D57DCEA"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05" w:history="1">
        <w:r w:rsidR="00080724" w:rsidRPr="00785D39">
          <w:rPr>
            <w:rStyle w:val="Lienhypertexte"/>
            <w:rFonts w:asciiTheme="majorBidi" w:eastAsia="Times New Roman" w:hAnsiTheme="majorBidi" w:cstheme="majorBidi"/>
            <w:b/>
            <w:bCs/>
            <w:noProof/>
            <w:lang w:eastAsia="fr-FR"/>
          </w:rPr>
          <w:t>3.1.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Objectifs de la gestion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24</w:t>
        </w:r>
        <w:r w:rsidR="00080724" w:rsidRPr="00785D39">
          <w:rPr>
            <w:rFonts w:asciiTheme="majorBidi" w:hAnsiTheme="majorBidi" w:cstheme="majorBidi"/>
            <w:b/>
            <w:bCs/>
            <w:noProof/>
            <w:webHidden/>
          </w:rPr>
          <w:fldChar w:fldCharType="end"/>
        </w:r>
      </w:hyperlink>
    </w:p>
    <w:p w14:paraId="6F2BF92F" w14:textId="319CACD1"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06" w:history="1">
        <w:r w:rsidR="00080724" w:rsidRPr="00785D39">
          <w:rPr>
            <w:rStyle w:val="Lienhypertexte"/>
            <w:rFonts w:asciiTheme="majorBidi" w:hAnsiTheme="majorBidi" w:cstheme="majorBidi"/>
            <w:b/>
            <w:bCs/>
            <w:noProof/>
            <w:lang w:eastAsia="fr-FR"/>
          </w:rPr>
          <w:t>3.2.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Les rôles de la gestion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24</w:t>
        </w:r>
        <w:r w:rsidR="00080724" w:rsidRPr="00785D39">
          <w:rPr>
            <w:rFonts w:asciiTheme="majorBidi" w:hAnsiTheme="majorBidi" w:cstheme="majorBidi"/>
            <w:b/>
            <w:bCs/>
            <w:noProof/>
            <w:webHidden/>
          </w:rPr>
          <w:fldChar w:fldCharType="end"/>
        </w:r>
      </w:hyperlink>
    </w:p>
    <w:p w14:paraId="05038334" w14:textId="7CA50FB7"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07" w:history="1">
        <w:r w:rsidR="00080724" w:rsidRPr="00785D39">
          <w:rPr>
            <w:rStyle w:val="Lienhypertexte"/>
            <w:rFonts w:asciiTheme="majorBidi" w:hAnsiTheme="majorBidi" w:cstheme="majorBidi"/>
            <w:b/>
            <w:bCs/>
            <w:noProof/>
          </w:rPr>
          <w:t>4.</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La démarche de la gestion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25</w:t>
        </w:r>
        <w:r w:rsidR="00080724" w:rsidRPr="00785D39">
          <w:rPr>
            <w:rFonts w:asciiTheme="majorBidi" w:hAnsiTheme="majorBidi" w:cstheme="majorBidi"/>
            <w:b/>
            <w:bCs/>
            <w:noProof/>
            <w:webHidden/>
          </w:rPr>
          <w:fldChar w:fldCharType="end"/>
        </w:r>
      </w:hyperlink>
    </w:p>
    <w:p w14:paraId="72CD1091" w14:textId="62E91590"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08" w:history="1">
        <w:r w:rsidR="00080724" w:rsidRPr="00785D39">
          <w:rPr>
            <w:rStyle w:val="Lienhypertexte"/>
            <w:rFonts w:asciiTheme="majorBidi" w:hAnsiTheme="majorBidi" w:cstheme="majorBidi"/>
            <w:b/>
            <w:bCs/>
            <w:noProof/>
            <w:lang w:eastAsia="fr-FR"/>
          </w:rPr>
          <w:t>4.1.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Les prévisions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25</w:t>
        </w:r>
        <w:r w:rsidR="00080724" w:rsidRPr="00785D39">
          <w:rPr>
            <w:rFonts w:asciiTheme="majorBidi" w:hAnsiTheme="majorBidi" w:cstheme="majorBidi"/>
            <w:b/>
            <w:bCs/>
            <w:noProof/>
            <w:webHidden/>
          </w:rPr>
          <w:fldChar w:fldCharType="end"/>
        </w:r>
      </w:hyperlink>
    </w:p>
    <w:p w14:paraId="40019119" w14:textId="7C7C308D"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09" w:history="1">
        <w:r w:rsidR="00080724" w:rsidRPr="00785D39">
          <w:rPr>
            <w:rStyle w:val="Lienhypertexte"/>
            <w:rFonts w:asciiTheme="majorBidi" w:hAnsiTheme="majorBidi" w:cstheme="majorBidi"/>
            <w:b/>
            <w:bCs/>
            <w:noProof/>
            <w:lang w:eastAsia="fr-FR"/>
          </w:rPr>
          <w:t>4.2.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La budgétisation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_Toc199314409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28</w:t>
        </w:r>
        <w:r w:rsidR="00080724" w:rsidRPr="00785D39">
          <w:rPr>
            <w:rFonts w:asciiTheme="majorBidi" w:hAnsiTheme="majorBidi" w:cstheme="majorBidi"/>
            <w:b/>
            <w:bCs/>
            <w:noProof/>
            <w:webHidden/>
          </w:rPr>
          <w:fldChar w:fldCharType="end"/>
        </w:r>
      </w:hyperlink>
    </w:p>
    <w:p w14:paraId="172840D4" w14:textId="431BC2A0"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410" w:history="1">
        <w:r w:rsidR="00080724" w:rsidRPr="00785D39">
          <w:rPr>
            <w:rStyle w:val="Lienhypertexte"/>
            <w:rFonts w:asciiTheme="majorBidi" w:hAnsiTheme="majorBidi" w:cstheme="majorBidi"/>
            <w:b/>
            <w:bCs/>
            <w:noProof/>
            <w:lang w:eastAsia="fr-FR"/>
          </w:rPr>
          <w:t>4.2.1.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Définition du budget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29</w:t>
        </w:r>
        <w:r w:rsidR="00080724" w:rsidRPr="00785D39">
          <w:rPr>
            <w:rFonts w:asciiTheme="majorBidi" w:hAnsiTheme="majorBidi" w:cstheme="majorBidi"/>
            <w:b/>
            <w:bCs/>
            <w:noProof/>
            <w:webHidden/>
          </w:rPr>
          <w:fldChar w:fldCharType="end"/>
        </w:r>
      </w:hyperlink>
    </w:p>
    <w:p w14:paraId="7E4BC932" w14:textId="5B687438"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411" w:history="1">
        <w:r w:rsidR="00080724" w:rsidRPr="00785D39">
          <w:rPr>
            <w:rStyle w:val="Lienhypertexte"/>
            <w:rFonts w:asciiTheme="majorBidi" w:hAnsiTheme="majorBidi" w:cstheme="majorBidi"/>
            <w:b/>
            <w:bCs/>
            <w:noProof/>
            <w:lang w:eastAsia="fr-FR"/>
          </w:rPr>
          <w:t>4.2.2.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Les rôles du budget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29</w:t>
        </w:r>
        <w:r w:rsidR="00080724" w:rsidRPr="00785D39">
          <w:rPr>
            <w:rFonts w:asciiTheme="majorBidi" w:hAnsiTheme="majorBidi" w:cstheme="majorBidi"/>
            <w:b/>
            <w:bCs/>
            <w:noProof/>
            <w:webHidden/>
          </w:rPr>
          <w:fldChar w:fldCharType="end"/>
        </w:r>
      </w:hyperlink>
    </w:p>
    <w:p w14:paraId="3C728E9B" w14:textId="0C60A04E"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412" w:history="1">
        <w:r w:rsidR="00080724" w:rsidRPr="00785D39">
          <w:rPr>
            <w:rStyle w:val="Lienhypertexte"/>
            <w:rFonts w:asciiTheme="majorBidi" w:hAnsiTheme="majorBidi" w:cstheme="majorBidi"/>
            <w:b/>
            <w:bCs/>
            <w:noProof/>
          </w:rPr>
          <w:t>4.2.3.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Typologie du budget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30</w:t>
        </w:r>
        <w:r w:rsidR="00080724" w:rsidRPr="00785D39">
          <w:rPr>
            <w:rFonts w:asciiTheme="majorBidi" w:hAnsiTheme="majorBidi" w:cstheme="majorBidi"/>
            <w:b/>
            <w:bCs/>
            <w:noProof/>
            <w:webHidden/>
          </w:rPr>
          <w:fldChar w:fldCharType="end"/>
        </w:r>
      </w:hyperlink>
    </w:p>
    <w:p w14:paraId="11D5AB80" w14:textId="7E5BC3E1"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13" w:history="1">
        <w:r w:rsidR="00080724" w:rsidRPr="00785D39">
          <w:rPr>
            <w:rStyle w:val="Lienhypertexte"/>
            <w:rFonts w:asciiTheme="majorBidi" w:hAnsiTheme="majorBidi" w:cstheme="majorBidi"/>
            <w:b/>
            <w:bCs/>
            <w:noProof/>
            <w:lang w:eastAsia="fr-FR"/>
          </w:rPr>
          <w:t>4.3.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Le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34</w:t>
        </w:r>
        <w:r w:rsidR="00080724" w:rsidRPr="00785D39">
          <w:rPr>
            <w:rFonts w:asciiTheme="majorBidi" w:hAnsiTheme="majorBidi" w:cstheme="majorBidi"/>
            <w:b/>
            <w:bCs/>
            <w:noProof/>
            <w:webHidden/>
          </w:rPr>
          <w:fldChar w:fldCharType="end"/>
        </w:r>
      </w:hyperlink>
    </w:p>
    <w:p w14:paraId="4D210326" w14:textId="5C454612"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14" w:history="1">
        <w:r w:rsidR="00080724" w:rsidRPr="00785D39">
          <w:rPr>
            <w:rStyle w:val="Lienhypertexte"/>
            <w:rFonts w:asciiTheme="majorBidi" w:hAnsiTheme="majorBidi" w:cstheme="majorBidi"/>
            <w:b/>
            <w:bCs/>
            <w:noProof/>
            <w:lang w:eastAsia="fr-FR"/>
          </w:rPr>
          <w:t>5.</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Limites de la gestion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34</w:t>
        </w:r>
        <w:r w:rsidR="00080724" w:rsidRPr="00785D39">
          <w:rPr>
            <w:rFonts w:asciiTheme="majorBidi" w:hAnsiTheme="majorBidi" w:cstheme="majorBidi"/>
            <w:b/>
            <w:bCs/>
            <w:noProof/>
            <w:webHidden/>
          </w:rPr>
          <w:fldChar w:fldCharType="end"/>
        </w:r>
      </w:hyperlink>
    </w:p>
    <w:p w14:paraId="0682A4BF" w14:textId="1449D6FC"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415" w:history="1">
        <w:r w:rsidR="00080724" w:rsidRPr="00785D39">
          <w:rPr>
            <w:rStyle w:val="Lienhypertexte"/>
            <w:rFonts w:asciiTheme="majorBidi" w:hAnsiTheme="majorBidi" w:cstheme="majorBidi"/>
            <w:b/>
            <w:bCs/>
            <w:noProof/>
          </w:rPr>
          <w:t>Section 03 : Le contrôle budgétaire</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35</w:t>
        </w:r>
        <w:r w:rsidR="00080724" w:rsidRPr="00785D39">
          <w:rPr>
            <w:rFonts w:asciiTheme="majorBidi" w:hAnsiTheme="majorBidi" w:cstheme="majorBidi"/>
            <w:b/>
            <w:bCs/>
            <w:noProof/>
            <w:webHidden/>
          </w:rPr>
          <w:fldChar w:fldCharType="end"/>
        </w:r>
      </w:hyperlink>
    </w:p>
    <w:p w14:paraId="5CF6E1FE" w14:textId="16208C0D"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16" w:history="1">
        <w:r w:rsidR="00080724" w:rsidRPr="00785D39">
          <w:rPr>
            <w:rStyle w:val="Lienhypertexte"/>
            <w:rFonts w:asciiTheme="majorBidi" w:hAnsiTheme="majorBidi" w:cstheme="majorBidi"/>
            <w:b/>
            <w:bCs/>
            <w:noProof/>
          </w:rPr>
          <w:t>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Définition du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35</w:t>
        </w:r>
        <w:r w:rsidR="00080724" w:rsidRPr="00785D39">
          <w:rPr>
            <w:rFonts w:asciiTheme="majorBidi" w:hAnsiTheme="majorBidi" w:cstheme="majorBidi"/>
            <w:b/>
            <w:bCs/>
            <w:noProof/>
            <w:webHidden/>
          </w:rPr>
          <w:fldChar w:fldCharType="end"/>
        </w:r>
      </w:hyperlink>
    </w:p>
    <w:p w14:paraId="0648A65E" w14:textId="78FFD8A9"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17" w:history="1">
        <w:r w:rsidR="00080724" w:rsidRPr="00785D39">
          <w:rPr>
            <w:rStyle w:val="Lienhypertexte"/>
            <w:rFonts w:asciiTheme="majorBidi" w:hAnsiTheme="majorBidi" w:cstheme="majorBidi"/>
            <w:b/>
            <w:bCs/>
            <w:noProof/>
          </w:rPr>
          <w:t>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Rôle du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36</w:t>
        </w:r>
        <w:r w:rsidR="00080724" w:rsidRPr="00785D39">
          <w:rPr>
            <w:rFonts w:asciiTheme="majorBidi" w:hAnsiTheme="majorBidi" w:cstheme="majorBidi"/>
            <w:b/>
            <w:bCs/>
            <w:noProof/>
            <w:webHidden/>
          </w:rPr>
          <w:fldChar w:fldCharType="end"/>
        </w:r>
      </w:hyperlink>
    </w:p>
    <w:p w14:paraId="2C231680" w14:textId="307EA393"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18" w:history="1">
        <w:r w:rsidR="00080724" w:rsidRPr="00785D39">
          <w:rPr>
            <w:rStyle w:val="Lienhypertexte"/>
            <w:rFonts w:asciiTheme="majorBidi" w:hAnsiTheme="majorBidi" w:cstheme="majorBidi"/>
            <w:b/>
            <w:bCs/>
            <w:noProof/>
          </w:rPr>
          <w:t>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objectifs du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36</w:t>
        </w:r>
        <w:r w:rsidR="00080724" w:rsidRPr="00785D39">
          <w:rPr>
            <w:rFonts w:asciiTheme="majorBidi" w:hAnsiTheme="majorBidi" w:cstheme="majorBidi"/>
            <w:b/>
            <w:bCs/>
            <w:noProof/>
            <w:webHidden/>
          </w:rPr>
          <w:fldChar w:fldCharType="end"/>
        </w:r>
      </w:hyperlink>
    </w:p>
    <w:p w14:paraId="592308BC" w14:textId="538AED15"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19" w:history="1">
        <w:r w:rsidR="00080724" w:rsidRPr="00785D39">
          <w:rPr>
            <w:rStyle w:val="Lienhypertexte"/>
            <w:rFonts w:asciiTheme="majorBidi" w:hAnsiTheme="majorBidi" w:cstheme="majorBidi"/>
            <w:b/>
            <w:bCs/>
            <w:noProof/>
          </w:rPr>
          <w:t>4.</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différentes étapes du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_Toc199314419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37</w:t>
        </w:r>
        <w:r w:rsidR="00080724" w:rsidRPr="00785D39">
          <w:rPr>
            <w:rFonts w:asciiTheme="majorBidi" w:hAnsiTheme="majorBidi" w:cstheme="majorBidi"/>
            <w:b/>
            <w:bCs/>
            <w:noProof/>
            <w:webHidden/>
          </w:rPr>
          <w:fldChar w:fldCharType="end"/>
        </w:r>
      </w:hyperlink>
    </w:p>
    <w:p w14:paraId="30130524" w14:textId="4C4B5FF6"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20" w:history="1">
        <w:r w:rsidR="00080724" w:rsidRPr="00785D39">
          <w:rPr>
            <w:rStyle w:val="Lienhypertexte"/>
            <w:rFonts w:asciiTheme="majorBidi" w:hAnsiTheme="majorBidi" w:cstheme="majorBidi"/>
            <w:b/>
            <w:bCs/>
            <w:noProof/>
          </w:rPr>
          <w:t>4.1.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 contrôle avant l'action ou contrôle a priori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37</w:t>
        </w:r>
        <w:r w:rsidR="00080724" w:rsidRPr="00785D39">
          <w:rPr>
            <w:rFonts w:asciiTheme="majorBidi" w:hAnsiTheme="majorBidi" w:cstheme="majorBidi"/>
            <w:b/>
            <w:bCs/>
            <w:noProof/>
            <w:webHidden/>
          </w:rPr>
          <w:fldChar w:fldCharType="end"/>
        </w:r>
      </w:hyperlink>
    </w:p>
    <w:p w14:paraId="64B8FEAF" w14:textId="4DFA4E42"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21" w:history="1">
        <w:r w:rsidR="00080724" w:rsidRPr="00785D39">
          <w:rPr>
            <w:rStyle w:val="Lienhypertexte"/>
            <w:rFonts w:asciiTheme="majorBidi" w:hAnsiTheme="majorBidi" w:cstheme="majorBidi"/>
            <w:b/>
            <w:bCs/>
            <w:noProof/>
          </w:rPr>
          <w:t>4.2.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 contrôle pendant l'action ou contrôle concomitant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38</w:t>
        </w:r>
        <w:r w:rsidR="00080724" w:rsidRPr="00785D39">
          <w:rPr>
            <w:rFonts w:asciiTheme="majorBidi" w:hAnsiTheme="majorBidi" w:cstheme="majorBidi"/>
            <w:b/>
            <w:bCs/>
            <w:noProof/>
            <w:webHidden/>
          </w:rPr>
          <w:fldChar w:fldCharType="end"/>
        </w:r>
      </w:hyperlink>
    </w:p>
    <w:p w14:paraId="280F59CA" w14:textId="08D98A45"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22" w:history="1">
        <w:r w:rsidR="00080724" w:rsidRPr="00785D39">
          <w:rPr>
            <w:rStyle w:val="Lienhypertexte"/>
            <w:rFonts w:asciiTheme="majorBidi" w:hAnsiTheme="majorBidi" w:cstheme="majorBidi"/>
            <w:b/>
            <w:bCs/>
            <w:noProof/>
          </w:rPr>
          <w:t>4.3.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 contrôle après l'action ou contrôle a posteriori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38</w:t>
        </w:r>
        <w:r w:rsidR="00080724" w:rsidRPr="00785D39">
          <w:rPr>
            <w:rFonts w:asciiTheme="majorBidi" w:hAnsiTheme="majorBidi" w:cstheme="majorBidi"/>
            <w:b/>
            <w:bCs/>
            <w:noProof/>
            <w:webHidden/>
          </w:rPr>
          <w:fldChar w:fldCharType="end"/>
        </w:r>
      </w:hyperlink>
    </w:p>
    <w:p w14:paraId="6FF46888" w14:textId="6160E587"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23" w:history="1">
        <w:r w:rsidR="00080724" w:rsidRPr="00785D39">
          <w:rPr>
            <w:rStyle w:val="Lienhypertexte"/>
            <w:rFonts w:asciiTheme="majorBidi" w:eastAsia="Times New Roman" w:hAnsiTheme="majorBidi" w:cstheme="majorBidi"/>
            <w:b/>
            <w:bCs/>
            <w:noProof/>
            <w:lang w:eastAsia="fr-FR"/>
          </w:rPr>
          <w:t>5.</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caractéristiques du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39</w:t>
        </w:r>
        <w:r w:rsidR="00080724" w:rsidRPr="00785D39">
          <w:rPr>
            <w:rFonts w:asciiTheme="majorBidi" w:hAnsiTheme="majorBidi" w:cstheme="majorBidi"/>
            <w:b/>
            <w:bCs/>
            <w:noProof/>
            <w:webHidden/>
          </w:rPr>
          <w:fldChar w:fldCharType="end"/>
        </w:r>
      </w:hyperlink>
    </w:p>
    <w:p w14:paraId="0E5B148F" w14:textId="3CCD8D0B"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24" w:history="1">
        <w:r w:rsidR="00080724" w:rsidRPr="00785D39">
          <w:rPr>
            <w:rStyle w:val="Lienhypertexte"/>
            <w:rFonts w:asciiTheme="majorBidi" w:hAnsiTheme="majorBidi" w:cstheme="majorBidi"/>
            <w:b/>
            <w:bCs/>
            <w:noProof/>
            <w:lang w:eastAsia="fr-FR"/>
          </w:rPr>
          <w:t>5.1.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Un composant du contrôle de gestion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39</w:t>
        </w:r>
        <w:r w:rsidR="00080724" w:rsidRPr="00785D39">
          <w:rPr>
            <w:rFonts w:asciiTheme="majorBidi" w:hAnsiTheme="majorBidi" w:cstheme="majorBidi"/>
            <w:b/>
            <w:bCs/>
            <w:noProof/>
            <w:webHidden/>
          </w:rPr>
          <w:fldChar w:fldCharType="end"/>
        </w:r>
      </w:hyperlink>
    </w:p>
    <w:p w14:paraId="57305BD5" w14:textId="47E47A1F"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25" w:history="1">
        <w:r w:rsidR="00080724" w:rsidRPr="00785D39">
          <w:rPr>
            <w:rStyle w:val="Lienhypertexte"/>
            <w:rFonts w:asciiTheme="majorBidi" w:hAnsiTheme="majorBidi" w:cstheme="majorBidi"/>
            <w:b/>
            <w:bCs/>
            <w:noProof/>
            <w:lang w:eastAsia="fr-FR"/>
          </w:rPr>
          <w:t>5.2.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Un contrôle rétrospectif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39</w:t>
        </w:r>
        <w:r w:rsidR="00080724" w:rsidRPr="00785D39">
          <w:rPr>
            <w:rFonts w:asciiTheme="majorBidi" w:hAnsiTheme="majorBidi" w:cstheme="majorBidi"/>
            <w:b/>
            <w:bCs/>
            <w:noProof/>
            <w:webHidden/>
          </w:rPr>
          <w:fldChar w:fldCharType="end"/>
        </w:r>
      </w:hyperlink>
    </w:p>
    <w:p w14:paraId="753FE8D2" w14:textId="2F3D29CF"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26" w:history="1">
        <w:r w:rsidR="00080724" w:rsidRPr="00785D39">
          <w:rPr>
            <w:rStyle w:val="Lienhypertexte"/>
            <w:rFonts w:asciiTheme="majorBidi" w:hAnsiTheme="majorBidi" w:cstheme="majorBidi"/>
            <w:b/>
            <w:bCs/>
            <w:noProof/>
            <w:lang w:eastAsia="fr-FR"/>
          </w:rPr>
          <w:t>5.3.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Une dominante financière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39</w:t>
        </w:r>
        <w:r w:rsidR="00080724" w:rsidRPr="00785D39">
          <w:rPr>
            <w:rFonts w:asciiTheme="majorBidi" w:hAnsiTheme="majorBidi" w:cstheme="majorBidi"/>
            <w:b/>
            <w:bCs/>
            <w:noProof/>
            <w:webHidden/>
          </w:rPr>
          <w:fldChar w:fldCharType="end"/>
        </w:r>
      </w:hyperlink>
    </w:p>
    <w:p w14:paraId="2FD3B674" w14:textId="50BED82F"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27" w:history="1">
        <w:r w:rsidR="00080724" w:rsidRPr="00785D39">
          <w:rPr>
            <w:rStyle w:val="Lienhypertexte"/>
            <w:rFonts w:asciiTheme="majorBidi" w:hAnsiTheme="majorBidi" w:cstheme="majorBidi"/>
            <w:b/>
            <w:bCs/>
            <w:noProof/>
            <w:lang w:eastAsia="fr-FR"/>
          </w:rPr>
          <w:t>5.4.</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Un outil d’évaluation et d’ajustement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39</w:t>
        </w:r>
        <w:r w:rsidR="00080724" w:rsidRPr="00785D39">
          <w:rPr>
            <w:rFonts w:asciiTheme="majorBidi" w:hAnsiTheme="majorBidi" w:cstheme="majorBidi"/>
            <w:b/>
            <w:bCs/>
            <w:noProof/>
            <w:webHidden/>
          </w:rPr>
          <w:fldChar w:fldCharType="end"/>
        </w:r>
      </w:hyperlink>
    </w:p>
    <w:p w14:paraId="680B44D9" w14:textId="5C6E2231"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28" w:history="1">
        <w:r w:rsidR="00080724" w:rsidRPr="00785D39">
          <w:rPr>
            <w:rStyle w:val="Lienhypertexte"/>
            <w:rFonts w:asciiTheme="majorBidi" w:hAnsiTheme="majorBidi" w:cstheme="majorBidi"/>
            <w:b/>
            <w:bCs/>
            <w:noProof/>
            <w:lang w:eastAsia="fr-FR"/>
          </w:rPr>
          <w:t>6.</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Avantages et limites du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40</w:t>
        </w:r>
        <w:r w:rsidR="00080724" w:rsidRPr="00785D39">
          <w:rPr>
            <w:rFonts w:asciiTheme="majorBidi" w:hAnsiTheme="majorBidi" w:cstheme="majorBidi"/>
            <w:b/>
            <w:bCs/>
            <w:noProof/>
            <w:webHidden/>
          </w:rPr>
          <w:fldChar w:fldCharType="end"/>
        </w:r>
      </w:hyperlink>
    </w:p>
    <w:p w14:paraId="135D2854" w14:textId="3087A1EC"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29" w:history="1">
        <w:r w:rsidR="00080724" w:rsidRPr="00785D39">
          <w:rPr>
            <w:rStyle w:val="Lienhypertexte"/>
            <w:rFonts w:asciiTheme="majorBidi" w:hAnsiTheme="majorBidi" w:cstheme="majorBidi"/>
            <w:b/>
            <w:bCs/>
            <w:noProof/>
            <w:lang w:eastAsia="fr-FR"/>
          </w:rPr>
          <w:t>6.1.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Avantages du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_Toc199314429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40</w:t>
        </w:r>
        <w:r w:rsidR="00080724" w:rsidRPr="00785D39">
          <w:rPr>
            <w:rFonts w:asciiTheme="majorBidi" w:hAnsiTheme="majorBidi" w:cstheme="majorBidi"/>
            <w:b/>
            <w:bCs/>
            <w:noProof/>
            <w:webHidden/>
          </w:rPr>
          <w:fldChar w:fldCharType="end"/>
        </w:r>
      </w:hyperlink>
    </w:p>
    <w:p w14:paraId="77E0DCC7" w14:textId="7F7BB973"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30" w:history="1">
        <w:r w:rsidR="00080724" w:rsidRPr="00785D39">
          <w:rPr>
            <w:rStyle w:val="Lienhypertexte"/>
            <w:rFonts w:asciiTheme="majorBidi" w:hAnsiTheme="majorBidi" w:cstheme="majorBidi"/>
            <w:b/>
            <w:bCs/>
            <w:noProof/>
            <w:lang w:eastAsia="fr-FR"/>
          </w:rPr>
          <w:t>6.2.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Limites du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41</w:t>
        </w:r>
        <w:r w:rsidR="00080724" w:rsidRPr="00785D39">
          <w:rPr>
            <w:rFonts w:asciiTheme="majorBidi" w:hAnsiTheme="majorBidi" w:cstheme="majorBidi"/>
            <w:b/>
            <w:bCs/>
            <w:noProof/>
            <w:webHidden/>
          </w:rPr>
          <w:fldChar w:fldCharType="end"/>
        </w:r>
      </w:hyperlink>
    </w:p>
    <w:p w14:paraId="0882BC53" w14:textId="688C6039"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31" w:history="1">
        <w:r w:rsidR="00080724" w:rsidRPr="00785D39">
          <w:rPr>
            <w:rStyle w:val="Lienhypertexte"/>
            <w:rFonts w:asciiTheme="majorBidi" w:hAnsiTheme="majorBidi" w:cstheme="majorBidi"/>
            <w:b/>
            <w:bCs/>
            <w:noProof/>
          </w:rPr>
          <w:t>7.</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supports du contrôle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41</w:t>
        </w:r>
        <w:r w:rsidR="00080724" w:rsidRPr="00785D39">
          <w:rPr>
            <w:rFonts w:asciiTheme="majorBidi" w:hAnsiTheme="majorBidi" w:cstheme="majorBidi"/>
            <w:b/>
            <w:bCs/>
            <w:noProof/>
            <w:webHidden/>
          </w:rPr>
          <w:fldChar w:fldCharType="end"/>
        </w:r>
      </w:hyperlink>
    </w:p>
    <w:p w14:paraId="1A7F83B6" w14:textId="793DD05D"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32" w:history="1">
        <w:r w:rsidR="00080724" w:rsidRPr="00785D39">
          <w:rPr>
            <w:rStyle w:val="Lienhypertexte"/>
            <w:rFonts w:asciiTheme="majorBidi" w:hAnsiTheme="majorBidi" w:cstheme="majorBidi"/>
            <w:b/>
            <w:bCs/>
            <w:noProof/>
          </w:rPr>
          <w:t>7.1.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 tableau de bord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41</w:t>
        </w:r>
        <w:r w:rsidR="00080724" w:rsidRPr="00785D39">
          <w:rPr>
            <w:rFonts w:asciiTheme="majorBidi" w:hAnsiTheme="majorBidi" w:cstheme="majorBidi"/>
            <w:b/>
            <w:bCs/>
            <w:noProof/>
            <w:webHidden/>
          </w:rPr>
          <w:fldChar w:fldCharType="end"/>
        </w:r>
      </w:hyperlink>
    </w:p>
    <w:p w14:paraId="28ECA281" w14:textId="7509FB9F"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33" w:history="1">
        <w:r w:rsidR="00080724" w:rsidRPr="00785D39">
          <w:rPr>
            <w:rStyle w:val="Lienhypertexte"/>
            <w:rFonts w:asciiTheme="majorBidi" w:hAnsiTheme="majorBidi" w:cstheme="majorBidi"/>
            <w:b/>
            <w:bCs/>
            <w:noProof/>
          </w:rPr>
          <w:t>7.2.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rapports de contrôle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42</w:t>
        </w:r>
        <w:r w:rsidR="00080724" w:rsidRPr="00785D39">
          <w:rPr>
            <w:rFonts w:asciiTheme="majorBidi" w:hAnsiTheme="majorBidi" w:cstheme="majorBidi"/>
            <w:b/>
            <w:bCs/>
            <w:noProof/>
            <w:webHidden/>
          </w:rPr>
          <w:fldChar w:fldCharType="end"/>
        </w:r>
      </w:hyperlink>
    </w:p>
    <w:p w14:paraId="1922E9FC" w14:textId="785FA029"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34" w:history="1">
        <w:r w:rsidR="00080724" w:rsidRPr="00785D39">
          <w:rPr>
            <w:rStyle w:val="Lienhypertexte"/>
            <w:rFonts w:asciiTheme="majorBidi" w:hAnsiTheme="majorBidi" w:cstheme="majorBidi"/>
            <w:b/>
            <w:bCs/>
            <w:noProof/>
          </w:rPr>
          <w:t>7.3.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réunions de suivi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42</w:t>
        </w:r>
        <w:r w:rsidR="00080724" w:rsidRPr="00785D39">
          <w:rPr>
            <w:rFonts w:asciiTheme="majorBidi" w:hAnsiTheme="majorBidi" w:cstheme="majorBidi"/>
            <w:b/>
            <w:bCs/>
            <w:noProof/>
            <w:webHidden/>
          </w:rPr>
          <w:fldChar w:fldCharType="end"/>
        </w:r>
      </w:hyperlink>
    </w:p>
    <w:p w14:paraId="6B772815" w14:textId="423C5E7C" w:rsidR="00080724" w:rsidRPr="00785D39" w:rsidRDefault="00AB34B8" w:rsidP="00AE3850">
      <w:pPr>
        <w:pStyle w:val="TM1"/>
        <w:rPr>
          <w:rFonts w:asciiTheme="majorBidi" w:hAnsiTheme="majorBidi" w:cstheme="majorBidi"/>
          <w:b/>
          <w:bCs/>
          <w:noProof/>
        </w:rPr>
      </w:pPr>
      <w:hyperlink w:anchor="_Toc199314435" w:history="1">
        <w:r w:rsidR="00080724" w:rsidRPr="00785D39">
          <w:rPr>
            <w:rStyle w:val="Lienhypertexte"/>
            <w:rFonts w:asciiTheme="majorBidi" w:hAnsiTheme="majorBidi" w:cstheme="majorBidi"/>
            <w:b/>
            <w:bCs/>
            <w:noProof/>
          </w:rPr>
          <w:t>Conclusion du chapitre 01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43</w:t>
        </w:r>
        <w:r w:rsidR="00080724" w:rsidRPr="00785D39">
          <w:rPr>
            <w:rFonts w:asciiTheme="majorBidi" w:hAnsiTheme="majorBidi" w:cstheme="majorBidi"/>
            <w:b/>
            <w:bCs/>
            <w:noProof/>
            <w:webHidden/>
          </w:rPr>
          <w:fldChar w:fldCharType="end"/>
        </w:r>
      </w:hyperlink>
    </w:p>
    <w:p w14:paraId="5549AF07" w14:textId="5540B40F" w:rsidR="00080724" w:rsidRPr="00785D39" w:rsidRDefault="00AB34B8" w:rsidP="00AE3850">
      <w:pPr>
        <w:pStyle w:val="TM1"/>
        <w:rPr>
          <w:rFonts w:asciiTheme="majorBidi" w:hAnsiTheme="majorBidi" w:cstheme="majorBidi"/>
          <w:b/>
          <w:bCs/>
          <w:noProof/>
        </w:rPr>
      </w:pPr>
      <w:hyperlink w:anchor="_Toc199314436" w:history="1">
        <w:r w:rsidR="00080724" w:rsidRPr="00785D39">
          <w:rPr>
            <w:rStyle w:val="Lienhypertexte"/>
            <w:rFonts w:asciiTheme="majorBidi" w:hAnsiTheme="majorBidi" w:cstheme="majorBidi"/>
            <w:b/>
            <w:bCs/>
            <w:noProof/>
          </w:rPr>
          <w:t xml:space="preserve">CHAPITRE 02 : </w:t>
        </w:r>
        <w:r w:rsidR="008C0FBF" w:rsidRPr="008C0FBF">
          <w:rPr>
            <w:rStyle w:val="Lienhypertexte"/>
            <w:rFonts w:asciiTheme="majorBidi" w:hAnsiTheme="majorBidi" w:cstheme="majorBidi"/>
            <w:b/>
            <w:bCs/>
            <w:noProof/>
          </w:rPr>
          <w:t>Le processus budgétaire au sein de l’entreprise Algérie Telecom</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44</w:t>
        </w:r>
        <w:r w:rsidR="00080724" w:rsidRPr="00785D39">
          <w:rPr>
            <w:rFonts w:asciiTheme="majorBidi" w:hAnsiTheme="majorBidi" w:cstheme="majorBidi"/>
            <w:b/>
            <w:bCs/>
            <w:noProof/>
            <w:webHidden/>
          </w:rPr>
          <w:fldChar w:fldCharType="end"/>
        </w:r>
      </w:hyperlink>
    </w:p>
    <w:p w14:paraId="06CC940F" w14:textId="2DA23591" w:rsidR="00080724" w:rsidRPr="00785D39" w:rsidRDefault="00AB34B8" w:rsidP="00AE3850">
      <w:pPr>
        <w:pStyle w:val="TM1"/>
        <w:rPr>
          <w:rFonts w:asciiTheme="majorBidi" w:hAnsiTheme="majorBidi" w:cstheme="majorBidi"/>
          <w:b/>
          <w:bCs/>
          <w:noProof/>
        </w:rPr>
      </w:pPr>
      <w:hyperlink w:anchor="_Toc199314437" w:history="1">
        <w:r w:rsidR="00080724" w:rsidRPr="00785D39">
          <w:rPr>
            <w:rStyle w:val="Lienhypertexte"/>
            <w:rFonts w:asciiTheme="majorBidi" w:hAnsiTheme="majorBidi" w:cstheme="majorBidi"/>
            <w:b/>
            <w:bCs/>
            <w:noProof/>
          </w:rPr>
          <w:t>Introduction du chapitre 02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45</w:t>
        </w:r>
        <w:r w:rsidR="00080724" w:rsidRPr="00785D39">
          <w:rPr>
            <w:rFonts w:asciiTheme="majorBidi" w:hAnsiTheme="majorBidi" w:cstheme="majorBidi"/>
            <w:b/>
            <w:bCs/>
            <w:noProof/>
            <w:webHidden/>
          </w:rPr>
          <w:fldChar w:fldCharType="end"/>
        </w:r>
      </w:hyperlink>
    </w:p>
    <w:p w14:paraId="7158C83B" w14:textId="3539C7C3"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438" w:history="1">
        <w:r w:rsidR="00080724" w:rsidRPr="00785D39">
          <w:rPr>
            <w:rStyle w:val="Lienhypertexte"/>
            <w:rFonts w:asciiTheme="majorBidi" w:hAnsiTheme="majorBidi" w:cstheme="majorBidi"/>
            <w:b/>
            <w:bCs/>
            <w:noProof/>
          </w:rPr>
          <w:t>Section 01 : Présentation de l’organisme d’accueil</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46</w:t>
        </w:r>
        <w:r w:rsidR="00080724" w:rsidRPr="00785D39">
          <w:rPr>
            <w:rFonts w:asciiTheme="majorBidi" w:hAnsiTheme="majorBidi" w:cstheme="majorBidi"/>
            <w:b/>
            <w:bCs/>
            <w:noProof/>
            <w:webHidden/>
          </w:rPr>
          <w:fldChar w:fldCharType="end"/>
        </w:r>
      </w:hyperlink>
    </w:p>
    <w:p w14:paraId="760675E4" w14:textId="2064306A"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39" w:history="1">
        <w:r w:rsidR="00080724" w:rsidRPr="00785D39">
          <w:rPr>
            <w:rStyle w:val="Lienhypertexte"/>
            <w:rFonts w:asciiTheme="majorBidi" w:hAnsiTheme="majorBidi" w:cstheme="majorBidi"/>
            <w:b/>
            <w:bCs/>
            <w:noProof/>
            <w:lang w:eastAsia="fr-FR"/>
          </w:rPr>
          <w:t>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Présentation de l’entreprise 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_Toc199314439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46</w:t>
        </w:r>
        <w:r w:rsidR="00080724" w:rsidRPr="00785D39">
          <w:rPr>
            <w:rFonts w:asciiTheme="majorBidi" w:hAnsiTheme="majorBidi" w:cstheme="majorBidi"/>
            <w:b/>
            <w:bCs/>
            <w:noProof/>
            <w:webHidden/>
          </w:rPr>
          <w:fldChar w:fldCharType="end"/>
        </w:r>
      </w:hyperlink>
    </w:p>
    <w:p w14:paraId="70E5B2C5" w14:textId="6CA659DC"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40" w:history="1">
        <w:r w:rsidR="00080724" w:rsidRPr="00785D39">
          <w:rPr>
            <w:rStyle w:val="Lienhypertexte"/>
            <w:rFonts w:asciiTheme="majorBidi" w:hAnsiTheme="majorBidi" w:cstheme="majorBidi"/>
            <w:b/>
            <w:bCs/>
            <w:noProof/>
          </w:rPr>
          <w:t>1.1.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Historique de l’entreprise 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46</w:t>
        </w:r>
        <w:r w:rsidR="00080724" w:rsidRPr="00785D39">
          <w:rPr>
            <w:rFonts w:asciiTheme="majorBidi" w:hAnsiTheme="majorBidi" w:cstheme="majorBidi"/>
            <w:b/>
            <w:bCs/>
            <w:noProof/>
            <w:webHidden/>
          </w:rPr>
          <w:fldChar w:fldCharType="end"/>
        </w:r>
      </w:hyperlink>
    </w:p>
    <w:p w14:paraId="37083504" w14:textId="4DF7AF12"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41" w:history="1">
        <w:r w:rsidR="00080724" w:rsidRPr="00785D39">
          <w:rPr>
            <w:rStyle w:val="Lienhypertexte"/>
            <w:rFonts w:asciiTheme="majorBidi" w:hAnsiTheme="majorBidi" w:cstheme="majorBidi"/>
            <w:b/>
            <w:bCs/>
            <w:noProof/>
          </w:rPr>
          <w:t>1.2.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Objectifs d’Algérie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47</w:t>
        </w:r>
        <w:r w:rsidR="00080724" w:rsidRPr="00785D39">
          <w:rPr>
            <w:rFonts w:asciiTheme="majorBidi" w:hAnsiTheme="majorBidi" w:cstheme="majorBidi"/>
            <w:b/>
            <w:bCs/>
            <w:noProof/>
            <w:webHidden/>
          </w:rPr>
          <w:fldChar w:fldCharType="end"/>
        </w:r>
      </w:hyperlink>
    </w:p>
    <w:p w14:paraId="50E6A142" w14:textId="640C3435"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42" w:history="1">
        <w:r w:rsidR="00080724" w:rsidRPr="00785D39">
          <w:rPr>
            <w:rStyle w:val="Lienhypertexte"/>
            <w:rFonts w:asciiTheme="majorBidi" w:hAnsiTheme="majorBidi" w:cstheme="majorBidi"/>
            <w:b/>
            <w:bCs/>
            <w:noProof/>
          </w:rPr>
          <w:t>1.3.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Missions d’Algérie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47</w:t>
        </w:r>
        <w:r w:rsidR="00080724" w:rsidRPr="00785D39">
          <w:rPr>
            <w:rFonts w:asciiTheme="majorBidi" w:hAnsiTheme="majorBidi" w:cstheme="majorBidi"/>
            <w:b/>
            <w:bCs/>
            <w:noProof/>
            <w:webHidden/>
          </w:rPr>
          <w:fldChar w:fldCharType="end"/>
        </w:r>
      </w:hyperlink>
    </w:p>
    <w:p w14:paraId="3AC553C4" w14:textId="69141FB3"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43" w:history="1">
        <w:r w:rsidR="00080724" w:rsidRPr="00785D39">
          <w:rPr>
            <w:rStyle w:val="Lienhypertexte"/>
            <w:rFonts w:asciiTheme="majorBidi" w:hAnsiTheme="majorBidi" w:cstheme="majorBidi"/>
            <w:b/>
            <w:bCs/>
            <w:noProof/>
          </w:rPr>
          <w:t>1.4.</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Organisation d’Algérie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48</w:t>
        </w:r>
        <w:r w:rsidR="00080724" w:rsidRPr="00785D39">
          <w:rPr>
            <w:rFonts w:asciiTheme="majorBidi" w:hAnsiTheme="majorBidi" w:cstheme="majorBidi"/>
            <w:b/>
            <w:bCs/>
            <w:noProof/>
            <w:webHidden/>
          </w:rPr>
          <w:fldChar w:fldCharType="end"/>
        </w:r>
      </w:hyperlink>
    </w:p>
    <w:p w14:paraId="3F2B6A88" w14:textId="5D1BD7C9"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44" w:history="1">
        <w:r w:rsidR="00080724" w:rsidRPr="00785D39">
          <w:rPr>
            <w:rStyle w:val="Lienhypertexte"/>
            <w:rFonts w:asciiTheme="majorBidi" w:hAnsiTheme="majorBidi" w:cstheme="majorBidi"/>
            <w:b/>
            <w:bCs/>
            <w:noProof/>
          </w:rPr>
          <w:t>1.5.</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Fiche technique d’Algérie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50</w:t>
        </w:r>
        <w:r w:rsidR="00080724" w:rsidRPr="00785D39">
          <w:rPr>
            <w:rFonts w:asciiTheme="majorBidi" w:hAnsiTheme="majorBidi" w:cstheme="majorBidi"/>
            <w:b/>
            <w:bCs/>
            <w:noProof/>
            <w:webHidden/>
          </w:rPr>
          <w:fldChar w:fldCharType="end"/>
        </w:r>
      </w:hyperlink>
    </w:p>
    <w:p w14:paraId="7FA2C58F" w14:textId="710D5898"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45" w:history="1">
        <w:r w:rsidR="00080724" w:rsidRPr="00785D39">
          <w:rPr>
            <w:rStyle w:val="Lienhypertexte"/>
            <w:rFonts w:asciiTheme="majorBidi" w:hAnsiTheme="majorBidi" w:cstheme="majorBidi"/>
            <w:b/>
            <w:bCs/>
            <w:noProof/>
          </w:rPr>
          <w:t>1.6.</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Stratégie d’Algérie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50</w:t>
        </w:r>
        <w:r w:rsidR="00080724" w:rsidRPr="00785D39">
          <w:rPr>
            <w:rFonts w:asciiTheme="majorBidi" w:hAnsiTheme="majorBidi" w:cstheme="majorBidi"/>
            <w:b/>
            <w:bCs/>
            <w:noProof/>
            <w:webHidden/>
          </w:rPr>
          <w:fldChar w:fldCharType="end"/>
        </w:r>
      </w:hyperlink>
    </w:p>
    <w:p w14:paraId="2281FD35" w14:textId="091326D9"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46" w:history="1">
        <w:r w:rsidR="00080724" w:rsidRPr="00785D39">
          <w:rPr>
            <w:rStyle w:val="Lienhypertexte"/>
            <w:rFonts w:asciiTheme="majorBidi" w:hAnsiTheme="majorBidi" w:cstheme="majorBidi"/>
            <w:b/>
            <w:bCs/>
            <w:noProof/>
          </w:rPr>
          <w:t>1.7.</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valeurs d’Algérie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51</w:t>
        </w:r>
        <w:r w:rsidR="00080724" w:rsidRPr="00785D39">
          <w:rPr>
            <w:rFonts w:asciiTheme="majorBidi" w:hAnsiTheme="majorBidi" w:cstheme="majorBidi"/>
            <w:b/>
            <w:bCs/>
            <w:noProof/>
            <w:webHidden/>
          </w:rPr>
          <w:fldChar w:fldCharType="end"/>
        </w:r>
      </w:hyperlink>
    </w:p>
    <w:p w14:paraId="6FDB9046" w14:textId="4F59E5F2"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47" w:history="1">
        <w:r w:rsidR="00080724" w:rsidRPr="00785D39">
          <w:rPr>
            <w:rStyle w:val="Lienhypertexte"/>
            <w:rFonts w:asciiTheme="majorBidi" w:hAnsiTheme="majorBidi" w:cstheme="majorBidi"/>
            <w:b/>
            <w:bCs/>
            <w:noProof/>
          </w:rPr>
          <w:t>1.8.</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services et produits d’Algérie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51</w:t>
        </w:r>
        <w:r w:rsidR="00080724" w:rsidRPr="00785D39">
          <w:rPr>
            <w:rFonts w:asciiTheme="majorBidi" w:hAnsiTheme="majorBidi" w:cstheme="majorBidi"/>
            <w:b/>
            <w:bCs/>
            <w:noProof/>
            <w:webHidden/>
          </w:rPr>
          <w:fldChar w:fldCharType="end"/>
        </w:r>
      </w:hyperlink>
    </w:p>
    <w:p w14:paraId="553ACC35" w14:textId="4EF1DCE5"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48" w:history="1">
        <w:r w:rsidR="00080724" w:rsidRPr="00785D39">
          <w:rPr>
            <w:rStyle w:val="Lienhypertexte"/>
            <w:rFonts w:asciiTheme="majorBidi" w:hAnsiTheme="majorBidi" w:cstheme="majorBidi"/>
            <w:b/>
            <w:bCs/>
            <w:noProof/>
          </w:rPr>
          <w:t>1.9.</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Les systèmes d’information d’Algérie Télécom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52</w:t>
        </w:r>
        <w:r w:rsidR="00080724" w:rsidRPr="00785D39">
          <w:rPr>
            <w:rFonts w:asciiTheme="majorBidi" w:hAnsiTheme="majorBidi" w:cstheme="majorBidi"/>
            <w:b/>
            <w:bCs/>
            <w:noProof/>
            <w:webHidden/>
          </w:rPr>
          <w:fldChar w:fldCharType="end"/>
        </w:r>
      </w:hyperlink>
    </w:p>
    <w:p w14:paraId="4BB8F3FB" w14:textId="2ABF0143"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49" w:history="1">
        <w:r w:rsidR="00080724" w:rsidRPr="00785D39">
          <w:rPr>
            <w:rStyle w:val="Lienhypertexte"/>
            <w:rFonts w:asciiTheme="majorBidi" w:hAnsiTheme="majorBidi" w:cstheme="majorBidi"/>
            <w:b/>
            <w:bCs/>
            <w:noProof/>
            <w:lang w:eastAsia="fr-FR"/>
          </w:rPr>
          <w:t>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Présentation de la Direction Opérationnelle des Télécommunications (DOT) d'Alger – Beni Messous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_Toc199314449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53</w:t>
        </w:r>
        <w:r w:rsidR="00080724" w:rsidRPr="00785D39">
          <w:rPr>
            <w:rFonts w:asciiTheme="majorBidi" w:hAnsiTheme="majorBidi" w:cstheme="majorBidi"/>
            <w:b/>
            <w:bCs/>
            <w:noProof/>
            <w:webHidden/>
          </w:rPr>
          <w:fldChar w:fldCharType="end"/>
        </w:r>
      </w:hyperlink>
    </w:p>
    <w:p w14:paraId="1174BF26" w14:textId="2767DC1F"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50" w:history="1">
        <w:r w:rsidR="00080724" w:rsidRPr="00785D39">
          <w:rPr>
            <w:rStyle w:val="Lienhypertexte"/>
            <w:rFonts w:asciiTheme="majorBidi" w:hAnsiTheme="majorBidi" w:cstheme="majorBidi"/>
            <w:b/>
            <w:bCs/>
            <w:noProof/>
          </w:rPr>
          <w:t>2.1.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Missions et Objectifs de la DOT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53</w:t>
        </w:r>
        <w:r w:rsidR="00080724" w:rsidRPr="00785D39">
          <w:rPr>
            <w:rFonts w:asciiTheme="majorBidi" w:hAnsiTheme="majorBidi" w:cstheme="majorBidi"/>
            <w:b/>
            <w:bCs/>
            <w:noProof/>
            <w:webHidden/>
          </w:rPr>
          <w:fldChar w:fldCharType="end"/>
        </w:r>
      </w:hyperlink>
    </w:p>
    <w:p w14:paraId="46D5DBE9" w14:textId="4A40A17F"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51" w:history="1">
        <w:r w:rsidR="00080724" w:rsidRPr="00785D39">
          <w:rPr>
            <w:rStyle w:val="Lienhypertexte"/>
            <w:rFonts w:asciiTheme="majorBidi" w:hAnsiTheme="majorBidi" w:cstheme="majorBidi"/>
            <w:b/>
            <w:bCs/>
            <w:noProof/>
          </w:rPr>
          <w:t>2.2.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Organisation de la Direction Opérationnelle des Télécommunications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55</w:t>
        </w:r>
        <w:r w:rsidR="00080724" w:rsidRPr="00785D39">
          <w:rPr>
            <w:rFonts w:asciiTheme="majorBidi" w:hAnsiTheme="majorBidi" w:cstheme="majorBidi"/>
            <w:b/>
            <w:bCs/>
            <w:noProof/>
            <w:webHidden/>
          </w:rPr>
          <w:fldChar w:fldCharType="end"/>
        </w:r>
      </w:hyperlink>
    </w:p>
    <w:p w14:paraId="156261F3" w14:textId="56521143"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52" w:history="1">
        <w:r w:rsidR="00080724" w:rsidRPr="00785D39">
          <w:rPr>
            <w:rStyle w:val="Lienhypertexte"/>
            <w:rFonts w:asciiTheme="majorBidi" w:hAnsiTheme="majorBidi" w:cstheme="majorBidi"/>
            <w:b/>
            <w:bCs/>
            <w:noProof/>
            <w:lang w:eastAsia="fr-FR"/>
          </w:rPr>
          <w:t>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Présentation du Département Finances et Comptabilité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57</w:t>
        </w:r>
        <w:r w:rsidR="00080724" w:rsidRPr="00785D39">
          <w:rPr>
            <w:rFonts w:asciiTheme="majorBidi" w:hAnsiTheme="majorBidi" w:cstheme="majorBidi"/>
            <w:b/>
            <w:bCs/>
            <w:noProof/>
            <w:webHidden/>
          </w:rPr>
          <w:fldChar w:fldCharType="end"/>
        </w:r>
      </w:hyperlink>
    </w:p>
    <w:p w14:paraId="7A5454C1" w14:textId="684F344E"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53" w:history="1">
        <w:r w:rsidR="00080724" w:rsidRPr="00785D39">
          <w:rPr>
            <w:rStyle w:val="Lienhypertexte"/>
            <w:rFonts w:asciiTheme="majorBidi" w:hAnsiTheme="majorBidi" w:cstheme="majorBidi"/>
            <w:b/>
            <w:bCs/>
            <w:noProof/>
          </w:rPr>
          <w:t>3.1.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Missions et Responsabilités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57</w:t>
        </w:r>
        <w:r w:rsidR="00080724" w:rsidRPr="00785D39">
          <w:rPr>
            <w:rFonts w:asciiTheme="majorBidi" w:hAnsiTheme="majorBidi" w:cstheme="majorBidi"/>
            <w:b/>
            <w:bCs/>
            <w:noProof/>
            <w:webHidden/>
          </w:rPr>
          <w:fldChar w:fldCharType="end"/>
        </w:r>
      </w:hyperlink>
    </w:p>
    <w:p w14:paraId="10447A22" w14:textId="48268B4E"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54" w:history="1">
        <w:r w:rsidR="00080724" w:rsidRPr="00785D39">
          <w:rPr>
            <w:rStyle w:val="Lienhypertexte"/>
            <w:rFonts w:asciiTheme="majorBidi" w:hAnsiTheme="majorBidi" w:cstheme="majorBidi"/>
            <w:b/>
            <w:bCs/>
            <w:noProof/>
          </w:rPr>
          <w:t>3.2.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Missions des Services Financiers et Comptables de la Direction Opérationnelle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57</w:t>
        </w:r>
        <w:r w:rsidR="00080724" w:rsidRPr="00785D39">
          <w:rPr>
            <w:rFonts w:asciiTheme="majorBidi" w:hAnsiTheme="majorBidi" w:cstheme="majorBidi"/>
            <w:b/>
            <w:bCs/>
            <w:noProof/>
            <w:webHidden/>
          </w:rPr>
          <w:fldChar w:fldCharType="end"/>
        </w:r>
      </w:hyperlink>
    </w:p>
    <w:p w14:paraId="2E0E344F" w14:textId="689DC688"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455" w:history="1">
        <w:r w:rsidR="00080724" w:rsidRPr="00785D39">
          <w:rPr>
            <w:rStyle w:val="Lienhypertexte"/>
            <w:rFonts w:asciiTheme="majorBidi" w:hAnsiTheme="majorBidi" w:cstheme="majorBidi"/>
            <w:b/>
            <w:bCs/>
            <w:noProof/>
          </w:rPr>
          <w:t>3.2.1.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Missions du Service Finances et Trésorerie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57</w:t>
        </w:r>
        <w:r w:rsidR="00080724" w:rsidRPr="00785D39">
          <w:rPr>
            <w:rFonts w:asciiTheme="majorBidi" w:hAnsiTheme="majorBidi" w:cstheme="majorBidi"/>
            <w:b/>
            <w:bCs/>
            <w:noProof/>
            <w:webHidden/>
          </w:rPr>
          <w:fldChar w:fldCharType="end"/>
        </w:r>
      </w:hyperlink>
    </w:p>
    <w:p w14:paraId="71F978E3" w14:textId="4379A830"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456" w:history="1">
        <w:r w:rsidR="00080724" w:rsidRPr="00785D39">
          <w:rPr>
            <w:rStyle w:val="Lienhypertexte"/>
            <w:rFonts w:asciiTheme="majorBidi" w:hAnsiTheme="majorBidi" w:cstheme="majorBidi"/>
            <w:b/>
            <w:bCs/>
            <w:noProof/>
          </w:rPr>
          <w:t>3.2.2.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Missions du Service Comptabilité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58</w:t>
        </w:r>
        <w:r w:rsidR="00080724" w:rsidRPr="00785D39">
          <w:rPr>
            <w:rFonts w:asciiTheme="majorBidi" w:hAnsiTheme="majorBidi" w:cstheme="majorBidi"/>
            <w:b/>
            <w:bCs/>
            <w:noProof/>
            <w:webHidden/>
          </w:rPr>
          <w:fldChar w:fldCharType="end"/>
        </w:r>
      </w:hyperlink>
    </w:p>
    <w:p w14:paraId="0A9F9388" w14:textId="1093C530" w:rsidR="00080724" w:rsidRPr="00785D39" w:rsidRDefault="00AB34B8" w:rsidP="00AE3850">
      <w:pPr>
        <w:pStyle w:val="TM5"/>
        <w:tabs>
          <w:tab w:val="left" w:pos="1920"/>
          <w:tab w:val="right" w:leader="dot" w:pos="9061"/>
        </w:tabs>
        <w:spacing w:line="360" w:lineRule="auto"/>
        <w:jc w:val="both"/>
        <w:rPr>
          <w:rFonts w:asciiTheme="majorBidi" w:hAnsiTheme="majorBidi" w:cstheme="majorBidi"/>
          <w:b/>
          <w:bCs/>
          <w:noProof/>
        </w:rPr>
      </w:pPr>
      <w:hyperlink w:anchor="_Toc199314457" w:history="1">
        <w:r w:rsidR="00080724" w:rsidRPr="00785D39">
          <w:rPr>
            <w:rStyle w:val="Lienhypertexte"/>
            <w:rFonts w:asciiTheme="majorBidi" w:hAnsiTheme="majorBidi" w:cstheme="majorBidi"/>
            <w:b/>
            <w:bCs/>
            <w:noProof/>
          </w:rPr>
          <w:t>3.2.3.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Missions du Service Budget et Reporting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58</w:t>
        </w:r>
        <w:r w:rsidR="00080724" w:rsidRPr="00785D39">
          <w:rPr>
            <w:rFonts w:asciiTheme="majorBidi" w:hAnsiTheme="majorBidi" w:cstheme="majorBidi"/>
            <w:b/>
            <w:bCs/>
            <w:noProof/>
            <w:webHidden/>
          </w:rPr>
          <w:fldChar w:fldCharType="end"/>
        </w:r>
      </w:hyperlink>
    </w:p>
    <w:p w14:paraId="26EB6DA6" w14:textId="0078787D"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58" w:history="1">
        <w:r w:rsidR="00080724" w:rsidRPr="00785D39">
          <w:rPr>
            <w:rStyle w:val="Lienhypertexte"/>
            <w:rFonts w:asciiTheme="majorBidi" w:hAnsiTheme="majorBidi" w:cstheme="majorBidi"/>
            <w:b/>
            <w:bCs/>
            <w:noProof/>
          </w:rPr>
          <w:t>3.3.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Effectif et Organisation des Ressources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59</w:t>
        </w:r>
        <w:r w:rsidR="00080724" w:rsidRPr="00785D39">
          <w:rPr>
            <w:rFonts w:asciiTheme="majorBidi" w:hAnsiTheme="majorBidi" w:cstheme="majorBidi"/>
            <w:b/>
            <w:bCs/>
            <w:noProof/>
            <w:webHidden/>
          </w:rPr>
          <w:fldChar w:fldCharType="end"/>
        </w:r>
      </w:hyperlink>
    </w:p>
    <w:p w14:paraId="30DA3759" w14:textId="77BCFCE4"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459" w:history="1">
        <w:r w:rsidR="00080724" w:rsidRPr="00785D39">
          <w:rPr>
            <w:rStyle w:val="Lienhypertexte"/>
            <w:rFonts w:asciiTheme="majorBidi" w:hAnsiTheme="majorBidi" w:cstheme="majorBidi"/>
            <w:b/>
            <w:bCs/>
            <w:noProof/>
          </w:rPr>
          <w:t>Section 02 : Le processus budgétaire à la DOT de Beni Messous</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_Toc199314459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61</w:t>
        </w:r>
        <w:r w:rsidR="00080724" w:rsidRPr="00785D39">
          <w:rPr>
            <w:rFonts w:asciiTheme="majorBidi" w:hAnsiTheme="majorBidi" w:cstheme="majorBidi"/>
            <w:b/>
            <w:bCs/>
            <w:noProof/>
            <w:webHidden/>
          </w:rPr>
          <w:fldChar w:fldCharType="end"/>
        </w:r>
      </w:hyperlink>
    </w:p>
    <w:p w14:paraId="3E8A1418" w14:textId="0A917DA7"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60" w:history="1">
        <w:r w:rsidR="00080724" w:rsidRPr="00785D39">
          <w:rPr>
            <w:rStyle w:val="Lienhypertexte"/>
            <w:rFonts w:asciiTheme="majorBidi" w:hAnsiTheme="majorBidi" w:cstheme="majorBidi"/>
            <w:b/>
            <w:bCs/>
            <w:noProof/>
            <w:lang w:eastAsia="fr-FR"/>
          </w:rPr>
          <w:t>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L’élaboration du budget à la DOT de Beni Messous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61</w:t>
        </w:r>
        <w:r w:rsidR="00080724" w:rsidRPr="00785D39">
          <w:rPr>
            <w:rFonts w:asciiTheme="majorBidi" w:hAnsiTheme="majorBidi" w:cstheme="majorBidi"/>
            <w:b/>
            <w:bCs/>
            <w:noProof/>
            <w:webHidden/>
          </w:rPr>
          <w:fldChar w:fldCharType="end"/>
        </w:r>
      </w:hyperlink>
    </w:p>
    <w:p w14:paraId="5231B07D" w14:textId="0B7C61E2"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61" w:history="1">
        <w:r w:rsidR="00080724" w:rsidRPr="00785D39">
          <w:rPr>
            <w:rStyle w:val="Lienhypertexte"/>
            <w:rFonts w:asciiTheme="majorBidi" w:hAnsiTheme="majorBidi" w:cstheme="majorBidi"/>
            <w:b/>
            <w:bCs/>
            <w:noProof/>
          </w:rPr>
          <w:t>1.1.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Processus d’élaboration du budget de fonctionnement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61</w:t>
        </w:r>
        <w:r w:rsidR="00080724" w:rsidRPr="00785D39">
          <w:rPr>
            <w:rFonts w:asciiTheme="majorBidi" w:hAnsiTheme="majorBidi" w:cstheme="majorBidi"/>
            <w:b/>
            <w:bCs/>
            <w:noProof/>
            <w:webHidden/>
          </w:rPr>
          <w:fldChar w:fldCharType="end"/>
        </w:r>
      </w:hyperlink>
    </w:p>
    <w:p w14:paraId="574C8818" w14:textId="1AEFFFEA"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62" w:history="1">
        <w:r w:rsidR="00080724" w:rsidRPr="00785D39">
          <w:rPr>
            <w:rStyle w:val="Lienhypertexte"/>
            <w:rFonts w:asciiTheme="majorBidi" w:hAnsiTheme="majorBidi" w:cstheme="majorBidi"/>
            <w:b/>
            <w:bCs/>
            <w:noProof/>
          </w:rPr>
          <w:t>1.2.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Composition du budget de fonctionnement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62</w:t>
        </w:r>
        <w:r w:rsidR="00080724" w:rsidRPr="00785D39">
          <w:rPr>
            <w:rFonts w:asciiTheme="majorBidi" w:hAnsiTheme="majorBidi" w:cstheme="majorBidi"/>
            <w:b/>
            <w:bCs/>
            <w:noProof/>
            <w:webHidden/>
          </w:rPr>
          <w:fldChar w:fldCharType="end"/>
        </w:r>
      </w:hyperlink>
    </w:p>
    <w:p w14:paraId="2E0DF502" w14:textId="2D3A8411"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63" w:history="1">
        <w:r w:rsidR="00080724" w:rsidRPr="00785D39">
          <w:rPr>
            <w:rStyle w:val="Lienhypertexte"/>
            <w:rFonts w:asciiTheme="majorBidi" w:hAnsiTheme="majorBidi" w:cstheme="majorBidi"/>
            <w:b/>
            <w:bCs/>
            <w:noProof/>
          </w:rPr>
          <w:t>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Exécution du budget de fonctionnement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62</w:t>
        </w:r>
        <w:r w:rsidR="00080724" w:rsidRPr="00785D39">
          <w:rPr>
            <w:rFonts w:asciiTheme="majorBidi" w:hAnsiTheme="majorBidi" w:cstheme="majorBidi"/>
            <w:b/>
            <w:bCs/>
            <w:noProof/>
            <w:webHidden/>
          </w:rPr>
          <w:fldChar w:fldCharType="end"/>
        </w:r>
      </w:hyperlink>
    </w:p>
    <w:p w14:paraId="687D23F8" w14:textId="6B93B899"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64" w:history="1">
        <w:r w:rsidR="00080724" w:rsidRPr="00785D39">
          <w:rPr>
            <w:rStyle w:val="Lienhypertexte"/>
            <w:rFonts w:asciiTheme="majorBidi" w:hAnsiTheme="majorBidi" w:cstheme="majorBidi"/>
            <w:b/>
            <w:bCs/>
            <w:noProof/>
          </w:rPr>
          <w:t>2.1.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Suivi budgétaire et contrôle des engagements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63</w:t>
        </w:r>
        <w:r w:rsidR="00080724" w:rsidRPr="00785D39">
          <w:rPr>
            <w:rFonts w:asciiTheme="majorBidi" w:hAnsiTheme="majorBidi" w:cstheme="majorBidi"/>
            <w:b/>
            <w:bCs/>
            <w:noProof/>
            <w:webHidden/>
          </w:rPr>
          <w:fldChar w:fldCharType="end"/>
        </w:r>
      </w:hyperlink>
    </w:p>
    <w:p w14:paraId="23D9BD8F" w14:textId="15CA14C7"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65" w:history="1">
        <w:r w:rsidR="00080724" w:rsidRPr="00785D39">
          <w:rPr>
            <w:rStyle w:val="Lienhypertexte"/>
            <w:rFonts w:asciiTheme="majorBidi" w:hAnsiTheme="majorBidi" w:cstheme="majorBidi"/>
            <w:b/>
            <w:bCs/>
            <w:noProof/>
          </w:rPr>
          <w:t>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Contrôle des dépenses de fonctionnement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63</w:t>
        </w:r>
        <w:r w:rsidR="00080724" w:rsidRPr="00785D39">
          <w:rPr>
            <w:rFonts w:asciiTheme="majorBidi" w:hAnsiTheme="majorBidi" w:cstheme="majorBidi"/>
            <w:b/>
            <w:bCs/>
            <w:noProof/>
            <w:webHidden/>
          </w:rPr>
          <w:fldChar w:fldCharType="end"/>
        </w:r>
      </w:hyperlink>
    </w:p>
    <w:p w14:paraId="7349CFF8" w14:textId="04326070"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66" w:history="1">
        <w:r w:rsidR="00080724" w:rsidRPr="00785D39">
          <w:rPr>
            <w:rStyle w:val="Lienhypertexte"/>
            <w:rFonts w:asciiTheme="majorBidi" w:hAnsiTheme="majorBidi" w:cstheme="majorBidi"/>
            <w:b/>
            <w:bCs/>
            <w:noProof/>
          </w:rPr>
          <w:t>3.1.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Rapports budgétaires périodiques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64</w:t>
        </w:r>
        <w:r w:rsidR="00080724" w:rsidRPr="00785D39">
          <w:rPr>
            <w:rFonts w:asciiTheme="majorBidi" w:hAnsiTheme="majorBidi" w:cstheme="majorBidi"/>
            <w:b/>
            <w:bCs/>
            <w:noProof/>
            <w:webHidden/>
          </w:rPr>
          <w:fldChar w:fldCharType="end"/>
        </w:r>
      </w:hyperlink>
    </w:p>
    <w:p w14:paraId="71BC3FB2" w14:textId="7100700A"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67" w:history="1">
        <w:r w:rsidR="00080724" w:rsidRPr="00785D39">
          <w:rPr>
            <w:rStyle w:val="Lienhypertexte"/>
            <w:rFonts w:asciiTheme="majorBidi" w:hAnsiTheme="majorBidi" w:cstheme="majorBidi"/>
            <w:b/>
            <w:bCs/>
            <w:noProof/>
          </w:rPr>
          <w:t>3.2.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Analyse des écarts budgétaires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64</w:t>
        </w:r>
        <w:r w:rsidR="00080724" w:rsidRPr="00785D39">
          <w:rPr>
            <w:rFonts w:asciiTheme="majorBidi" w:hAnsiTheme="majorBidi" w:cstheme="majorBidi"/>
            <w:b/>
            <w:bCs/>
            <w:noProof/>
            <w:webHidden/>
          </w:rPr>
          <w:fldChar w:fldCharType="end"/>
        </w:r>
      </w:hyperlink>
    </w:p>
    <w:p w14:paraId="5DE4915D" w14:textId="31BA9D6B"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68" w:history="1">
        <w:r w:rsidR="00080724" w:rsidRPr="00785D39">
          <w:rPr>
            <w:rStyle w:val="Lienhypertexte"/>
            <w:rFonts w:asciiTheme="majorBidi" w:hAnsiTheme="majorBidi" w:cstheme="majorBidi"/>
            <w:b/>
            <w:bCs/>
            <w:noProof/>
          </w:rPr>
          <w:t>3.3.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Présentation des données et taux d’engagement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65</w:t>
        </w:r>
        <w:r w:rsidR="00080724" w:rsidRPr="00785D39">
          <w:rPr>
            <w:rFonts w:asciiTheme="majorBidi" w:hAnsiTheme="majorBidi" w:cstheme="majorBidi"/>
            <w:b/>
            <w:bCs/>
            <w:noProof/>
            <w:webHidden/>
          </w:rPr>
          <w:fldChar w:fldCharType="end"/>
        </w:r>
      </w:hyperlink>
    </w:p>
    <w:p w14:paraId="24A986D0" w14:textId="32E293D1"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69" w:history="1">
        <w:r w:rsidR="00080724" w:rsidRPr="00785D39">
          <w:rPr>
            <w:rStyle w:val="Lienhypertexte"/>
            <w:rFonts w:asciiTheme="majorBidi" w:hAnsiTheme="majorBidi" w:cstheme="majorBidi"/>
            <w:b/>
            <w:bCs/>
            <w:noProof/>
          </w:rPr>
          <w:t>3.4.</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Présentation des tableaux de charges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_Toc199314469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66</w:t>
        </w:r>
        <w:r w:rsidR="00080724" w:rsidRPr="00785D39">
          <w:rPr>
            <w:rFonts w:asciiTheme="majorBidi" w:hAnsiTheme="majorBidi" w:cstheme="majorBidi"/>
            <w:b/>
            <w:bCs/>
            <w:noProof/>
            <w:webHidden/>
          </w:rPr>
          <w:fldChar w:fldCharType="end"/>
        </w:r>
      </w:hyperlink>
    </w:p>
    <w:p w14:paraId="16A58DDE" w14:textId="6D3E3AD1" w:rsidR="00080724" w:rsidRPr="00785D39" w:rsidRDefault="00AB34B8" w:rsidP="00AE3850">
      <w:pPr>
        <w:pStyle w:val="TM4"/>
        <w:tabs>
          <w:tab w:val="left" w:pos="1440"/>
          <w:tab w:val="right" w:leader="dot" w:pos="9061"/>
        </w:tabs>
        <w:spacing w:line="360" w:lineRule="auto"/>
        <w:jc w:val="both"/>
        <w:rPr>
          <w:rFonts w:asciiTheme="majorBidi" w:hAnsiTheme="majorBidi" w:cstheme="majorBidi"/>
          <w:b/>
          <w:bCs/>
          <w:noProof/>
        </w:rPr>
      </w:pPr>
      <w:hyperlink w:anchor="_Toc199314470" w:history="1">
        <w:r w:rsidR="00080724" w:rsidRPr="00785D39">
          <w:rPr>
            <w:rStyle w:val="Lienhypertexte"/>
            <w:rFonts w:asciiTheme="majorBidi" w:hAnsiTheme="majorBidi" w:cstheme="majorBidi"/>
            <w:b/>
            <w:bCs/>
            <w:noProof/>
          </w:rPr>
          <w:t>3.5.</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Interprétation générale des résultats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83</w:t>
        </w:r>
        <w:r w:rsidR="00080724" w:rsidRPr="00785D39">
          <w:rPr>
            <w:rFonts w:asciiTheme="majorBidi" w:hAnsiTheme="majorBidi" w:cstheme="majorBidi"/>
            <w:b/>
            <w:bCs/>
            <w:noProof/>
            <w:webHidden/>
          </w:rPr>
          <w:fldChar w:fldCharType="end"/>
        </w:r>
      </w:hyperlink>
    </w:p>
    <w:p w14:paraId="684028E1" w14:textId="0844D780" w:rsidR="00080724" w:rsidRPr="00785D39" w:rsidRDefault="00AB34B8" w:rsidP="00AE3850">
      <w:pPr>
        <w:pStyle w:val="TM2"/>
        <w:tabs>
          <w:tab w:val="right" w:leader="dot" w:pos="9061"/>
        </w:tabs>
        <w:spacing w:line="360" w:lineRule="auto"/>
        <w:jc w:val="both"/>
        <w:rPr>
          <w:rFonts w:asciiTheme="majorBidi" w:hAnsiTheme="majorBidi" w:cstheme="majorBidi"/>
          <w:b/>
          <w:bCs/>
          <w:noProof/>
        </w:rPr>
      </w:pPr>
      <w:hyperlink w:anchor="_Toc199314471" w:history="1">
        <w:r w:rsidR="00080724" w:rsidRPr="00785D39">
          <w:rPr>
            <w:rStyle w:val="Lienhypertexte"/>
            <w:rFonts w:asciiTheme="majorBidi" w:hAnsiTheme="majorBidi" w:cstheme="majorBidi"/>
            <w:b/>
            <w:bCs/>
            <w:noProof/>
          </w:rPr>
          <w:t>Section 03 : Étude critique du processus budgétaire</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_Toc199314471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84</w:t>
        </w:r>
        <w:r w:rsidR="00080724" w:rsidRPr="00785D39">
          <w:rPr>
            <w:rFonts w:asciiTheme="majorBidi" w:hAnsiTheme="majorBidi" w:cstheme="majorBidi"/>
            <w:b/>
            <w:bCs/>
            <w:noProof/>
            <w:webHidden/>
          </w:rPr>
          <w:fldChar w:fldCharType="end"/>
        </w:r>
      </w:hyperlink>
    </w:p>
    <w:p w14:paraId="006D3887" w14:textId="690F0A59"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72" w:history="1">
        <w:r w:rsidR="00080724" w:rsidRPr="00785D39">
          <w:rPr>
            <w:rStyle w:val="Lienhypertexte"/>
            <w:rFonts w:asciiTheme="majorBidi" w:eastAsia="Times New Roman" w:hAnsiTheme="majorBidi" w:cstheme="majorBidi"/>
            <w:b/>
            <w:bCs/>
            <w:noProof/>
            <w:lang w:eastAsia="fr-FR"/>
          </w:rPr>
          <w:t>1.</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Points forts du processus budgétaire à la DOT de Beni Messous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_Toc199314472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84</w:t>
        </w:r>
        <w:r w:rsidR="00080724" w:rsidRPr="00785D39">
          <w:rPr>
            <w:rFonts w:asciiTheme="majorBidi" w:hAnsiTheme="majorBidi" w:cstheme="majorBidi"/>
            <w:b/>
            <w:bCs/>
            <w:noProof/>
            <w:webHidden/>
          </w:rPr>
          <w:fldChar w:fldCharType="end"/>
        </w:r>
      </w:hyperlink>
    </w:p>
    <w:p w14:paraId="791E3F06" w14:textId="64B98A37"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73" w:history="1">
        <w:r w:rsidR="00080724" w:rsidRPr="00785D39">
          <w:rPr>
            <w:rStyle w:val="Lienhypertexte"/>
            <w:rFonts w:asciiTheme="majorBidi" w:hAnsiTheme="majorBidi" w:cstheme="majorBidi"/>
            <w:b/>
            <w:bCs/>
            <w:noProof/>
          </w:rPr>
          <w:t>2.</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rPr>
          <w:t>Points faibles du processus budgétaire à la DOT de Beni Messous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_Toc199314473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85</w:t>
        </w:r>
        <w:r w:rsidR="00080724" w:rsidRPr="00785D39">
          <w:rPr>
            <w:rFonts w:asciiTheme="majorBidi" w:hAnsiTheme="majorBidi" w:cstheme="majorBidi"/>
            <w:b/>
            <w:bCs/>
            <w:noProof/>
            <w:webHidden/>
          </w:rPr>
          <w:fldChar w:fldCharType="end"/>
        </w:r>
      </w:hyperlink>
    </w:p>
    <w:p w14:paraId="1864BAED" w14:textId="1AA6A0BA"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74" w:history="1">
        <w:r w:rsidR="00080724" w:rsidRPr="00785D39">
          <w:rPr>
            <w:rStyle w:val="Lienhypertexte"/>
            <w:rFonts w:asciiTheme="majorBidi" w:hAnsiTheme="majorBidi" w:cstheme="majorBidi"/>
            <w:b/>
            <w:bCs/>
            <w:noProof/>
            <w:lang w:eastAsia="fr-FR"/>
          </w:rPr>
          <w:t>3.</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Recommandations pour améliorer le processus budgétaire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_Toc199314474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87</w:t>
        </w:r>
        <w:r w:rsidR="00080724" w:rsidRPr="00785D39">
          <w:rPr>
            <w:rFonts w:asciiTheme="majorBidi" w:hAnsiTheme="majorBidi" w:cstheme="majorBidi"/>
            <w:b/>
            <w:bCs/>
            <w:noProof/>
            <w:webHidden/>
          </w:rPr>
          <w:fldChar w:fldCharType="end"/>
        </w:r>
      </w:hyperlink>
    </w:p>
    <w:p w14:paraId="6B63CAC5" w14:textId="53B9352E" w:rsidR="00080724" w:rsidRPr="00785D39" w:rsidRDefault="00AB34B8" w:rsidP="00AE3850">
      <w:pPr>
        <w:pStyle w:val="TM3"/>
        <w:tabs>
          <w:tab w:val="left" w:pos="960"/>
          <w:tab w:val="right" w:leader="dot" w:pos="9061"/>
        </w:tabs>
        <w:spacing w:line="360" w:lineRule="auto"/>
        <w:jc w:val="both"/>
        <w:rPr>
          <w:rFonts w:asciiTheme="majorBidi" w:hAnsiTheme="majorBidi" w:cstheme="majorBidi"/>
          <w:b/>
          <w:bCs/>
          <w:noProof/>
        </w:rPr>
      </w:pPr>
      <w:hyperlink w:anchor="_Toc199314475" w:history="1">
        <w:r w:rsidR="00080724" w:rsidRPr="00785D39">
          <w:rPr>
            <w:rStyle w:val="Lienhypertexte"/>
            <w:rFonts w:asciiTheme="majorBidi" w:hAnsiTheme="majorBidi" w:cstheme="majorBidi"/>
            <w:b/>
            <w:bCs/>
            <w:noProof/>
            <w:lang w:eastAsia="fr-FR"/>
          </w:rPr>
          <w:t>4.</w:t>
        </w:r>
        <w:r w:rsidR="00080724" w:rsidRPr="00785D39">
          <w:rPr>
            <w:rFonts w:asciiTheme="majorBidi" w:hAnsiTheme="majorBidi" w:cstheme="majorBidi"/>
            <w:b/>
            <w:bCs/>
            <w:noProof/>
          </w:rPr>
          <w:tab/>
        </w:r>
        <w:r w:rsidR="00080724" w:rsidRPr="00785D39">
          <w:rPr>
            <w:rStyle w:val="Lienhypertexte"/>
            <w:rFonts w:asciiTheme="majorBidi" w:hAnsiTheme="majorBidi" w:cstheme="majorBidi"/>
            <w:b/>
            <w:bCs/>
            <w:noProof/>
            <w:lang w:eastAsia="fr-FR"/>
          </w:rPr>
          <w:t>Propositions innovantes pour pallier les limites du système Oracle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_Toc199314475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89</w:t>
        </w:r>
        <w:r w:rsidR="00080724" w:rsidRPr="00785D39">
          <w:rPr>
            <w:rFonts w:asciiTheme="majorBidi" w:hAnsiTheme="majorBidi" w:cstheme="majorBidi"/>
            <w:b/>
            <w:bCs/>
            <w:noProof/>
            <w:webHidden/>
          </w:rPr>
          <w:fldChar w:fldCharType="end"/>
        </w:r>
      </w:hyperlink>
    </w:p>
    <w:p w14:paraId="6E66DC01" w14:textId="647205DB" w:rsidR="00080724" w:rsidRPr="00785D39" w:rsidRDefault="00AB34B8" w:rsidP="00AE3850">
      <w:pPr>
        <w:pStyle w:val="TM1"/>
        <w:rPr>
          <w:rFonts w:asciiTheme="majorBidi" w:hAnsiTheme="majorBidi" w:cstheme="majorBidi"/>
          <w:b/>
          <w:bCs/>
          <w:noProof/>
        </w:rPr>
      </w:pPr>
      <w:hyperlink w:anchor="_Toc199314476" w:history="1">
        <w:r w:rsidR="00080724" w:rsidRPr="00785D39">
          <w:rPr>
            <w:rStyle w:val="Lienhypertexte"/>
            <w:rFonts w:asciiTheme="majorBidi" w:hAnsiTheme="majorBidi" w:cstheme="majorBidi"/>
            <w:b/>
            <w:bCs/>
            <w:noProof/>
          </w:rPr>
          <w:t>Conclusion du chapitre 02 :</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_Toc199314476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91</w:t>
        </w:r>
        <w:r w:rsidR="00080724" w:rsidRPr="00785D39">
          <w:rPr>
            <w:rFonts w:asciiTheme="majorBidi" w:hAnsiTheme="majorBidi" w:cstheme="majorBidi"/>
            <w:b/>
            <w:bCs/>
            <w:noProof/>
            <w:webHidden/>
          </w:rPr>
          <w:fldChar w:fldCharType="end"/>
        </w:r>
      </w:hyperlink>
    </w:p>
    <w:p w14:paraId="7B12F6B0" w14:textId="0C235181" w:rsidR="00080724" w:rsidRPr="00785D39" w:rsidRDefault="00AB34B8" w:rsidP="00AE3850">
      <w:pPr>
        <w:pStyle w:val="TM1"/>
        <w:rPr>
          <w:rFonts w:asciiTheme="majorBidi" w:hAnsiTheme="majorBidi" w:cstheme="majorBidi"/>
          <w:b/>
          <w:bCs/>
          <w:noProof/>
        </w:rPr>
      </w:pPr>
      <w:hyperlink w:anchor="_Toc199314477" w:history="1">
        <w:r w:rsidR="00080724" w:rsidRPr="00785D39">
          <w:rPr>
            <w:rStyle w:val="Lienhypertexte"/>
            <w:rFonts w:asciiTheme="majorBidi" w:hAnsiTheme="majorBidi" w:cstheme="majorBidi"/>
            <w:b/>
            <w:bCs/>
            <w:noProof/>
          </w:rPr>
          <w:t>CONCLUSION GENERALE</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_Toc199314477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92</w:t>
        </w:r>
        <w:r w:rsidR="00080724" w:rsidRPr="00785D39">
          <w:rPr>
            <w:rFonts w:asciiTheme="majorBidi" w:hAnsiTheme="majorBidi" w:cstheme="majorBidi"/>
            <w:b/>
            <w:bCs/>
            <w:noProof/>
            <w:webHidden/>
          </w:rPr>
          <w:fldChar w:fldCharType="end"/>
        </w:r>
      </w:hyperlink>
    </w:p>
    <w:p w14:paraId="218EC689" w14:textId="40887B5F" w:rsidR="00080724" w:rsidRPr="00785D39" w:rsidRDefault="00AB34B8" w:rsidP="00AE3850">
      <w:pPr>
        <w:pStyle w:val="TM1"/>
        <w:rPr>
          <w:rFonts w:asciiTheme="majorBidi" w:hAnsiTheme="majorBidi" w:cstheme="majorBidi"/>
          <w:b/>
          <w:bCs/>
          <w:noProof/>
        </w:rPr>
      </w:pPr>
      <w:hyperlink w:anchor="_Toc199314478" w:history="1">
        <w:r w:rsidR="00080724" w:rsidRPr="00785D39">
          <w:rPr>
            <w:rStyle w:val="Lienhypertexte"/>
            <w:rFonts w:asciiTheme="majorBidi" w:hAnsiTheme="majorBidi" w:cstheme="majorBidi"/>
            <w:b/>
            <w:bCs/>
            <w:noProof/>
          </w:rPr>
          <w:t>BIBLIOGRAPHIE</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_Toc199314478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96</w:t>
        </w:r>
        <w:r w:rsidR="00080724" w:rsidRPr="00785D39">
          <w:rPr>
            <w:rFonts w:asciiTheme="majorBidi" w:hAnsiTheme="majorBidi" w:cstheme="majorBidi"/>
            <w:b/>
            <w:bCs/>
            <w:noProof/>
            <w:webHidden/>
          </w:rPr>
          <w:fldChar w:fldCharType="end"/>
        </w:r>
      </w:hyperlink>
    </w:p>
    <w:p w14:paraId="7D632E56" w14:textId="2D88AFB8" w:rsidR="00080724" w:rsidRPr="00785D39" w:rsidRDefault="00AB34B8" w:rsidP="00AE3850">
      <w:pPr>
        <w:pStyle w:val="TM1"/>
        <w:rPr>
          <w:rFonts w:asciiTheme="majorBidi" w:hAnsiTheme="majorBidi" w:cstheme="majorBidi"/>
          <w:b/>
          <w:bCs/>
          <w:noProof/>
        </w:rPr>
      </w:pPr>
      <w:hyperlink w:anchor="_Toc199314479" w:history="1">
        <w:r w:rsidR="00080724" w:rsidRPr="00785D39">
          <w:rPr>
            <w:rStyle w:val="Lienhypertexte"/>
            <w:rFonts w:asciiTheme="majorBidi" w:hAnsiTheme="majorBidi" w:cstheme="majorBidi"/>
            <w:b/>
            <w:bCs/>
            <w:noProof/>
          </w:rPr>
          <w:t>ANNEXES</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_Toc199314479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99</w:t>
        </w:r>
        <w:r w:rsidR="00080724" w:rsidRPr="00785D39">
          <w:rPr>
            <w:rFonts w:asciiTheme="majorBidi" w:hAnsiTheme="majorBidi" w:cstheme="majorBidi"/>
            <w:b/>
            <w:bCs/>
            <w:noProof/>
            <w:webHidden/>
          </w:rPr>
          <w:fldChar w:fldCharType="end"/>
        </w:r>
      </w:hyperlink>
    </w:p>
    <w:p w14:paraId="60F59EC3" w14:textId="33544EE5" w:rsidR="00080724" w:rsidRPr="00785D39" w:rsidRDefault="00AB34B8" w:rsidP="00AE3850">
      <w:pPr>
        <w:pStyle w:val="TM1"/>
        <w:rPr>
          <w:rFonts w:asciiTheme="majorBidi" w:hAnsiTheme="majorBidi" w:cstheme="majorBidi"/>
          <w:b/>
          <w:bCs/>
          <w:noProof/>
        </w:rPr>
      </w:pPr>
      <w:hyperlink w:anchor="_Toc199314480" w:history="1">
        <w:r w:rsidR="00080724" w:rsidRPr="00785D39">
          <w:rPr>
            <w:rStyle w:val="Lienhypertexte"/>
            <w:rFonts w:asciiTheme="majorBidi" w:hAnsiTheme="majorBidi" w:cstheme="majorBidi"/>
            <w:b/>
            <w:bCs/>
            <w:noProof/>
          </w:rPr>
          <w:t>TABLE DE MATIERE</w:t>
        </w:r>
        <w:r w:rsidR="00080724" w:rsidRPr="00785D39">
          <w:rPr>
            <w:rFonts w:asciiTheme="majorBidi" w:hAnsiTheme="majorBidi" w:cstheme="majorBidi"/>
            <w:b/>
            <w:bCs/>
            <w:noProof/>
            <w:webHidden/>
          </w:rPr>
          <w:tab/>
        </w:r>
        <w:r w:rsidR="00080724" w:rsidRPr="00785D39">
          <w:rPr>
            <w:rFonts w:asciiTheme="majorBidi" w:hAnsiTheme="majorBidi" w:cstheme="majorBidi"/>
            <w:b/>
            <w:bCs/>
            <w:noProof/>
            <w:webHidden/>
          </w:rPr>
          <w:fldChar w:fldCharType="begin"/>
        </w:r>
        <w:r w:rsidR="00080724" w:rsidRPr="00785D39">
          <w:rPr>
            <w:rFonts w:asciiTheme="majorBidi" w:hAnsiTheme="majorBidi" w:cstheme="majorBidi"/>
            <w:b/>
            <w:bCs/>
            <w:noProof/>
            <w:webHidden/>
          </w:rPr>
          <w:instrText xml:space="preserve"> PAGEREF _Toc199314480 \h </w:instrText>
        </w:r>
        <w:r w:rsidR="00080724" w:rsidRPr="00785D39">
          <w:rPr>
            <w:rFonts w:asciiTheme="majorBidi" w:hAnsiTheme="majorBidi" w:cstheme="majorBidi"/>
            <w:b/>
            <w:bCs/>
            <w:noProof/>
            <w:webHidden/>
          </w:rPr>
        </w:r>
        <w:r w:rsidR="00080724" w:rsidRPr="00785D39">
          <w:rPr>
            <w:rFonts w:asciiTheme="majorBidi" w:hAnsiTheme="majorBidi" w:cstheme="majorBidi"/>
            <w:b/>
            <w:bCs/>
            <w:noProof/>
            <w:webHidden/>
          </w:rPr>
          <w:fldChar w:fldCharType="separate"/>
        </w:r>
        <w:r w:rsidR="00F45A16">
          <w:rPr>
            <w:rFonts w:asciiTheme="majorBidi" w:hAnsiTheme="majorBidi" w:cstheme="majorBidi"/>
            <w:b/>
            <w:bCs/>
            <w:noProof/>
            <w:webHidden/>
          </w:rPr>
          <w:t>103</w:t>
        </w:r>
        <w:r w:rsidR="00080724" w:rsidRPr="00785D39">
          <w:rPr>
            <w:rFonts w:asciiTheme="majorBidi" w:hAnsiTheme="majorBidi" w:cstheme="majorBidi"/>
            <w:b/>
            <w:bCs/>
            <w:noProof/>
            <w:webHidden/>
          </w:rPr>
          <w:fldChar w:fldCharType="end"/>
        </w:r>
      </w:hyperlink>
    </w:p>
    <w:p w14:paraId="0DB1F8BB" w14:textId="49D8930E" w:rsidR="00553E02" w:rsidRPr="009132A6" w:rsidRDefault="00DC0FBC" w:rsidP="00AE3850">
      <w:pPr>
        <w:tabs>
          <w:tab w:val="left" w:pos="1749"/>
        </w:tabs>
        <w:spacing w:line="360" w:lineRule="auto"/>
        <w:jc w:val="both"/>
        <w:rPr>
          <w:rFonts w:asciiTheme="majorBidi" w:hAnsiTheme="majorBidi" w:cstheme="majorBidi"/>
        </w:rPr>
      </w:pPr>
      <w:r w:rsidRPr="009132A6">
        <w:rPr>
          <w:rFonts w:asciiTheme="majorBidi" w:hAnsiTheme="majorBidi" w:cstheme="majorBidi"/>
        </w:rPr>
        <w:fldChar w:fldCharType="end"/>
      </w:r>
    </w:p>
    <w:sectPr w:rsidR="00553E02" w:rsidRPr="009132A6" w:rsidSect="001A4DD5">
      <w:headerReference w:type="default" r:id="rId50"/>
      <w:pgSz w:w="11906" w:h="16838"/>
      <w:pgMar w:top="1418" w:right="1134"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175DCD" w14:textId="77777777" w:rsidR="006852FB" w:rsidRDefault="006852FB" w:rsidP="00CD54D1">
      <w:pPr>
        <w:spacing w:after="0" w:line="240" w:lineRule="auto"/>
      </w:pPr>
      <w:r>
        <w:separator/>
      </w:r>
    </w:p>
  </w:endnote>
  <w:endnote w:type="continuationSeparator" w:id="0">
    <w:p w14:paraId="7B722212" w14:textId="77777777" w:rsidR="006852FB" w:rsidRDefault="006852FB" w:rsidP="00CD54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等线">
    <w:altName w:val="MS PMincho"/>
    <w:panose1 w:val="00000000000000000000"/>
    <w:charset w:val="80"/>
    <w:family w:val="roman"/>
    <w:notTrueType/>
    <w:pitch w:val="default"/>
  </w:font>
  <w:font w:name="Aptos Display">
    <w:altName w:val="Arial"/>
    <w:charset w:val="00"/>
    <w:family w:val="swiss"/>
    <w:pitch w:val="variable"/>
    <w:sig w:usb0="00000001" w:usb1="00000003" w:usb2="00000000" w:usb3="00000000" w:csb0="0000019F" w:csb1="00000000"/>
  </w:font>
  <w:font w:name="等线 Light">
    <w:panose1 w:val="00000000000000000000"/>
    <w:charset w:val="8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5D4EA8" w14:textId="743E89A9" w:rsidR="00AB34B8" w:rsidRDefault="00AB34B8" w:rsidP="001909F7">
    <w:pPr>
      <w:pStyle w:val="Pieddepage"/>
      <w:tabs>
        <w:tab w:val="clear" w:pos="4536"/>
        <w:tab w:val="clear" w:pos="9072"/>
        <w:tab w:val="left" w:pos="3480"/>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617133827"/>
      <w:docPartObj>
        <w:docPartGallery w:val="Page Numbers (Bottom of Page)"/>
        <w:docPartUnique/>
      </w:docPartObj>
    </w:sdtPr>
    <w:sdtContent>
      <w:p w14:paraId="564AF6EB" w14:textId="40887515" w:rsidR="00AB34B8" w:rsidRPr="00881CB5" w:rsidRDefault="00AB34B8">
        <w:pPr>
          <w:pStyle w:val="Pieddepage"/>
          <w:jc w:val="right"/>
          <w:rPr>
            <w:rFonts w:asciiTheme="majorBidi" w:hAnsiTheme="majorBidi" w:cstheme="majorBidi"/>
            <w:b/>
            <w:bCs/>
            <w:sz w:val="24"/>
            <w:szCs w:val="24"/>
          </w:rPr>
        </w:pPr>
        <w:r w:rsidRPr="00881CB5">
          <w:rPr>
            <w:rFonts w:asciiTheme="majorBidi" w:hAnsiTheme="majorBidi" w:cstheme="majorBidi"/>
            <w:b/>
            <w:bCs/>
            <w:sz w:val="24"/>
            <w:szCs w:val="24"/>
          </w:rPr>
          <w:fldChar w:fldCharType="begin"/>
        </w:r>
        <w:r w:rsidRPr="00881CB5">
          <w:rPr>
            <w:rFonts w:asciiTheme="majorBidi" w:hAnsiTheme="majorBidi" w:cstheme="majorBidi"/>
            <w:b/>
            <w:bCs/>
            <w:sz w:val="24"/>
            <w:szCs w:val="24"/>
          </w:rPr>
          <w:instrText>PAGE   \* MERGEFORMAT</w:instrText>
        </w:r>
        <w:r w:rsidRPr="00881CB5">
          <w:rPr>
            <w:rFonts w:asciiTheme="majorBidi" w:hAnsiTheme="majorBidi" w:cstheme="majorBidi"/>
            <w:b/>
            <w:bCs/>
            <w:sz w:val="24"/>
            <w:szCs w:val="24"/>
          </w:rPr>
          <w:fldChar w:fldCharType="separate"/>
        </w:r>
        <w:r w:rsidR="00F45A16">
          <w:rPr>
            <w:rFonts w:asciiTheme="majorBidi" w:hAnsiTheme="majorBidi" w:cstheme="majorBidi"/>
            <w:b/>
            <w:bCs/>
            <w:noProof/>
            <w:sz w:val="24"/>
            <w:szCs w:val="24"/>
          </w:rPr>
          <w:t>X</w:t>
        </w:r>
        <w:r w:rsidRPr="00881CB5">
          <w:rPr>
            <w:rFonts w:asciiTheme="majorBidi" w:hAnsiTheme="majorBidi" w:cstheme="majorBidi"/>
            <w:b/>
            <w:bCs/>
            <w:sz w:val="24"/>
            <w:szCs w:val="24"/>
          </w:rPr>
          <w:fldChar w:fldCharType="end"/>
        </w:r>
      </w:p>
    </w:sdtContent>
  </w:sdt>
  <w:p w14:paraId="01D15232" w14:textId="77777777" w:rsidR="00AB34B8" w:rsidRPr="00881CB5" w:rsidRDefault="00AB34B8">
    <w:pPr>
      <w:pStyle w:val="Pieddepage"/>
      <w:rPr>
        <w:rFonts w:asciiTheme="majorBidi" w:hAnsiTheme="majorBidi" w:cstheme="majorBidi"/>
        <w:b/>
        <w:bCs/>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1415126466"/>
      <w:docPartObj>
        <w:docPartGallery w:val="Page Numbers (Bottom of Page)"/>
        <w:docPartUnique/>
      </w:docPartObj>
    </w:sdtPr>
    <w:sdtContent>
      <w:p w14:paraId="5DDEF695" w14:textId="19B1186F" w:rsidR="00AB34B8" w:rsidRPr="000E3AE1" w:rsidRDefault="00AB34B8">
        <w:pPr>
          <w:pStyle w:val="Pieddepage"/>
          <w:jc w:val="right"/>
          <w:rPr>
            <w:rFonts w:asciiTheme="majorBidi" w:hAnsiTheme="majorBidi" w:cstheme="majorBidi"/>
            <w:b/>
            <w:bCs/>
            <w:sz w:val="24"/>
            <w:szCs w:val="24"/>
          </w:rPr>
        </w:pPr>
        <w:r w:rsidRPr="000E3AE1">
          <w:rPr>
            <w:rFonts w:asciiTheme="majorBidi" w:hAnsiTheme="majorBidi" w:cstheme="majorBidi"/>
            <w:b/>
            <w:bCs/>
            <w:sz w:val="24"/>
            <w:szCs w:val="24"/>
          </w:rPr>
          <w:fldChar w:fldCharType="begin"/>
        </w:r>
        <w:r w:rsidRPr="000E3AE1">
          <w:rPr>
            <w:rFonts w:asciiTheme="majorBidi" w:hAnsiTheme="majorBidi" w:cstheme="majorBidi"/>
            <w:b/>
            <w:bCs/>
            <w:sz w:val="24"/>
            <w:szCs w:val="24"/>
          </w:rPr>
          <w:instrText>PAGE   \* MERGEFORMAT</w:instrText>
        </w:r>
        <w:r w:rsidRPr="000E3AE1">
          <w:rPr>
            <w:rFonts w:asciiTheme="majorBidi" w:hAnsiTheme="majorBidi" w:cstheme="majorBidi"/>
            <w:b/>
            <w:bCs/>
            <w:sz w:val="24"/>
            <w:szCs w:val="24"/>
          </w:rPr>
          <w:fldChar w:fldCharType="separate"/>
        </w:r>
        <w:r w:rsidR="00F45A16">
          <w:rPr>
            <w:rFonts w:asciiTheme="majorBidi" w:hAnsiTheme="majorBidi" w:cstheme="majorBidi"/>
            <w:b/>
            <w:bCs/>
            <w:noProof/>
            <w:sz w:val="24"/>
            <w:szCs w:val="24"/>
          </w:rPr>
          <w:t>7</w:t>
        </w:r>
        <w:r w:rsidRPr="000E3AE1">
          <w:rPr>
            <w:rFonts w:asciiTheme="majorBidi" w:hAnsiTheme="majorBidi" w:cstheme="majorBidi"/>
            <w:b/>
            <w:bCs/>
            <w:sz w:val="24"/>
            <w:szCs w:val="24"/>
          </w:rPr>
          <w:fldChar w:fldCharType="end"/>
        </w:r>
      </w:p>
    </w:sdtContent>
  </w:sdt>
  <w:p w14:paraId="02C03BE8" w14:textId="77777777" w:rsidR="00AB34B8" w:rsidRPr="000E3AE1" w:rsidRDefault="00AB34B8">
    <w:pPr>
      <w:pStyle w:val="Pieddepage"/>
      <w:rPr>
        <w:rFonts w:asciiTheme="majorBidi" w:hAnsiTheme="majorBidi" w:cstheme="majorBidi"/>
        <w:b/>
        <w:bCs/>
        <w:sz w:val="24"/>
        <w:szCs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A8486B" w14:textId="475AB0E4" w:rsidR="00AB34B8" w:rsidRPr="000E3AE1" w:rsidRDefault="00AB34B8" w:rsidP="007873AC">
    <w:pPr>
      <w:pStyle w:val="Pieddepage"/>
      <w:jc w:val="right"/>
      <w:rPr>
        <w:rFonts w:asciiTheme="majorBidi" w:hAnsiTheme="majorBidi" w:cstheme="majorBidi"/>
        <w:b/>
        <w:bCs/>
        <w:sz w:val="24"/>
        <w:szCs w:val="24"/>
      </w:rPr>
    </w:pPr>
  </w:p>
  <w:p w14:paraId="3C0BE0B7" w14:textId="1B9E22C3" w:rsidR="00AB34B8" w:rsidRPr="000E3AE1" w:rsidRDefault="00AB34B8" w:rsidP="001909F7">
    <w:pPr>
      <w:pStyle w:val="Pieddepage"/>
      <w:tabs>
        <w:tab w:val="clear" w:pos="4536"/>
        <w:tab w:val="clear" w:pos="9072"/>
        <w:tab w:val="left" w:pos="3480"/>
      </w:tabs>
      <w:rPr>
        <w:rFonts w:asciiTheme="majorBidi" w:hAnsiTheme="majorBidi" w:cstheme="majorBidi"/>
        <w:b/>
        <w:bCs/>
        <w:sz w:val="24"/>
        <w:szCs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524983888"/>
      <w:docPartObj>
        <w:docPartGallery w:val="Page Numbers (Bottom of Page)"/>
        <w:docPartUnique/>
      </w:docPartObj>
    </w:sdtPr>
    <w:sdtContent>
      <w:p w14:paraId="6B4FE60D" w14:textId="2BEEB3D1" w:rsidR="00AB34B8" w:rsidRPr="00C27A46" w:rsidRDefault="00AB34B8" w:rsidP="00953D76">
        <w:pPr>
          <w:pStyle w:val="Pieddepage"/>
          <w:jc w:val="right"/>
          <w:rPr>
            <w:rFonts w:asciiTheme="majorBidi" w:hAnsiTheme="majorBidi" w:cstheme="majorBidi"/>
            <w:b/>
            <w:bCs/>
            <w:sz w:val="24"/>
            <w:szCs w:val="24"/>
          </w:rPr>
        </w:pPr>
        <w:r w:rsidRPr="00C27A46">
          <w:rPr>
            <w:rFonts w:asciiTheme="majorBidi" w:hAnsiTheme="majorBidi" w:cstheme="majorBidi"/>
            <w:b/>
            <w:bCs/>
            <w:sz w:val="24"/>
            <w:szCs w:val="24"/>
          </w:rPr>
          <w:fldChar w:fldCharType="begin"/>
        </w:r>
        <w:r w:rsidRPr="00C27A46">
          <w:rPr>
            <w:rFonts w:asciiTheme="majorBidi" w:hAnsiTheme="majorBidi" w:cstheme="majorBidi"/>
            <w:b/>
            <w:bCs/>
            <w:sz w:val="24"/>
            <w:szCs w:val="24"/>
          </w:rPr>
          <w:instrText>PAGE   \* MERGEFORMAT</w:instrText>
        </w:r>
        <w:r w:rsidRPr="00C27A46">
          <w:rPr>
            <w:rFonts w:asciiTheme="majorBidi" w:hAnsiTheme="majorBidi" w:cstheme="majorBidi"/>
            <w:b/>
            <w:bCs/>
            <w:sz w:val="24"/>
            <w:szCs w:val="24"/>
          </w:rPr>
          <w:fldChar w:fldCharType="separate"/>
        </w:r>
        <w:r w:rsidR="00F45A16">
          <w:rPr>
            <w:rFonts w:asciiTheme="majorBidi" w:hAnsiTheme="majorBidi" w:cstheme="majorBidi"/>
            <w:b/>
            <w:bCs/>
            <w:noProof/>
            <w:sz w:val="24"/>
            <w:szCs w:val="24"/>
          </w:rPr>
          <w:t>108</w:t>
        </w:r>
        <w:r w:rsidRPr="00C27A46">
          <w:rPr>
            <w:rFonts w:asciiTheme="majorBidi" w:hAnsiTheme="majorBidi" w:cstheme="majorBidi"/>
            <w:b/>
            <w:bCs/>
            <w:sz w:val="24"/>
            <w:szCs w:val="24"/>
          </w:rPr>
          <w:fldChar w:fldCharType="end"/>
        </w:r>
      </w:p>
    </w:sdtContent>
  </w:sdt>
  <w:p w14:paraId="53E5B8F2" w14:textId="77777777" w:rsidR="00AB34B8" w:rsidRPr="00C27A46" w:rsidRDefault="00AB34B8" w:rsidP="001909F7">
    <w:pPr>
      <w:pStyle w:val="Pieddepage"/>
      <w:rPr>
        <w:rFonts w:asciiTheme="majorBidi" w:hAnsiTheme="majorBidi" w:cstheme="majorBidi"/>
        <w:b/>
        <w:bCs/>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3A7EC1" w14:textId="77777777" w:rsidR="006852FB" w:rsidRDefault="006852FB" w:rsidP="00CD54D1">
      <w:pPr>
        <w:spacing w:after="0" w:line="240" w:lineRule="auto"/>
      </w:pPr>
      <w:r>
        <w:separator/>
      </w:r>
    </w:p>
  </w:footnote>
  <w:footnote w:type="continuationSeparator" w:id="0">
    <w:p w14:paraId="5C419BD3" w14:textId="77777777" w:rsidR="006852FB" w:rsidRDefault="006852FB" w:rsidP="00CD54D1">
      <w:pPr>
        <w:spacing w:after="0" w:line="240" w:lineRule="auto"/>
      </w:pPr>
      <w:r>
        <w:continuationSeparator/>
      </w:r>
    </w:p>
  </w:footnote>
  <w:footnote w:id="1">
    <w:p w14:paraId="1AF6C97A" w14:textId="77777777" w:rsidR="00AB34B8" w:rsidRPr="000B1834" w:rsidRDefault="00AB34B8" w:rsidP="00E038EA">
      <w:pPr>
        <w:jc w:val="both"/>
        <w:rPr>
          <w:rFonts w:asciiTheme="majorBidi" w:eastAsia="Times New Roman" w:hAnsiTheme="majorBidi" w:cstheme="majorBidi"/>
          <w:sz w:val="20"/>
          <w:szCs w:val="20"/>
          <w:lang w:eastAsia="fr-FR"/>
        </w:rPr>
      </w:pPr>
      <w:r w:rsidRPr="000B1834">
        <w:rPr>
          <w:rStyle w:val="Appelnotedebasdep"/>
          <w:rFonts w:asciiTheme="majorBidi" w:hAnsiTheme="majorBidi" w:cstheme="majorBidi"/>
          <w:sz w:val="20"/>
          <w:szCs w:val="20"/>
        </w:rPr>
        <w:footnoteRef/>
      </w:r>
      <w:r w:rsidRPr="000B1834">
        <w:rPr>
          <w:rFonts w:asciiTheme="majorBidi" w:hAnsiTheme="majorBidi" w:cstheme="majorBidi"/>
          <w:sz w:val="20"/>
          <w:szCs w:val="20"/>
        </w:rPr>
        <w:t xml:space="preserve"> </w:t>
      </w:r>
      <w:r w:rsidRPr="000B1834">
        <w:rPr>
          <w:rFonts w:asciiTheme="majorBidi" w:eastAsia="Times New Roman" w:hAnsiTheme="majorBidi" w:cstheme="majorBidi"/>
          <w:color w:val="000000"/>
          <w:sz w:val="20"/>
          <w:szCs w:val="20"/>
          <w:lang w:eastAsia="fr-FR"/>
        </w:rPr>
        <w:t xml:space="preserve">ALAZARD (C) et SEPARI (S) : </w:t>
      </w:r>
      <w:r w:rsidRPr="000B1834">
        <w:rPr>
          <w:rFonts w:asciiTheme="majorBidi" w:eastAsia="Times New Roman" w:hAnsiTheme="majorBidi" w:cstheme="majorBidi"/>
          <w:i/>
          <w:iCs/>
          <w:color w:val="000000"/>
          <w:sz w:val="20"/>
          <w:szCs w:val="20"/>
          <w:lang w:eastAsia="fr-FR"/>
        </w:rPr>
        <w:t>contrôle de gestion, manuel et application</w:t>
      </w:r>
      <w:r w:rsidRPr="000B1834">
        <w:rPr>
          <w:rFonts w:asciiTheme="majorBidi" w:eastAsia="Times New Roman" w:hAnsiTheme="majorBidi" w:cstheme="majorBidi"/>
          <w:color w:val="000000"/>
          <w:sz w:val="20"/>
          <w:szCs w:val="20"/>
          <w:lang w:eastAsia="fr-FR"/>
        </w:rPr>
        <w:t>, DUNOD, 5 ème édition, Paris, 2018, p.03-04.</w:t>
      </w:r>
    </w:p>
    <w:p w14:paraId="089C1B2D" w14:textId="77777777" w:rsidR="00AB34B8" w:rsidRDefault="00AB34B8" w:rsidP="00E038EA">
      <w:pPr>
        <w:pStyle w:val="Notedebasdepage"/>
        <w:spacing w:line="276" w:lineRule="auto"/>
        <w:jc w:val="both"/>
      </w:pPr>
    </w:p>
  </w:footnote>
  <w:footnote w:id="2">
    <w:p w14:paraId="378CB138" w14:textId="77777777" w:rsidR="00AB34B8" w:rsidRPr="000B1834" w:rsidRDefault="00AB34B8" w:rsidP="003528F9">
      <w:pPr>
        <w:jc w:val="both"/>
        <w:rPr>
          <w:rFonts w:asciiTheme="majorBidi" w:eastAsia="Times New Roman" w:hAnsiTheme="majorBidi" w:cstheme="majorBidi"/>
          <w:sz w:val="20"/>
          <w:szCs w:val="20"/>
          <w:lang w:eastAsia="fr-FR"/>
        </w:rPr>
      </w:pPr>
      <w:r w:rsidRPr="000B1834">
        <w:rPr>
          <w:rStyle w:val="Appelnotedebasdep"/>
          <w:rFonts w:asciiTheme="majorBidi" w:hAnsiTheme="majorBidi" w:cstheme="majorBidi"/>
          <w:sz w:val="20"/>
          <w:szCs w:val="20"/>
        </w:rPr>
        <w:footnoteRef/>
      </w:r>
      <w:r w:rsidRPr="000B1834">
        <w:rPr>
          <w:rFonts w:asciiTheme="majorBidi" w:hAnsiTheme="majorBidi" w:cstheme="majorBidi"/>
          <w:sz w:val="20"/>
          <w:szCs w:val="20"/>
        </w:rPr>
        <w:t xml:space="preserve"> </w:t>
      </w:r>
      <w:r w:rsidRPr="000B1834">
        <w:rPr>
          <w:rFonts w:asciiTheme="majorBidi" w:eastAsia="Times New Roman" w:hAnsiTheme="majorBidi" w:cstheme="majorBidi"/>
          <w:color w:val="000000"/>
          <w:sz w:val="20"/>
          <w:szCs w:val="20"/>
          <w:lang w:eastAsia="fr-FR"/>
        </w:rPr>
        <w:t xml:space="preserve">Bernard Augé, Gérald Naro. </w:t>
      </w:r>
      <w:r w:rsidRPr="000B1834">
        <w:rPr>
          <w:rFonts w:asciiTheme="majorBidi" w:eastAsia="Times New Roman" w:hAnsiTheme="majorBidi" w:cstheme="majorBidi"/>
          <w:i/>
          <w:iCs/>
          <w:color w:val="000000"/>
          <w:sz w:val="20"/>
          <w:szCs w:val="20"/>
          <w:lang w:eastAsia="fr-FR"/>
        </w:rPr>
        <w:t>Mini manuel de contrôle de gestion : Cours et QCM/QROC</w:t>
      </w:r>
      <w:r w:rsidRPr="000B1834">
        <w:rPr>
          <w:rFonts w:asciiTheme="majorBidi" w:eastAsia="Times New Roman" w:hAnsiTheme="majorBidi" w:cstheme="majorBidi"/>
          <w:color w:val="000000"/>
          <w:sz w:val="20"/>
          <w:szCs w:val="20"/>
          <w:lang w:eastAsia="fr-FR"/>
        </w:rPr>
        <w:t xml:space="preserve">. </w:t>
      </w:r>
      <w:r w:rsidRPr="000B1834">
        <w:rPr>
          <w:rFonts w:asciiTheme="majorBidi" w:eastAsia="Times New Roman" w:hAnsiTheme="majorBidi" w:cstheme="majorBidi"/>
          <w:color w:val="242021"/>
          <w:sz w:val="20"/>
          <w:szCs w:val="20"/>
          <w:lang w:eastAsia="fr-FR"/>
        </w:rPr>
        <w:t xml:space="preserve">Paris : </w:t>
      </w:r>
      <w:r w:rsidRPr="000B1834">
        <w:rPr>
          <w:rFonts w:asciiTheme="majorBidi" w:eastAsia="Times New Roman" w:hAnsiTheme="majorBidi" w:cstheme="majorBidi"/>
          <w:color w:val="000000"/>
          <w:sz w:val="20"/>
          <w:szCs w:val="20"/>
          <w:lang w:eastAsia="fr-FR"/>
        </w:rPr>
        <w:t xml:space="preserve">Edition </w:t>
      </w:r>
      <w:r w:rsidRPr="000B1834">
        <w:rPr>
          <w:rFonts w:asciiTheme="majorBidi" w:eastAsia="Times New Roman" w:hAnsiTheme="majorBidi" w:cstheme="majorBidi"/>
          <w:color w:val="242021"/>
          <w:sz w:val="20"/>
          <w:szCs w:val="20"/>
          <w:lang w:eastAsia="fr-FR"/>
        </w:rPr>
        <w:t>Dunod, 2011, P04.</w:t>
      </w:r>
    </w:p>
  </w:footnote>
  <w:footnote w:id="3">
    <w:p w14:paraId="79ED628E" w14:textId="77777777" w:rsidR="00AB34B8" w:rsidRPr="000B1834" w:rsidRDefault="00AB34B8" w:rsidP="00E038EA">
      <w:pPr>
        <w:jc w:val="both"/>
        <w:rPr>
          <w:rFonts w:asciiTheme="majorBidi" w:hAnsiTheme="majorBidi" w:cstheme="majorBidi"/>
          <w:sz w:val="20"/>
          <w:szCs w:val="20"/>
          <w:lang w:eastAsia="fr-FR"/>
        </w:rPr>
      </w:pPr>
      <w:r w:rsidRPr="000B1834">
        <w:rPr>
          <w:rStyle w:val="Appelnotedebasdep"/>
          <w:rFonts w:asciiTheme="majorBidi" w:hAnsiTheme="majorBidi" w:cstheme="majorBidi"/>
          <w:sz w:val="20"/>
          <w:szCs w:val="20"/>
        </w:rPr>
        <w:footnoteRef/>
      </w:r>
      <w:r w:rsidRPr="000B1834">
        <w:rPr>
          <w:rFonts w:asciiTheme="majorBidi" w:hAnsiTheme="majorBidi" w:cstheme="majorBidi"/>
          <w:sz w:val="20"/>
          <w:szCs w:val="20"/>
        </w:rPr>
        <w:t xml:space="preserve"> </w:t>
      </w:r>
      <w:r w:rsidRPr="000B1834">
        <w:rPr>
          <w:rFonts w:asciiTheme="majorBidi" w:hAnsiTheme="majorBidi" w:cstheme="majorBidi"/>
          <w:sz w:val="20"/>
          <w:szCs w:val="20"/>
          <w:lang w:eastAsia="fr-FR"/>
        </w:rPr>
        <w:t xml:space="preserve">LEROY (Michel) : </w:t>
      </w:r>
      <w:r w:rsidRPr="000B1834">
        <w:rPr>
          <w:rFonts w:asciiTheme="majorBidi" w:hAnsiTheme="majorBidi" w:cstheme="majorBidi"/>
          <w:i/>
          <w:iCs/>
          <w:sz w:val="20"/>
          <w:szCs w:val="20"/>
          <w:lang w:eastAsia="fr-FR"/>
        </w:rPr>
        <w:t>contrôle de gestion</w:t>
      </w:r>
      <w:r w:rsidRPr="000B1834">
        <w:rPr>
          <w:rFonts w:asciiTheme="majorBidi" w:hAnsiTheme="majorBidi" w:cstheme="majorBidi"/>
          <w:sz w:val="20"/>
          <w:szCs w:val="20"/>
          <w:lang w:eastAsia="fr-FR"/>
        </w:rPr>
        <w:t>, Edition Francis Lefebvre, DUNOD, Malakoff, 2018, p.1.</w:t>
      </w:r>
    </w:p>
  </w:footnote>
  <w:footnote w:id="4">
    <w:p w14:paraId="22EAE6F6" w14:textId="77777777" w:rsidR="00AB34B8" w:rsidRDefault="00AB34B8" w:rsidP="00E038EA">
      <w:pPr>
        <w:pStyle w:val="Notedebasdepage"/>
        <w:spacing w:line="276" w:lineRule="auto"/>
        <w:jc w:val="both"/>
      </w:pPr>
      <w:r w:rsidRPr="000B1834">
        <w:rPr>
          <w:rStyle w:val="Appelnotedebasdep"/>
          <w:rFonts w:asciiTheme="majorBidi" w:hAnsiTheme="majorBidi" w:cstheme="majorBidi"/>
        </w:rPr>
        <w:footnoteRef/>
      </w:r>
      <w:r w:rsidRPr="000B1834">
        <w:rPr>
          <w:rFonts w:asciiTheme="majorBidi" w:hAnsiTheme="majorBidi" w:cstheme="majorBidi"/>
        </w:rPr>
        <w:t xml:space="preserve"> </w:t>
      </w:r>
      <w:r w:rsidRPr="000B1834">
        <w:rPr>
          <w:rFonts w:asciiTheme="majorBidi" w:eastAsia="Times New Roman" w:hAnsiTheme="majorBidi" w:cstheme="majorBidi"/>
          <w:color w:val="000000"/>
          <w:lang w:eastAsia="fr-FR"/>
        </w:rPr>
        <w:t xml:space="preserve">BOUQUIN (Henri) : </w:t>
      </w:r>
      <w:r w:rsidRPr="000B1834">
        <w:rPr>
          <w:rFonts w:asciiTheme="majorBidi" w:eastAsia="Times New Roman" w:hAnsiTheme="majorBidi" w:cstheme="majorBidi"/>
          <w:i/>
          <w:iCs/>
          <w:color w:val="000000"/>
          <w:lang w:eastAsia="fr-FR"/>
        </w:rPr>
        <w:t>les fondements du contrôle de gestion</w:t>
      </w:r>
      <w:r w:rsidRPr="000B1834">
        <w:rPr>
          <w:rFonts w:asciiTheme="majorBidi" w:eastAsia="Times New Roman" w:hAnsiTheme="majorBidi" w:cstheme="majorBidi"/>
          <w:color w:val="000000"/>
          <w:lang w:eastAsia="fr-FR"/>
        </w:rPr>
        <w:t>, Presse universitaire de France « Que sais-je ? », Paris, 1994.</w:t>
      </w:r>
    </w:p>
  </w:footnote>
  <w:footnote w:id="5">
    <w:p w14:paraId="28AB2B22" w14:textId="77777777" w:rsidR="00AB34B8" w:rsidRPr="000B1834" w:rsidRDefault="00AB34B8" w:rsidP="00E038EA">
      <w:pPr>
        <w:jc w:val="both"/>
        <w:rPr>
          <w:rFonts w:asciiTheme="majorBidi" w:hAnsiTheme="majorBidi" w:cstheme="majorBidi"/>
          <w:sz w:val="20"/>
          <w:szCs w:val="20"/>
        </w:rPr>
      </w:pPr>
      <w:r w:rsidRPr="000B1834">
        <w:rPr>
          <w:rStyle w:val="Appelnotedebasdep"/>
          <w:rFonts w:asciiTheme="majorBidi" w:hAnsiTheme="majorBidi" w:cstheme="majorBidi"/>
          <w:sz w:val="20"/>
          <w:szCs w:val="20"/>
        </w:rPr>
        <w:footnoteRef/>
      </w:r>
      <w:r w:rsidRPr="000B1834">
        <w:rPr>
          <w:rFonts w:asciiTheme="majorBidi" w:hAnsiTheme="majorBidi" w:cstheme="majorBidi"/>
          <w:sz w:val="20"/>
          <w:szCs w:val="20"/>
        </w:rPr>
        <w:t xml:space="preserve"> ALAZARD CLAUDZ et SEPARI SABINE, op.cit., P : 643.</w:t>
      </w:r>
    </w:p>
  </w:footnote>
  <w:footnote w:id="6">
    <w:p w14:paraId="49A280EE" w14:textId="77777777" w:rsidR="00AB34B8" w:rsidRPr="000B1834" w:rsidRDefault="00AB34B8" w:rsidP="00E038EA">
      <w:pPr>
        <w:jc w:val="both"/>
        <w:rPr>
          <w:rFonts w:asciiTheme="majorBidi" w:eastAsia="Times New Roman" w:hAnsiTheme="majorBidi" w:cstheme="majorBidi"/>
          <w:sz w:val="20"/>
          <w:szCs w:val="20"/>
          <w:lang w:eastAsia="fr-FR"/>
        </w:rPr>
      </w:pPr>
      <w:r w:rsidRPr="000B1834">
        <w:rPr>
          <w:rStyle w:val="Appelnotedebasdep"/>
          <w:rFonts w:asciiTheme="majorBidi" w:hAnsiTheme="majorBidi" w:cstheme="majorBidi"/>
          <w:sz w:val="20"/>
          <w:szCs w:val="20"/>
        </w:rPr>
        <w:footnoteRef/>
      </w:r>
      <w:r w:rsidRPr="000B1834">
        <w:rPr>
          <w:rFonts w:asciiTheme="majorBidi" w:hAnsiTheme="majorBidi" w:cstheme="majorBidi"/>
          <w:sz w:val="20"/>
          <w:szCs w:val="20"/>
        </w:rPr>
        <w:t xml:space="preserve"> </w:t>
      </w:r>
      <w:r w:rsidRPr="000B1834">
        <w:rPr>
          <w:rFonts w:asciiTheme="majorBidi" w:eastAsia="Times New Roman" w:hAnsiTheme="majorBidi" w:cstheme="majorBidi"/>
          <w:color w:val="000000"/>
          <w:sz w:val="20"/>
          <w:szCs w:val="20"/>
          <w:lang w:eastAsia="fr-FR"/>
        </w:rPr>
        <w:t xml:space="preserve">DURAND (X), HELLUY (A) : </w:t>
      </w:r>
      <w:r w:rsidRPr="000B1834">
        <w:rPr>
          <w:rFonts w:asciiTheme="majorBidi" w:eastAsia="Times New Roman" w:hAnsiTheme="majorBidi" w:cstheme="majorBidi"/>
          <w:i/>
          <w:iCs/>
          <w:color w:val="000000"/>
          <w:sz w:val="20"/>
          <w:szCs w:val="20"/>
          <w:lang w:eastAsia="fr-FR"/>
        </w:rPr>
        <w:t>Les fondamentaux du contrôle de gestion</w:t>
      </w:r>
      <w:r w:rsidRPr="000B1834">
        <w:rPr>
          <w:rFonts w:asciiTheme="majorBidi" w:eastAsia="Times New Roman" w:hAnsiTheme="majorBidi" w:cstheme="majorBidi"/>
          <w:color w:val="000000"/>
          <w:sz w:val="20"/>
          <w:szCs w:val="20"/>
          <w:lang w:eastAsia="fr-FR"/>
        </w:rPr>
        <w:t>, Edition d’Organisation, Paris, 2009, p.60.</w:t>
      </w:r>
    </w:p>
  </w:footnote>
  <w:footnote w:id="7">
    <w:p w14:paraId="7A391288" w14:textId="5C7E95C1" w:rsidR="00AB34B8" w:rsidRPr="007150F5" w:rsidRDefault="00AB34B8" w:rsidP="00E038EA">
      <w:pPr>
        <w:pStyle w:val="Notedebasdepage"/>
        <w:spacing w:line="276" w:lineRule="auto"/>
        <w:jc w:val="both"/>
        <w:rPr>
          <w:rFonts w:asciiTheme="majorBidi" w:hAnsiTheme="majorBidi" w:cstheme="majorBidi"/>
          <w:lang w:val="en-CA"/>
        </w:rPr>
      </w:pPr>
      <w:r w:rsidRPr="000B1834">
        <w:rPr>
          <w:rStyle w:val="Appelnotedebasdep"/>
          <w:rFonts w:asciiTheme="majorBidi" w:hAnsiTheme="majorBidi" w:cstheme="majorBidi"/>
        </w:rPr>
        <w:footnoteRef/>
      </w:r>
      <w:r w:rsidRPr="007150F5">
        <w:rPr>
          <w:rFonts w:asciiTheme="majorBidi" w:hAnsiTheme="majorBidi" w:cstheme="majorBidi"/>
          <w:lang w:val="en-CA"/>
        </w:rPr>
        <w:t xml:space="preserve"> </w:t>
      </w:r>
      <w:r w:rsidRPr="007150F5">
        <w:rPr>
          <w:rFonts w:asciiTheme="majorBidi" w:hAnsiTheme="majorBidi" w:cstheme="majorBidi"/>
          <w:color w:val="222222"/>
          <w:shd w:val="clear" w:color="auto" w:fill="FFFFFF"/>
          <w:lang w:val="en-CA"/>
        </w:rPr>
        <w:t>DURAND (X), HELLUY (A) , Op Cit , 2009, P60 </w:t>
      </w:r>
    </w:p>
  </w:footnote>
  <w:footnote w:id="8">
    <w:p w14:paraId="7A88F712" w14:textId="77777777" w:rsidR="00AB34B8" w:rsidRPr="000B1834" w:rsidRDefault="00AB34B8" w:rsidP="00E038EA">
      <w:pPr>
        <w:jc w:val="both"/>
        <w:rPr>
          <w:rFonts w:asciiTheme="majorBidi" w:eastAsia="Times New Roman" w:hAnsiTheme="majorBidi" w:cstheme="majorBidi"/>
          <w:color w:val="000000"/>
          <w:sz w:val="20"/>
          <w:szCs w:val="20"/>
          <w:shd w:val="clear" w:color="auto" w:fill="FF0000"/>
          <w:lang w:eastAsia="fr-FR"/>
        </w:rPr>
      </w:pPr>
      <w:r w:rsidRPr="000B1834">
        <w:rPr>
          <w:rStyle w:val="Appelnotedebasdep"/>
          <w:rFonts w:asciiTheme="majorBidi" w:hAnsiTheme="majorBidi" w:cstheme="majorBidi"/>
          <w:sz w:val="20"/>
          <w:szCs w:val="20"/>
        </w:rPr>
        <w:footnoteRef/>
      </w:r>
      <w:r w:rsidRPr="000B1834">
        <w:rPr>
          <w:rFonts w:asciiTheme="majorBidi" w:hAnsiTheme="majorBidi" w:cstheme="majorBidi"/>
          <w:sz w:val="20"/>
          <w:szCs w:val="20"/>
        </w:rPr>
        <w:t xml:space="preserve"> </w:t>
      </w:r>
      <w:r w:rsidRPr="000B1834">
        <w:rPr>
          <w:rFonts w:asciiTheme="majorBidi" w:hAnsiTheme="majorBidi" w:cstheme="majorBidi"/>
          <w:color w:val="222222"/>
          <w:sz w:val="20"/>
          <w:szCs w:val="20"/>
          <w:shd w:val="clear" w:color="auto" w:fill="FFFFFF"/>
        </w:rPr>
        <w:t>BOUQUIN (H): le contrôle de gestion, Presse Universitaire France, Time édition, Paris, 2006, p.34.</w:t>
      </w:r>
    </w:p>
  </w:footnote>
  <w:footnote w:id="9">
    <w:p w14:paraId="737B5D8E" w14:textId="77777777" w:rsidR="00AB34B8" w:rsidRPr="000B1834" w:rsidRDefault="00AB34B8" w:rsidP="00E038EA">
      <w:pPr>
        <w:pStyle w:val="Notedebasdepage"/>
        <w:spacing w:line="276" w:lineRule="auto"/>
        <w:jc w:val="both"/>
        <w:rPr>
          <w:rFonts w:asciiTheme="majorBidi" w:hAnsiTheme="majorBidi" w:cstheme="majorBidi"/>
        </w:rPr>
      </w:pPr>
      <w:r w:rsidRPr="000B1834">
        <w:rPr>
          <w:rStyle w:val="Appelnotedebasdep"/>
          <w:rFonts w:asciiTheme="majorBidi" w:hAnsiTheme="majorBidi" w:cstheme="majorBidi"/>
        </w:rPr>
        <w:footnoteRef/>
      </w:r>
      <w:r w:rsidRPr="000B1834">
        <w:rPr>
          <w:rFonts w:asciiTheme="majorBidi" w:hAnsiTheme="majorBidi" w:cstheme="majorBidi"/>
        </w:rPr>
        <w:t xml:space="preserve"> </w:t>
      </w:r>
      <w:r w:rsidRPr="000B1834">
        <w:rPr>
          <w:rFonts w:asciiTheme="majorBidi" w:hAnsiTheme="majorBidi" w:cstheme="majorBidi"/>
          <w:color w:val="222222"/>
          <w:shd w:val="clear" w:color="auto" w:fill="FFFFFF"/>
        </w:rPr>
        <w:t>LAUZEL. P « Comptabilité analytique » SIREY, Paris, 1971, p 384</w:t>
      </w:r>
    </w:p>
  </w:footnote>
  <w:footnote w:id="10">
    <w:p w14:paraId="5EC0FFB4" w14:textId="77777777" w:rsidR="00AB34B8" w:rsidRPr="000B1834" w:rsidRDefault="00AB34B8" w:rsidP="00E038EA">
      <w:pPr>
        <w:pStyle w:val="Notedebasdepage"/>
        <w:spacing w:line="276" w:lineRule="auto"/>
        <w:jc w:val="both"/>
        <w:rPr>
          <w:rFonts w:asciiTheme="majorBidi" w:hAnsiTheme="majorBidi" w:cstheme="majorBidi"/>
        </w:rPr>
      </w:pPr>
      <w:r w:rsidRPr="000B1834">
        <w:rPr>
          <w:rStyle w:val="Appelnotedebasdep"/>
          <w:rFonts w:asciiTheme="majorBidi" w:hAnsiTheme="majorBidi" w:cstheme="majorBidi"/>
        </w:rPr>
        <w:footnoteRef/>
      </w:r>
      <w:r w:rsidRPr="000B1834">
        <w:rPr>
          <w:rFonts w:asciiTheme="majorBidi" w:hAnsiTheme="majorBidi" w:cstheme="majorBidi"/>
        </w:rPr>
        <w:t xml:space="preserve"> </w:t>
      </w:r>
      <w:r w:rsidRPr="000B1834">
        <w:rPr>
          <w:rFonts w:asciiTheme="majorBidi" w:hAnsiTheme="majorBidi" w:cstheme="majorBidi"/>
          <w:color w:val="222222"/>
          <w:shd w:val="clear" w:color="auto" w:fill="FFFFFF"/>
        </w:rPr>
        <w:t>DORIATH .B, « gestion budgétaire», stme édition, DUNOD, Paris, 2008, P3.</w:t>
      </w:r>
    </w:p>
  </w:footnote>
  <w:footnote w:id="11">
    <w:p w14:paraId="2D1E849E" w14:textId="77777777" w:rsidR="00AB34B8" w:rsidRPr="00A4752A" w:rsidRDefault="00AB34B8" w:rsidP="00E038EA">
      <w:pPr>
        <w:jc w:val="both"/>
        <w:rPr>
          <w:rFonts w:asciiTheme="majorBidi" w:hAnsiTheme="majorBidi" w:cstheme="majorBidi"/>
          <w:color w:val="222222"/>
          <w:shd w:val="clear" w:color="auto" w:fill="FFFFFF"/>
        </w:rPr>
      </w:pPr>
      <w:r w:rsidRPr="000B1834">
        <w:rPr>
          <w:rStyle w:val="Appelnotedebasdep"/>
          <w:rFonts w:asciiTheme="majorBidi" w:hAnsiTheme="majorBidi" w:cstheme="majorBidi"/>
          <w:sz w:val="20"/>
          <w:szCs w:val="20"/>
        </w:rPr>
        <w:footnoteRef/>
      </w:r>
      <w:r w:rsidRPr="000B1834">
        <w:rPr>
          <w:rFonts w:asciiTheme="majorBidi" w:hAnsiTheme="majorBidi" w:cstheme="majorBidi"/>
          <w:sz w:val="20"/>
          <w:szCs w:val="20"/>
        </w:rPr>
        <w:t xml:space="preserve"> </w:t>
      </w:r>
      <w:r w:rsidRPr="000B1834">
        <w:rPr>
          <w:rFonts w:asciiTheme="majorBidi" w:hAnsiTheme="majorBidi" w:cstheme="majorBidi"/>
          <w:color w:val="222222"/>
          <w:sz w:val="20"/>
          <w:szCs w:val="20"/>
          <w:shd w:val="clear" w:color="auto" w:fill="FFFFFF"/>
        </w:rPr>
        <w:t>DORIATH, B, GOUJET, C, « Gestion prévisionnelle et mesure de la performance », 3*™ édition, Dunod, Paris, 2007, P 284.</w:t>
      </w:r>
    </w:p>
  </w:footnote>
  <w:footnote w:id="12">
    <w:p w14:paraId="06D26E47" w14:textId="77777777" w:rsidR="00AB34B8" w:rsidRPr="006A16CA" w:rsidRDefault="00AB34B8" w:rsidP="00E038EA">
      <w:pPr>
        <w:pStyle w:val="Notedebasdepage"/>
        <w:spacing w:line="276" w:lineRule="auto"/>
        <w:jc w:val="both"/>
        <w:rPr>
          <w:rFonts w:asciiTheme="majorBidi" w:hAnsiTheme="majorBidi" w:cstheme="majorBidi"/>
        </w:rPr>
      </w:pPr>
      <w:r w:rsidRPr="006A16CA">
        <w:rPr>
          <w:rStyle w:val="Appelnotedebasdep"/>
          <w:rFonts w:asciiTheme="majorBidi" w:hAnsiTheme="majorBidi" w:cstheme="majorBidi"/>
        </w:rPr>
        <w:footnoteRef/>
      </w:r>
      <w:r w:rsidRPr="006A16CA">
        <w:rPr>
          <w:rFonts w:asciiTheme="majorBidi" w:hAnsiTheme="majorBidi" w:cstheme="majorBidi"/>
        </w:rPr>
        <w:t xml:space="preserve"> </w:t>
      </w:r>
      <w:r w:rsidRPr="006A16CA">
        <w:rPr>
          <w:rFonts w:asciiTheme="majorBidi" w:eastAsia="Times New Roman" w:hAnsiTheme="majorBidi" w:cstheme="majorBidi"/>
          <w:color w:val="000000"/>
          <w:lang w:eastAsia="fr-FR"/>
        </w:rPr>
        <w:t>Doriath. B, Contrôle De Gestion En 20 Fiche », 5eme Edition, DUNOD, Paris, 2008, p :01</w:t>
      </w:r>
    </w:p>
  </w:footnote>
  <w:footnote w:id="13">
    <w:p w14:paraId="51DD5B34" w14:textId="77777777" w:rsidR="00AB34B8" w:rsidRPr="006A16CA" w:rsidRDefault="00AB34B8" w:rsidP="00E038EA">
      <w:pPr>
        <w:pStyle w:val="Notedebasdepage"/>
        <w:spacing w:line="276" w:lineRule="auto"/>
        <w:jc w:val="both"/>
        <w:rPr>
          <w:rFonts w:asciiTheme="majorBidi" w:hAnsiTheme="majorBidi" w:cstheme="majorBidi"/>
        </w:rPr>
      </w:pPr>
      <w:r w:rsidRPr="006A16CA">
        <w:rPr>
          <w:rStyle w:val="Appelnotedebasdep"/>
          <w:rFonts w:asciiTheme="majorBidi" w:hAnsiTheme="majorBidi" w:cstheme="majorBidi"/>
        </w:rPr>
        <w:footnoteRef/>
      </w:r>
      <w:r w:rsidRPr="006A16CA">
        <w:rPr>
          <w:rFonts w:asciiTheme="majorBidi" w:hAnsiTheme="majorBidi" w:cstheme="majorBidi"/>
        </w:rPr>
        <w:t xml:space="preserve"> </w:t>
      </w:r>
      <w:r w:rsidRPr="006A16CA">
        <w:rPr>
          <w:rFonts w:asciiTheme="majorBidi" w:eastAsia="Times New Roman" w:hAnsiTheme="majorBidi" w:cstheme="majorBidi"/>
          <w:color w:val="000000"/>
          <w:lang w:eastAsia="fr-FR"/>
        </w:rPr>
        <w:t>Depallens G, « Gestion Financière De L’entreprise », 4 eme Edition, SIREY, Paris, 1971, p : 519.</w:t>
      </w:r>
    </w:p>
  </w:footnote>
  <w:footnote w:id="14">
    <w:p w14:paraId="3400C9AF" w14:textId="77777777" w:rsidR="00AB34B8" w:rsidRPr="006A16CA" w:rsidRDefault="00AB34B8" w:rsidP="00E038EA">
      <w:pPr>
        <w:pStyle w:val="Notedebasdepage"/>
        <w:spacing w:line="276" w:lineRule="auto"/>
        <w:jc w:val="both"/>
        <w:rPr>
          <w:rFonts w:asciiTheme="majorBidi" w:hAnsiTheme="majorBidi" w:cstheme="majorBidi"/>
        </w:rPr>
      </w:pPr>
      <w:r w:rsidRPr="006A16CA">
        <w:rPr>
          <w:rStyle w:val="Appelnotedebasdep"/>
          <w:rFonts w:asciiTheme="majorBidi" w:hAnsiTheme="majorBidi" w:cstheme="majorBidi"/>
        </w:rPr>
        <w:footnoteRef/>
      </w:r>
      <w:r w:rsidRPr="006A16CA">
        <w:rPr>
          <w:rFonts w:asciiTheme="majorBidi" w:hAnsiTheme="majorBidi" w:cstheme="majorBidi"/>
        </w:rPr>
        <w:t xml:space="preserve"> </w:t>
      </w:r>
      <w:r w:rsidRPr="006A16CA">
        <w:rPr>
          <w:rFonts w:asciiTheme="majorBidi" w:eastAsia="Times New Roman" w:hAnsiTheme="majorBidi" w:cstheme="majorBidi"/>
          <w:color w:val="000000"/>
          <w:lang w:eastAsia="fr-FR"/>
        </w:rPr>
        <w:t>BOU YAKOUB, (Farouk) : L’entreprise et financement bancaire, Edition CASABAH, 2005, P.98.</w:t>
      </w:r>
    </w:p>
  </w:footnote>
  <w:footnote w:id="15">
    <w:p w14:paraId="1D4618B7" w14:textId="77777777" w:rsidR="00AB34B8" w:rsidRDefault="00AB34B8" w:rsidP="00E038EA">
      <w:pPr>
        <w:pStyle w:val="Notedebasdepage"/>
        <w:spacing w:line="276" w:lineRule="auto"/>
        <w:jc w:val="both"/>
      </w:pPr>
      <w:r w:rsidRPr="006A16CA">
        <w:rPr>
          <w:rStyle w:val="Appelnotedebasdep"/>
          <w:rFonts w:asciiTheme="majorBidi" w:hAnsiTheme="majorBidi" w:cstheme="majorBidi"/>
        </w:rPr>
        <w:footnoteRef/>
      </w:r>
      <w:r w:rsidRPr="006A16CA">
        <w:rPr>
          <w:rFonts w:asciiTheme="majorBidi" w:hAnsiTheme="majorBidi" w:cstheme="majorBidi"/>
        </w:rPr>
        <w:t xml:space="preserve"> </w:t>
      </w:r>
      <w:r w:rsidRPr="006A16CA">
        <w:rPr>
          <w:rFonts w:asciiTheme="majorBidi" w:eastAsia="Times New Roman" w:hAnsiTheme="majorBidi" w:cstheme="majorBidi"/>
          <w:color w:val="000000"/>
          <w:lang w:eastAsia="fr-FR"/>
        </w:rPr>
        <w:t>Hamini. A, gestion budgétaire et comptabilité prévisionnelle, édition BERTI, Alger, Algérie, 2001.</w:t>
      </w:r>
    </w:p>
  </w:footnote>
  <w:footnote w:id="16">
    <w:p w14:paraId="252EEBAA" w14:textId="77777777" w:rsidR="00AB34B8" w:rsidRPr="00402567" w:rsidRDefault="00AB34B8" w:rsidP="00E038EA">
      <w:pPr>
        <w:jc w:val="both"/>
        <w:rPr>
          <w:rFonts w:asciiTheme="majorBidi" w:hAnsiTheme="majorBidi" w:cstheme="majorBidi"/>
          <w:sz w:val="20"/>
          <w:szCs w:val="20"/>
        </w:rPr>
      </w:pPr>
      <w:r w:rsidRPr="00402567">
        <w:rPr>
          <w:rStyle w:val="Appelnotedebasdep"/>
          <w:rFonts w:asciiTheme="majorBidi" w:hAnsiTheme="majorBidi" w:cstheme="majorBidi"/>
          <w:sz w:val="20"/>
          <w:szCs w:val="20"/>
        </w:rPr>
        <w:footnoteRef/>
      </w:r>
      <w:r w:rsidRPr="00402567">
        <w:rPr>
          <w:rFonts w:asciiTheme="majorBidi" w:hAnsiTheme="majorBidi" w:cstheme="majorBidi"/>
          <w:sz w:val="20"/>
          <w:szCs w:val="20"/>
        </w:rPr>
        <w:t xml:space="preserve"> </w:t>
      </w:r>
      <w:r w:rsidRPr="00402567">
        <w:rPr>
          <w:rFonts w:asciiTheme="majorBidi" w:hAnsiTheme="majorBidi" w:cstheme="majorBidi"/>
          <w:color w:val="000000"/>
          <w:sz w:val="20"/>
          <w:szCs w:val="20"/>
        </w:rPr>
        <w:t>DIDIER Leclère. L’essentiel de la gestion budgétaire. Edition Eyrolles, Paris, 2012. p7</w:t>
      </w:r>
    </w:p>
  </w:footnote>
  <w:footnote w:id="17">
    <w:p w14:paraId="1413A1AB" w14:textId="51735816" w:rsidR="00AB34B8" w:rsidRPr="00563583" w:rsidRDefault="00AB34B8" w:rsidP="00E038EA">
      <w:pPr>
        <w:jc w:val="both"/>
        <w:rPr>
          <w:rFonts w:asciiTheme="majorBidi" w:hAnsiTheme="majorBidi" w:cstheme="majorBidi"/>
          <w:sz w:val="20"/>
          <w:szCs w:val="20"/>
          <w:lang w:eastAsia="fr-FR"/>
        </w:rPr>
      </w:pPr>
      <w:r w:rsidRPr="00563583">
        <w:rPr>
          <w:rStyle w:val="Appelnotedebasdep"/>
          <w:rFonts w:asciiTheme="majorBidi" w:hAnsiTheme="majorBidi" w:cstheme="majorBidi"/>
          <w:sz w:val="20"/>
          <w:szCs w:val="20"/>
        </w:rPr>
        <w:footnoteRef/>
      </w:r>
      <w:r w:rsidRPr="00563583">
        <w:rPr>
          <w:rFonts w:asciiTheme="majorBidi" w:hAnsiTheme="majorBidi" w:cstheme="majorBidi"/>
          <w:sz w:val="20"/>
          <w:szCs w:val="20"/>
        </w:rPr>
        <w:t xml:space="preserve"> </w:t>
      </w:r>
      <w:r w:rsidRPr="00563583">
        <w:rPr>
          <w:rFonts w:asciiTheme="majorBidi" w:hAnsiTheme="majorBidi" w:cstheme="majorBidi"/>
          <w:sz w:val="20"/>
          <w:szCs w:val="20"/>
          <w:lang w:eastAsia="fr-FR"/>
        </w:rPr>
        <w:t xml:space="preserve">DORIATH. Op.cit </w:t>
      </w:r>
      <w:r>
        <w:rPr>
          <w:rFonts w:asciiTheme="majorBidi" w:hAnsiTheme="majorBidi" w:cstheme="majorBidi"/>
          <w:sz w:val="20"/>
          <w:szCs w:val="20"/>
          <w:lang w:eastAsia="fr-FR"/>
        </w:rPr>
        <w:t>.</w:t>
      </w:r>
      <w:r w:rsidRPr="00563583">
        <w:rPr>
          <w:rFonts w:asciiTheme="majorBidi" w:hAnsiTheme="majorBidi" w:cstheme="majorBidi"/>
          <w:sz w:val="20"/>
          <w:szCs w:val="20"/>
          <w:lang w:eastAsia="fr-FR"/>
        </w:rPr>
        <w:t>p3</w:t>
      </w:r>
    </w:p>
  </w:footnote>
  <w:footnote w:id="18">
    <w:p w14:paraId="502DC67B" w14:textId="77777777" w:rsidR="00AB34B8" w:rsidRPr="006A3840" w:rsidRDefault="00AB34B8" w:rsidP="00E038EA">
      <w:pPr>
        <w:jc w:val="both"/>
        <w:rPr>
          <w:rFonts w:asciiTheme="majorBidi" w:hAnsiTheme="majorBidi" w:cstheme="majorBidi"/>
          <w:sz w:val="20"/>
          <w:szCs w:val="20"/>
        </w:rPr>
      </w:pPr>
      <w:r w:rsidRPr="00563583">
        <w:rPr>
          <w:rStyle w:val="Appelnotedebasdep"/>
          <w:rFonts w:asciiTheme="majorBidi" w:hAnsiTheme="majorBidi" w:cstheme="majorBidi"/>
          <w:sz w:val="20"/>
          <w:szCs w:val="20"/>
        </w:rPr>
        <w:footnoteRef/>
      </w:r>
      <w:r w:rsidRPr="00563583">
        <w:rPr>
          <w:rFonts w:asciiTheme="majorBidi" w:hAnsiTheme="majorBidi" w:cstheme="majorBidi"/>
          <w:sz w:val="20"/>
          <w:szCs w:val="20"/>
        </w:rPr>
        <w:t xml:space="preserve"> </w:t>
      </w:r>
      <w:r w:rsidRPr="006055C3">
        <w:rPr>
          <w:rFonts w:asciiTheme="majorBidi" w:hAnsiTheme="majorBidi" w:cstheme="majorBidi"/>
          <w:sz w:val="20"/>
          <w:szCs w:val="20"/>
        </w:rPr>
        <w:t>ALAZARD (C) et SEPARI (S) : contrôle de gestion, manuel et application, DUNOD, 5 ème édition, Paris,</w:t>
      </w:r>
      <w:r>
        <w:rPr>
          <w:rFonts w:asciiTheme="majorBidi" w:hAnsiTheme="majorBidi" w:cstheme="majorBidi"/>
          <w:sz w:val="20"/>
          <w:szCs w:val="20"/>
        </w:rPr>
        <w:t xml:space="preserve"> </w:t>
      </w:r>
      <w:r w:rsidRPr="006055C3">
        <w:rPr>
          <w:rFonts w:asciiTheme="majorBidi" w:hAnsiTheme="majorBidi" w:cstheme="majorBidi"/>
          <w:sz w:val="20"/>
          <w:szCs w:val="20"/>
        </w:rPr>
        <w:t>2018,</w:t>
      </w:r>
      <w:r w:rsidRPr="00563583">
        <w:rPr>
          <w:rFonts w:asciiTheme="majorBidi" w:hAnsiTheme="majorBidi" w:cstheme="majorBidi"/>
          <w:sz w:val="20"/>
          <w:szCs w:val="20"/>
          <w:lang w:eastAsia="fr-FR"/>
        </w:rPr>
        <w:t xml:space="preserve"> p179</w:t>
      </w:r>
    </w:p>
  </w:footnote>
  <w:footnote w:id="19">
    <w:p w14:paraId="072440B7" w14:textId="77777777" w:rsidR="00AB34B8" w:rsidRPr="0047592A" w:rsidRDefault="00AB34B8" w:rsidP="00E038EA">
      <w:pPr>
        <w:pStyle w:val="Sansinterligne"/>
        <w:spacing w:line="276" w:lineRule="auto"/>
        <w:jc w:val="both"/>
        <w:rPr>
          <w:rFonts w:asciiTheme="majorBidi" w:hAnsiTheme="majorBidi" w:cstheme="majorBidi"/>
          <w:sz w:val="20"/>
          <w:szCs w:val="20"/>
          <w:lang w:eastAsia="fr-FR"/>
        </w:rPr>
      </w:pPr>
      <w:r w:rsidRPr="0047592A">
        <w:rPr>
          <w:rStyle w:val="Appelnotedebasdep"/>
          <w:rFonts w:asciiTheme="majorBidi" w:hAnsiTheme="majorBidi" w:cstheme="majorBidi"/>
          <w:sz w:val="20"/>
          <w:szCs w:val="20"/>
        </w:rPr>
        <w:footnoteRef/>
      </w:r>
      <w:r w:rsidRPr="0047592A">
        <w:t xml:space="preserve"> </w:t>
      </w:r>
      <w:r w:rsidRPr="0047592A">
        <w:rPr>
          <w:rFonts w:asciiTheme="majorBidi" w:hAnsiTheme="majorBidi" w:cstheme="majorBidi"/>
          <w:sz w:val="20"/>
          <w:szCs w:val="20"/>
          <w:lang w:eastAsia="fr-FR"/>
        </w:rPr>
        <w:t>Jean MEYER. Gestion budgétaire. DUNOD 4éme édition. Paris 1970.p7</w:t>
      </w:r>
    </w:p>
  </w:footnote>
  <w:footnote w:id="20">
    <w:p w14:paraId="14D372C4" w14:textId="77777777" w:rsidR="00AB34B8" w:rsidRPr="0047592A" w:rsidRDefault="00AB34B8" w:rsidP="00E038EA">
      <w:pPr>
        <w:pStyle w:val="Notedebasdepage"/>
        <w:spacing w:line="276" w:lineRule="auto"/>
        <w:jc w:val="both"/>
        <w:rPr>
          <w:rFonts w:asciiTheme="majorBidi" w:hAnsiTheme="majorBidi" w:cstheme="majorBidi"/>
        </w:rPr>
      </w:pPr>
      <w:r w:rsidRPr="0047592A">
        <w:rPr>
          <w:rStyle w:val="Appelnotedebasdep"/>
          <w:rFonts w:asciiTheme="majorBidi" w:hAnsiTheme="majorBidi" w:cstheme="majorBidi"/>
        </w:rPr>
        <w:footnoteRef/>
      </w:r>
      <w:r w:rsidRPr="0047592A">
        <w:rPr>
          <w:rFonts w:asciiTheme="majorBidi" w:hAnsiTheme="majorBidi" w:cstheme="majorBidi"/>
        </w:rPr>
        <w:t xml:space="preserve"> </w:t>
      </w:r>
      <w:r w:rsidRPr="0047592A">
        <w:rPr>
          <w:rFonts w:asciiTheme="majorBidi" w:eastAsia="Times New Roman" w:hAnsiTheme="majorBidi" w:cstheme="majorBidi"/>
          <w:color w:val="000000"/>
          <w:lang w:eastAsia="fr-FR"/>
        </w:rPr>
        <w:t>Henri BOUQUIN. La maitrise des budgets dans l’entreprise. EDICEF. Paris 1992. P74</w:t>
      </w:r>
    </w:p>
  </w:footnote>
  <w:footnote w:id="21">
    <w:p w14:paraId="0EE68B38" w14:textId="19E4FC7C" w:rsidR="00AB34B8" w:rsidRPr="0047592A" w:rsidRDefault="00AB34B8" w:rsidP="00E038EA">
      <w:pPr>
        <w:pStyle w:val="Notedebasdepage"/>
        <w:spacing w:line="276" w:lineRule="auto"/>
        <w:jc w:val="both"/>
        <w:rPr>
          <w:rFonts w:asciiTheme="majorBidi" w:hAnsiTheme="majorBidi" w:cstheme="majorBidi"/>
        </w:rPr>
      </w:pPr>
      <w:r w:rsidRPr="0047592A">
        <w:rPr>
          <w:rStyle w:val="Appelnotedebasdep"/>
          <w:rFonts w:asciiTheme="majorBidi" w:hAnsiTheme="majorBidi" w:cstheme="majorBidi"/>
        </w:rPr>
        <w:footnoteRef/>
      </w:r>
      <w:r w:rsidRPr="0047592A">
        <w:rPr>
          <w:rFonts w:asciiTheme="majorBidi" w:hAnsiTheme="majorBidi" w:cstheme="majorBidi"/>
        </w:rPr>
        <w:t xml:space="preserve"> </w:t>
      </w:r>
      <w:r w:rsidRPr="0047592A">
        <w:rPr>
          <w:rFonts w:asciiTheme="majorBidi" w:eastAsia="Times New Roman" w:hAnsiTheme="majorBidi" w:cstheme="majorBidi"/>
          <w:color w:val="000000"/>
          <w:lang w:eastAsia="fr-FR"/>
        </w:rPr>
        <w:t>Laurent Cappelletti, Philippe Baron, Gérard Desmaison, François-Xavier Ribiollet. p103</w:t>
      </w:r>
    </w:p>
  </w:footnote>
  <w:footnote w:id="22">
    <w:p w14:paraId="3D7797CB" w14:textId="77777777" w:rsidR="00AB34B8" w:rsidRPr="00EB7CCC" w:rsidRDefault="00AB34B8" w:rsidP="00E038EA">
      <w:pPr>
        <w:jc w:val="both"/>
        <w:rPr>
          <w:rFonts w:asciiTheme="majorBidi" w:eastAsia="Times New Roman" w:hAnsiTheme="majorBidi" w:cstheme="majorBidi"/>
          <w:lang w:eastAsia="fr-FR"/>
        </w:rPr>
      </w:pPr>
      <w:r w:rsidRPr="0047592A">
        <w:rPr>
          <w:rStyle w:val="Appelnotedebasdep"/>
          <w:rFonts w:asciiTheme="majorBidi" w:hAnsiTheme="majorBidi" w:cstheme="majorBidi"/>
          <w:sz w:val="20"/>
          <w:szCs w:val="20"/>
        </w:rPr>
        <w:footnoteRef/>
      </w:r>
      <w:r w:rsidRPr="0047592A">
        <w:rPr>
          <w:rFonts w:asciiTheme="majorBidi" w:hAnsiTheme="majorBidi" w:cstheme="majorBidi"/>
          <w:sz w:val="20"/>
          <w:szCs w:val="20"/>
        </w:rPr>
        <w:t xml:space="preserve"> </w:t>
      </w:r>
      <w:r w:rsidRPr="0047592A">
        <w:rPr>
          <w:rFonts w:asciiTheme="majorBidi" w:eastAsia="Times New Roman" w:hAnsiTheme="majorBidi" w:cstheme="majorBidi"/>
          <w:color w:val="000000"/>
          <w:sz w:val="20"/>
          <w:szCs w:val="20"/>
          <w:lang w:eastAsia="fr-FR"/>
        </w:rPr>
        <w:t>Claude ALAZARD. Sabine SÉPARI. Op.cit., p182</w:t>
      </w:r>
      <w:r w:rsidRPr="000936F6">
        <w:rPr>
          <w:rFonts w:asciiTheme="majorBidi" w:eastAsia="Times New Roman" w:hAnsiTheme="majorBidi" w:cstheme="majorBidi"/>
          <w:color w:val="000000"/>
          <w:lang w:eastAsia="fr-FR"/>
        </w:rPr>
        <w:t> </w:t>
      </w:r>
    </w:p>
  </w:footnote>
  <w:footnote w:id="23">
    <w:p w14:paraId="30072648" w14:textId="4A7FF094" w:rsidR="00AB34B8" w:rsidRPr="00563583" w:rsidRDefault="00AB34B8" w:rsidP="00E038EA">
      <w:pPr>
        <w:jc w:val="both"/>
        <w:rPr>
          <w:rFonts w:asciiTheme="majorBidi" w:hAnsiTheme="majorBidi" w:cstheme="majorBidi"/>
          <w:sz w:val="20"/>
          <w:szCs w:val="20"/>
        </w:rPr>
      </w:pPr>
      <w:r w:rsidRPr="00563583">
        <w:rPr>
          <w:rStyle w:val="Appelnotedebasdep"/>
          <w:rFonts w:asciiTheme="majorBidi" w:hAnsiTheme="majorBidi" w:cstheme="majorBidi"/>
          <w:sz w:val="20"/>
          <w:szCs w:val="20"/>
        </w:rPr>
        <w:footnoteRef/>
      </w:r>
      <w:r w:rsidRPr="00563583">
        <w:rPr>
          <w:rFonts w:asciiTheme="majorBidi" w:hAnsiTheme="majorBidi" w:cstheme="majorBidi"/>
          <w:sz w:val="20"/>
          <w:szCs w:val="20"/>
        </w:rPr>
        <w:t xml:space="preserve"> </w:t>
      </w:r>
      <w:r w:rsidRPr="00563583">
        <w:rPr>
          <w:rFonts w:asciiTheme="majorBidi" w:hAnsiTheme="majorBidi" w:cstheme="majorBidi"/>
          <w:color w:val="000000"/>
          <w:sz w:val="20"/>
          <w:szCs w:val="20"/>
        </w:rPr>
        <w:t xml:space="preserve">Henri BOUQUIN. </w:t>
      </w:r>
      <w:r>
        <w:rPr>
          <w:rFonts w:asciiTheme="majorBidi" w:hAnsiTheme="majorBidi" w:cstheme="majorBidi"/>
          <w:color w:val="000000"/>
          <w:sz w:val="20"/>
          <w:szCs w:val="20"/>
        </w:rPr>
        <w:t>Op cit</w:t>
      </w:r>
      <w:r w:rsidRPr="00563583">
        <w:rPr>
          <w:rFonts w:asciiTheme="majorBidi" w:hAnsiTheme="majorBidi" w:cstheme="majorBidi"/>
          <w:color w:val="000000"/>
          <w:sz w:val="20"/>
          <w:szCs w:val="20"/>
        </w:rPr>
        <w:t>. 1992.p28</w:t>
      </w:r>
    </w:p>
  </w:footnote>
  <w:footnote w:id="24">
    <w:p w14:paraId="1D546256" w14:textId="77777777"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Jean MEYER . Op.cit. p10.</w:t>
      </w:r>
    </w:p>
  </w:footnote>
  <w:footnote w:id="25">
    <w:p w14:paraId="494D5056" w14:textId="77777777"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Claude ALAZARD. Sabine SÉPARI. Op.cit ., p179.</w:t>
      </w:r>
    </w:p>
  </w:footnote>
  <w:footnote w:id="26">
    <w:p w14:paraId="360FDDF1" w14:textId="63D8ED40"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Jean MEYER .</w:t>
      </w:r>
      <w:r>
        <w:rPr>
          <w:rFonts w:asciiTheme="majorBidi" w:eastAsia="Times New Roman" w:hAnsiTheme="majorBidi" w:cstheme="majorBidi"/>
          <w:color w:val="000000"/>
          <w:lang w:eastAsia="fr-FR"/>
        </w:rPr>
        <w:t>Op Cit .</w:t>
      </w:r>
      <w:r w:rsidRPr="00563583">
        <w:rPr>
          <w:rFonts w:asciiTheme="majorBidi" w:eastAsia="Times New Roman" w:hAnsiTheme="majorBidi" w:cstheme="majorBidi"/>
          <w:color w:val="000000"/>
          <w:lang w:eastAsia="fr-FR"/>
        </w:rPr>
        <w:t xml:space="preserve"> p4.</w:t>
      </w:r>
    </w:p>
  </w:footnote>
  <w:footnote w:id="27">
    <w:p w14:paraId="19C23335" w14:textId="77777777"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Henri BOUQUIN. Op.cit ., p9</w:t>
      </w:r>
    </w:p>
  </w:footnote>
  <w:footnote w:id="28">
    <w:p w14:paraId="4A3324C3" w14:textId="77777777" w:rsidR="00AB34B8" w:rsidRPr="00A12F3B" w:rsidRDefault="00AB34B8" w:rsidP="00E038EA">
      <w:pPr>
        <w:pStyle w:val="Notedebasdepage"/>
        <w:spacing w:line="276" w:lineRule="auto"/>
        <w:jc w:val="both"/>
        <w:rPr>
          <w:rFonts w:asciiTheme="majorBidi" w:hAnsiTheme="majorBidi" w:cstheme="majorBidi"/>
          <w:lang w:val="pt-PT"/>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 xml:space="preserve">Michel GERVAIS. Contrôle de gestion 9e édition. </w:t>
      </w:r>
      <w:r w:rsidRPr="00A12F3B">
        <w:rPr>
          <w:rFonts w:asciiTheme="majorBidi" w:eastAsia="Times New Roman" w:hAnsiTheme="majorBidi" w:cstheme="majorBidi"/>
          <w:color w:val="000000"/>
          <w:lang w:val="pt-PT" w:eastAsia="fr-FR"/>
        </w:rPr>
        <w:t>Economica .2009. p20. </w:t>
      </w:r>
    </w:p>
  </w:footnote>
  <w:footnote w:id="29">
    <w:p w14:paraId="271622A2" w14:textId="77777777" w:rsidR="00AB34B8" w:rsidRPr="00A12F3B" w:rsidRDefault="00AB34B8" w:rsidP="00E038EA">
      <w:pPr>
        <w:pStyle w:val="Notedebasdepage"/>
        <w:spacing w:line="276" w:lineRule="auto"/>
        <w:jc w:val="both"/>
        <w:rPr>
          <w:lang w:val="pt-PT"/>
        </w:rPr>
      </w:pPr>
      <w:r w:rsidRPr="00563583">
        <w:rPr>
          <w:rStyle w:val="Appelnotedebasdep"/>
          <w:rFonts w:asciiTheme="majorBidi" w:hAnsiTheme="majorBidi" w:cstheme="majorBidi"/>
        </w:rPr>
        <w:footnoteRef/>
      </w:r>
      <w:r w:rsidRPr="00A12F3B">
        <w:rPr>
          <w:rFonts w:asciiTheme="majorBidi" w:hAnsiTheme="majorBidi" w:cstheme="majorBidi"/>
          <w:lang w:val="pt-PT"/>
        </w:rPr>
        <w:t xml:space="preserve"> </w:t>
      </w:r>
      <w:r w:rsidRPr="00A12F3B">
        <w:rPr>
          <w:rFonts w:asciiTheme="majorBidi" w:eastAsia="Times New Roman" w:hAnsiTheme="majorBidi" w:cstheme="majorBidi"/>
          <w:color w:val="000000"/>
          <w:lang w:val="pt-PT" w:eastAsia="fr-FR"/>
        </w:rPr>
        <w:t>Brigitte DORIATH. Op.cit ., P2.</w:t>
      </w:r>
    </w:p>
  </w:footnote>
  <w:footnote w:id="30">
    <w:p w14:paraId="173B79DF" w14:textId="77777777"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Cairn .INFO. Comptabilité Contrôle Audit. Disponible sur https://www.cairn.info/revue-comptabilite controle-audit-2010-1-page-159.htm (consulte le 19/03/2025)</w:t>
      </w:r>
    </w:p>
  </w:footnote>
  <w:footnote w:id="31">
    <w:p w14:paraId="5FBF0B65" w14:textId="77777777"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6055C3">
        <w:rPr>
          <w:rFonts w:asciiTheme="majorBidi" w:hAnsiTheme="majorBidi" w:cstheme="majorBidi"/>
        </w:rPr>
        <w:t>Béatrice et Francis Grandguillot. L’essentiel du Contrôle de gestion, 9e édition. Gualino Lextenso éditions 2015 2016.</w:t>
      </w:r>
      <w:r w:rsidRPr="006055C3">
        <w:rPr>
          <w:rFonts w:asciiTheme="majorBidi" w:eastAsia="Times New Roman" w:hAnsiTheme="majorBidi" w:cstheme="majorBidi"/>
          <w:color w:val="000000"/>
          <w:lang w:eastAsia="fr-FR"/>
        </w:rPr>
        <w:t>. p54</w:t>
      </w:r>
    </w:p>
  </w:footnote>
  <w:footnote w:id="32">
    <w:p w14:paraId="3F25020D" w14:textId="77777777" w:rsidR="00AB34B8" w:rsidRDefault="00AB34B8" w:rsidP="00E038EA">
      <w:pPr>
        <w:pStyle w:val="Notedebasdepage"/>
        <w:spacing w:line="276" w:lineRule="auto"/>
        <w:jc w:val="both"/>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Brigitte DORIATH. Op.cit. p4</w:t>
      </w:r>
      <w:r>
        <w:rPr>
          <w:rFonts w:asciiTheme="majorBidi" w:eastAsia="Times New Roman" w:hAnsiTheme="majorBidi" w:cstheme="majorBidi"/>
          <w:color w:val="000000"/>
          <w:lang w:eastAsia="fr-FR"/>
        </w:rPr>
        <w:t>,13-14,39</w:t>
      </w:r>
    </w:p>
  </w:footnote>
  <w:footnote w:id="33">
    <w:p w14:paraId="09CC76D5" w14:textId="77777777"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Henri BOUQUIN. Op.cit. p121     </w:t>
      </w:r>
    </w:p>
  </w:footnote>
  <w:footnote w:id="34">
    <w:p w14:paraId="03F76F26" w14:textId="77777777"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 xml:space="preserve">Brigitte DORIATH. Op.cit. </w:t>
      </w:r>
      <w:r>
        <w:rPr>
          <w:rFonts w:asciiTheme="majorBidi" w:eastAsia="Times New Roman" w:hAnsiTheme="majorBidi" w:cstheme="majorBidi"/>
          <w:color w:val="000000"/>
          <w:lang w:eastAsia="fr-FR"/>
        </w:rPr>
        <w:t>p</w:t>
      </w:r>
      <w:r w:rsidRPr="00563583">
        <w:rPr>
          <w:rFonts w:asciiTheme="majorBidi" w:eastAsia="Times New Roman" w:hAnsiTheme="majorBidi" w:cstheme="majorBidi"/>
          <w:color w:val="000000"/>
          <w:lang w:eastAsia="fr-FR"/>
        </w:rPr>
        <w:t>p</w:t>
      </w:r>
      <w:r>
        <w:rPr>
          <w:rFonts w:asciiTheme="majorBidi" w:eastAsia="Times New Roman" w:hAnsiTheme="majorBidi" w:cstheme="majorBidi"/>
          <w:color w:val="000000"/>
          <w:lang w:eastAsia="fr-FR"/>
        </w:rPr>
        <w:t xml:space="preserve"> : 59, </w:t>
      </w:r>
      <w:r w:rsidRPr="00563583">
        <w:rPr>
          <w:rFonts w:asciiTheme="majorBidi" w:eastAsia="Times New Roman" w:hAnsiTheme="majorBidi" w:cstheme="majorBidi"/>
          <w:color w:val="000000"/>
          <w:lang w:eastAsia="fr-FR"/>
        </w:rPr>
        <w:t>66.</w:t>
      </w:r>
    </w:p>
  </w:footnote>
  <w:footnote w:id="35">
    <w:p w14:paraId="466FA6E6" w14:textId="4EEA116F" w:rsidR="00AB34B8" w:rsidRPr="00873E6F"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eastAsia="Times New Roman" w:hAnsiTheme="majorBidi" w:cstheme="majorBidi"/>
          <w:color w:val="000000"/>
          <w:lang w:eastAsia="fr-FR"/>
        </w:rPr>
        <w:t xml:space="preserve">Henri BOUQUIN. </w:t>
      </w:r>
      <w:r w:rsidRPr="00873E6F">
        <w:rPr>
          <w:rFonts w:asciiTheme="majorBidi" w:eastAsia="Times New Roman" w:hAnsiTheme="majorBidi" w:cstheme="majorBidi"/>
          <w:color w:val="000000"/>
          <w:lang w:eastAsia="fr-FR"/>
        </w:rPr>
        <w:t>Op.cit. p178.</w:t>
      </w:r>
    </w:p>
  </w:footnote>
  <w:footnote w:id="36">
    <w:p w14:paraId="446291D5" w14:textId="77777777" w:rsidR="00AB34B8" w:rsidRPr="00504E69" w:rsidRDefault="00AB34B8" w:rsidP="00E038EA">
      <w:pPr>
        <w:pStyle w:val="Notedebasdepage"/>
        <w:spacing w:line="276" w:lineRule="auto"/>
        <w:jc w:val="both"/>
        <w:rPr>
          <w:lang w:val="en-CA"/>
        </w:rPr>
      </w:pPr>
      <w:r w:rsidRPr="00563583">
        <w:rPr>
          <w:rStyle w:val="Appelnotedebasdep"/>
          <w:rFonts w:asciiTheme="majorBidi" w:hAnsiTheme="majorBidi" w:cstheme="majorBidi"/>
        </w:rPr>
        <w:footnoteRef/>
      </w:r>
      <w:r w:rsidRPr="00873E6F">
        <w:rPr>
          <w:rFonts w:asciiTheme="majorBidi" w:hAnsiTheme="majorBidi" w:cstheme="majorBidi"/>
        </w:rPr>
        <w:t xml:space="preserve"> </w:t>
      </w:r>
      <w:r w:rsidRPr="00873E6F">
        <w:rPr>
          <w:rFonts w:asciiTheme="majorBidi" w:eastAsia="Times New Roman" w:hAnsiTheme="majorBidi" w:cstheme="majorBidi"/>
          <w:color w:val="000000"/>
          <w:lang w:eastAsia="fr-FR"/>
        </w:rPr>
        <w:t xml:space="preserve">Brigitte DORIATH. </w:t>
      </w:r>
      <w:r w:rsidRPr="00504E69">
        <w:rPr>
          <w:rFonts w:asciiTheme="majorBidi" w:eastAsia="Times New Roman" w:hAnsiTheme="majorBidi" w:cstheme="majorBidi"/>
          <w:color w:val="000000"/>
          <w:lang w:val="en-CA" w:eastAsia="fr-FR"/>
        </w:rPr>
        <w:t>Ibid. p 65.</w:t>
      </w:r>
      <w:r w:rsidRPr="00504E69">
        <w:rPr>
          <w:rFonts w:asciiTheme="majorBidi" w:eastAsia="Times New Roman" w:hAnsiTheme="majorBidi" w:cstheme="majorBidi"/>
          <w:color w:val="000000"/>
          <w:sz w:val="24"/>
          <w:szCs w:val="24"/>
          <w:lang w:val="en-CA" w:eastAsia="fr-FR"/>
        </w:rPr>
        <w:t> </w:t>
      </w:r>
    </w:p>
  </w:footnote>
  <w:footnote w:id="37">
    <w:p w14:paraId="14816EC6" w14:textId="77777777" w:rsidR="00AB34B8" w:rsidRPr="00873E6F" w:rsidRDefault="00AB34B8" w:rsidP="00E038EA">
      <w:pPr>
        <w:pStyle w:val="Notedebasdepage"/>
        <w:spacing w:line="276" w:lineRule="auto"/>
        <w:jc w:val="both"/>
        <w:rPr>
          <w:rFonts w:asciiTheme="majorBidi" w:hAnsiTheme="majorBidi" w:cstheme="majorBidi"/>
          <w:lang w:val="en-US"/>
        </w:rPr>
      </w:pPr>
      <w:r w:rsidRPr="00563583">
        <w:rPr>
          <w:rStyle w:val="Appelnotedebasdep"/>
          <w:rFonts w:asciiTheme="majorBidi" w:hAnsiTheme="majorBidi" w:cstheme="majorBidi"/>
        </w:rPr>
        <w:footnoteRef/>
      </w:r>
      <w:r w:rsidRPr="00873E6F">
        <w:rPr>
          <w:rFonts w:asciiTheme="majorBidi" w:hAnsiTheme="majorBidi" w:cstheme="majorBidi"/>
          <w:lang w:val="en-US"/>
        </w:rPr>
        <w:t xml:space="preserve"> Brigitte DORIATH. Op.cit. p3.</w:t>
      </w:r>
    </w:p>
  </w:footnote>
  <w:footnote w:id="38">
    <w:p w14:paraId="448365F7" w14:textId="2CACB606" w:rsidR="00AB34B8" w:rsidRPr="00D0504E" w:rsidRDefault="00AB34B8" w:rsidP="00D0504E">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D0504E">
        <w:rPr>
          <w:rStyle w:val="lev"/>
          <w:rFonts w:asciiTheme="majorBidi" w:hAnsiTheme="majorBidi" w:cstheme="majorBidi"/>
          <w:b w:val="0"/>
          <w:bCs w:val="0"/>
        </w:rPr>
        <w:t>Langlois R., Bonnier C., et Bringer J.</w:t>
      </w:r>
      <w:r w:rsidRPr="00D0504E">
        <w:rPr>
          <w:rFonts w:asciiTheme="majorBidi" w:hAnsiTheme="majorBidi" w:cstheme="majorBidi"/>
          <w:b/>
          <w:bCs/>
        </w:rPr>
        <w:t xml:space="preserve"> </w:t>
      </w:r>
      <w:r w:rsidRPr="00D0504E">
        <w:rPr>
          <w:rFonts w:asciiTheme="majorBidi" w:hAnsiTheme="majorBidi" w:cstheme="majorBidi"/>
        </w:rPr>
        <w:t xml:space="preserve">(1999), </w:t>
      </w:r>
      <w:r w:rsidRPr="00D0504E">
        <w:rPr>
          <w:rStyle w:val="Accentuation"/>
          <w:rFonts w:asciiTheme="majorBidi" w:hAnsiTheme="majorBidi" w:cstheme="majorBidi"/>
        </w:rPr>
        <w:t>Le contrôle de gestion : fondements et pratiques</w:t>
      </w:r>
      <w:r w:rsidRPr="00D0504E">
        <w:rPr>
          <w:rFonts w:asciiTheme="majorBidi" w:hAnsiTheme="majorBidi" w:cstheme="majorBidi"/>
        </w:rPr>
        <w:t>, Éditions Economica, Paris</w:t>
      </w:r>
      <w:r w:rsidRPr="00D0504E">
        <w:t>.</w:t>
      </w:r>
      <w:r w:rsidRPr="00D0504E">
        <w:rPr>
          <w:rFonts w:asciiTheme="majorBidi" w:hAnsiTheme="majorBidi" w:cstheme="majorBidi"/>
          <w:color w:val="000000"/>
        </w:rPr>
        <w:t>, p. 299.</w:t>
      </w:r>
    </w:p>
  </w:footnote>
  <w:footnote w:id="39">
    <w:p w14:paraId="7FEB8BDE" w14:textId="77777777" w:rsidR="00AB34B8" w:rsidRDefault="00AB34B8" w:rsidP="00E038EA">
      <w:pPr>
        <w:pStyle w:val="Notedebasdepage"/>
        <w:spacing w:line="276" w:lineRule="auto"/>
        <w:jc w:val="both"/>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hAnsiTheme="majorBidi" w:cstheme="majorBidi"/>
          <w:color w:val="000000"/>
        </w:rPr>
        <w:t xml:space="preserve">Béatrice et Grandguillot, </w:t>
      </w:r>
      <w:r w:rsidRPr="0038684A">
        <w:rPr>
          <w:rFonts w:asciiTheme="majorBidi" w:hAnsiTheme="majorBidi" w:cstheme="majorBidi"/>
          <w:b/>
          <w:bCs/>
          <w:color w:val="000000"/>
        </w:rPr>
        <w:t>contrôle de gestion</w:t>
      </w:r>
      <w:r>
        <w:rPr>
          <w:rFonts w:asciiTheme="majorBidi" w:hAnsiTheme="majorBidi" w:cstheme="majorBidi"/>
          <w:color w:val="000000"/>
        </w:rPr>
        <w:t>, paris ,</w:t>
      </w:r>
      <w:r w:rsidRPr="00563583">
        <w:rPr>
          <w:rFonts w:asciiTheme="majorBidi" w:hAnsiTheme="majorBidi" w:cstheme="majorBidi"/>
          <w:color w:val="000000"/>
        </w:rPr>
        <w:t>2005, p. 63</w:t>
      </w:r>
    </w:p>
  </w:footnote>
  <w:footnote w:id="40">
    <w:p w14:paraId="0A61CD5F" w14:textId="77777777"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ALAZARD (C) et SEPARI (S), </w:t>
      </w:r>
      <w:r w:rsidRPr="0038684A">
        <w:rPr>
          <w:rFonts w:asciiTheme="majorBidi" w:hAnsiTheme="majorBidi" w:cstheme="majorBidi"/>
          <w:b/>
          <w:bCs/>
        </w:rPr>
        <w:t>op.cit</w:t>
      </w:r>
      <w:r w:rsidRPr="00563583">
        <w:rPr>
          <w:rFonts w:asciiTheme="majorBidi" w:hAnsiTheme="majorBidi" w:cstheme="majorBidi"/>
        </w:rPr>
        <w:t>, 2007, p.510.</w:t>
      </w:r>
    </w:p>
  </w:footnote>
  <w:footnote w:id="41">
    <w:p w14:paraId="65106397" w14:textId="77777777" w:rsidR="00AB34B8" w:rsidRDefault="00AB34B8" w:rsidP="00E038EA">
      <w:pPr>
        <w:pStyle w:val="Notedebasdepage"/>
        <w:spacing w:line="276" w:lineRule="auto"/>
        <w:jc w:val="both"/>
      </w:pPr>
      <w:r w:rsidRPr="00563583">
        <w:rPr>
          <w:rStyle w:val="Appelnotedebasdep"/>
          <w:rFonts w:asciiTheme="majorBidi" w:hAnsiTheme="majorBidi" w:cstheme="majorBidi"/>
        </w:rPr>
        <w:footnoteRef/>
      </w:r>
      <w:r w:rsidRPr="00563583">
        <w:rPr>
          <w:rFonts w:asciiTheme="majorBidi" w:hAnsiTheme="majorBidi" w:cstheme="majorBidi"/>
        </w:rPr>
        <w:t xml:space="preserve"> LONING. H et all, « Le contrôle de gestion : organisation, outils et pratiques », édition DUNOD, paris 2008,P 127 -128.</w:t>
      </w:r>
    </w:p>
  </w:footnote>
  <w:footnote w:id="42">
    <w:p w14:paraId="40C98CE5" w14:textId="77777777" w:rsidR="00AB34B8" w:rsidRPr="00563583" w:rsidRDefault="00AB34B8" w:rsidP="00E038EA">
      <w:pPr>
        <w:pStyle w:val="Notedebasdepage"/>
        <w:spacing w:line="276" w:lineRule="auto"/>
        <w:jc w:val="both"/>
        <w:rPr>
          <w:rFonts w:asciiTheme="majorBidi" w:hAnsiTheme="majorBidi" w:cstheme="majorBidi"/>
        </w:rPr>
      </w:pPr>
      <w:r w:rsidRPr="00563583">
        <w:rPr>
          <w:rStyle w:val="Appelnotedebasdep"/>
          <w:rFonts w:asciiTheme="majorBidi" w:hAnsiTheme="majorBidi" w:cstheme="majorBidi"/>
        </w:rPr>
        <w:footnoteRef/>
      </w:r>
      <w:r w:rsidRPr="00563583">
        <w:rPr>
          <w:rFonts w:asciiTheme="majorBidi" w:hAnsiTheme="majorBidi" w:cstheme="majorBidi"/>
        </w:rPr>
        <w:t xml:space="preserve"> </w:t>
      </w:r>
      <w:r w:rsidRPr="00563583">
        <w:rPr>
          <w:rFonts w:asciiTheme="majorBidi" w:hAnsiTheme="majorBidi" w:cstheme="majorBidi"/>
          <w:color w:val="000000"/>
        </w:rPr>
        <w:t>Azrou &amp; Beran,</w:t>
      </w:r>
      <w:r>
        <w:rPr>
          <w:rFonts w:asciiTheme="majorBidi" w:hAnsiTheme="majorBidi" w:cstheme="majorBidi"/>
          <w:color w:val="000000"/>
        </w:rPr>
        <w:t xml:space="preserve"> ; </w:t>
      </w:r>
      <w:r w:rsidRPr="007608D6">
        <w:rPr>
          <w:rFonts w:asciiTheme="majorBidi" w:hAnsiTheme="majorBidi" w:cstheme="majorBidi"/>
          <w:color w:val="000000"/>
        </w:rPr>
        <w:t>Contribution du contrôle budgétaire à la performance de l’entreprise : Cas de Générale Emballage (Mémoire de Master, Université Abderrahmane Mira – Béjaïa, Algérie)</w:t>
      </w:r>
      <w:r>
        <w:rPr>
          <w:rFonts w:asciiTheme="majorBidi" w:hAnsiTheme="majorBidi" w:cstheme="majorBidi"/>
          <w:color w:val="000000"/>
        </w:rPr>
        <w:t xml:space="preserve"> ; </w:t>
      </w:r>
      <w:r w:rsidRPr="00563583">
        <w:rPr>
          <w:rFonts w:asciiTheme="majorBidi" w:hAnsiTheme="majorBidi" w:cstheme="majorBidi"/>
          <w:color w:val="000000"/>
        </w:rPr>
        <w:t>2017, p. 46</w:t>
      </w:r>
    </w:p>
  </w:footnote>
  <w:footnote w:id="43">
    <w:p w14:paraId="2AF0AD4E" w14:textId="63B2EE5B" w:rsidR="00AB34B8" w:rsidRPr="004C5921" w:rsidRDefault="00AB34B8" w:rsidP="006F481C">
      <w:pPr>
        <w:jc w:val="both"/>
        <w:rPr>
          <w:rFonts w:asciiTheme="majorBidi" w:hAnsiTheme="majorBidi" w:cstheme="majorBidi"/>
          <w:sz w:val="18"/>
          <w:szCs w:val="18"/>
          <w:lang w:eastAsia="fr-FR"/>
        </w:rPr>
      </w:pPr>
      <w:r w:rsidRPr="00077D4F">
        <w:rPr>
          <w:rStyle w:val="Appelnotedebasdep"/>
          <w:rFonts w:asciiTheme="majorBidi" w:hAnsiTheme="majorBidi" w:cstheme="majorBidi"/>
          <w:sz w:val="20"/>
          <w:szCs w:val="20"/>
        </w:rPr>
        <w:footnoteRef/>
      </w:r>
      <w:r w:rsidRPr="004F7364">
        <w:rPr>
          <w:rFonts w:asciiTheme="majorBidi" w:hAnsiTheme="majorBidi" w:cstheme="majorBidi"/>
          <w:sz w:val="20"/>
          <w:szCs w:val="20"/>
        </w:rPr>
        <w:t xml:space="preserve"> </w:t>
      </w:r>
      <w:r w:rsidRPr="004C5921">
        <w:rPr>
          <w:rFonts w:asciiTheme="majorBidi" w:hAnsiTheme="majorBidi" w:cstheme="majorBidi"/>
          <w:color w:val="222222"/>
          <w:sz w:val="20"/>
          <w:szCs w:val="20"/>
          <w:shd w:val="clear" w:color="auto" w:fill="FFFFFF"/>
        </w:rPr>
        <w:t xml:space="preserve">DORIATHLB, </w:t>
      </w:r>
      <w:r>
        <w:rPr>
          <w:rFonts w:asciiTheme="majorBidi" w:hAnsiTheme="majorBidi" w:cstheme="majorBidi"/>
          <w:color w:val="222222"/>
          <w:sz w:val="20"/>
          <w:szCs w:val="20"/>
          <w:shd w:val="clear" w:color="auto" w:fill="FFFFFF"/>
        </w:rPr>
        <w:t xml:space="preserve">op cit </w:t>
      </w:r>
      <w:r w:rsidRPr="004C5921">
        <w:rPr>
          <w:rFonts w:asciiTheme="majorBidi" w:hAnsiTheme="majorBidi" w:cstheme="majorBidi"/>
          <w:color w:val="222222"/>
          <w:sz w:val="20"/>
          <w:szCs w:val="20"/>
          <w:shd w:val="clear" w:color="auto" w:fill="FFFFFF"/>
        </w:rPr>
        <w:t>, 2008,p199</w:t>
      </w:r>
    </w:p>
  </w:footnote>
  <w:footnote w:id="44">
    <w:p w14:paraId="189561F2" w14:textId="77777777" w:rsidR="00AB34B8" w:rsidRDefault="00AB34B8" w:rsidP="00E038EA">
      <w:pPr>
        <w:jc w:val="both"/>
      </w:pPr>
      <w:r w:rsidRPr="00077D4F">
        <w:rPr>
          <w:rStyle w:val="Appelnotedebasdep"/>
          <w:rFonts w:asciiTheme="majorBidi" w:hAnsiTheme="majorBidi" w:cstheme="majorBidi"/>
          <w:sz w:val="20"/>
          <w:szCs w:val="20"/>
        </w:rPr>
        <w:footnoteRef/>
      </w:r>
      <w:r w:rsidRPr="00077D4F">
        <w:rPr>
          <w:rFonts w:asciiTheme="majorBidi" w:hAnsiTheme="majorBidi" w:cstheme="majorBidi"/>
          <w:sz w:val="20"/>
          <w:szCs w:val="20"/>
          <w:lang w:eastAsia="fr-FR"/>
        </w:rPr>
        <w:t>https://www.accountingnotes.net/cost-accounting/budgetary-control/budgetary-control-meaning-objectivescontrol-advantages-and-limitations/17138 (25/04/2023 à 15 :10).</w:t>
      </w:r>
    </w:p>
  </w:footnote>
  <w:footnote w:id="45">
    <w:p w14:paraId="35DB3DAF" w14:textId="77777777" w:rsidR="00AB34B8" w:rsidRPr="00D729B9" w:rsidRDefault="00AB34B8" w:rsidP="00E038EA">
      <w:pPr>
        <w:pStyle w:val="Notedebasdepage"/>
        <w:spacing w:line="276" w:lineRule="auto"/>
        <w:jc w:val="both"/>
        <w:rPr>
          <w:rFonts w:asciiTheme="majorBidi" w:hAnsiTheme="majorBidi" w:cstheme="majorBidi"/>
        </w:rPr>
      </w:pPr>
      <w:r w:rsidRPr="00D729B9">
        <w:rPr>
          <w:rStyle w:val="Appelnotedebasdep"/>
          <w:rFonts w:asciiTheme="majorBidi" w:hAnsiTheme="majorBidi" w:cstheme="majorBidi"/>
        </w:rPr>
        <w:footnoteRef/>
      </w:r>
      <w:r w:rsidRPr="00D729B9">
        <w:rPr>
          <w:rFonts w:asciiTheme="majorBidi" w:hAnsiTheme="majorBidi" w:cstheme="majorBidi"/>
        </w:rPr>
        <w:t xml:space="preserve"> DORIATH, (Brigitte) et GOUJET, (Christian) : Gestion prévisionnelle et mesure de la performance, 3 ème édition, Dunod, Paris, 2011, P.205-206.</w:t>
      </w:r>
    </w:p>
  </w:footnote>
  <w:footnote w:id="46">
    <w:p w14:paraId="36DA21F7" w14:textId="35110CDC" w:rsidR="00AB34B8" w:rsidRPr="00083E30" w:rsidRDefault="00AB34B8" w:rsidP="00E038EA">
      <w:pPr>
        <w:pStyle w:val="Notedebasdepage"/>
        <w:spacing w:line="276" w:lineRule="auto"/>
        <w:jc w:val="both"/>
        <w:rPr>
          <w:rFonts w:asciiTheme="majorBidi" w:hAnsiTheme="majorBidi" w:cstheme="majorBidi"/>
        </w:rPr>
      </w:pPr>
      <w:r w:rsidRPr="00D729B9">
        <w:rPr>
          <w:rStyle w:val="Appelnotedebasdep"/>
          <w:rFonts w:asciiTheme="majorBidi" w:hAnsiTheme="majorBidi" w:cstheme="majorBidi"/>
        </w:rPr>
        <w:footnoteRef/>
      </w:r>
      <w:r w:rsidRPr="00D729B9">
        <w:rPr>
          <w:rFonts w:asciiTheme="majorBidi" w:hAnsiTheme="majorBidi" w:cstheme="majorBidi"/>
        </w:rPr>
        <w:t xml:space="preserve"> </w:t>
      </w:r>
      <w:r w:rsidRPr="00083E30">
        <w:rPr>
          <w:rFonts w:asciiTheme="majorBidi" w:hAnsiTheme="majorBidi" w:cstheme="majorBidi"/>
          <w:color w:val="000000"/>
        </w:rPr>
        <w:t xml:space="preserve">Gervais, </w:t>
      </w:r>
      <w:r w:rsidRPr="00D729B9">
        <w:rPr>
          <w:rFonts w:asciiTheme="majorBidi" w:hAnsiTheme="majorBidi" w:cstheme="majorBidi"/>
        </w:rPr>
        <w:t>(Michel) : Contrôle de gestion par le système budgétaire, Vuibert, Paris</w:t>
      </w:r>
      <w:r w:rsidRPr="00083E30">
        <w:rPr>
          <w:rFonts w:asciiTheme="majorBidi" w:hAnsiTheme="majorBidi" w:cstheme="majorBidi"/>
          <w:color w:val="000000"/>
        </w:rPr>
        <w:t xml:space="preserve"> </w:t>
      </w:r>
      <w:r>
        <w:rPr>
          <w:rFonts w:asciiTheme="majorBidi" w:hAnsiTheme="majorBidi" w:cstheme="majorBidi"/>
          <w:color w:val="000000"/>
        </w:rPr>
        <w:t>,</w:t>
      </w:r>
      <w:r w:rsidRPr="00083E30">
        <w:rPr>
          <w:rFonts w:asciiTheme="majorBidi" w:hAnsiTheme="majorBidi" w:cstheme="majorBidi"/>
          <w:color w:val="000000"/>
        </w:rPr>
        <w:t>1987, pp. 162-165</w:t>
      </w:r>
    </w:p>
  </w:footnote>
  <w:footnote w:id="47">
    <w:p w14:paraId="6955CDD4" w14:textId="1EC08536" w:rsidR="00AB34B8" w:rsidRDefault="00AB34B8" w:rsidP="00E038EA">
      <w:pPr>
        <w:pStyle w:val="Notedebasdepage"/>
        <w:spacing w:line="276" w:lineRule="auto"/>
        <w:jc w:val="both"/>
      </w:pPr>
      <w:r w:rsidRPr="00D729B9">
        <w:rPr>
          <w:rStyle w:val="Appelnotedebasdep"/>
          <w:rFonts w:asciiTheme="majorBidi" w:hAnsiTheme="majorBidi" w:cstheme="majorBidi"/>
        </w:rPr>
        <w:footnoteRef/>
      </w:r>
      <w:r w:rsidRPr="00D729B9">
        <w:rPr>
          <w:rFonts w:asciiTheme="majorBidi" w:hAnsiTheme="majorBidi" w:cstheme="majorBidi"/>
        </w:rPr>
        <w:t xml:space="preserve"> Gervais, </w:t>
      </w:r>
      <w:r>
        <w:rPr>
          <w:rFonts w:asciiTheme="majorBidi" w:hAnsiTheme="majorBidi" w:cstheme="majorBidi"/>
        </w:rPr>
        <w:t>Ibid</w:t>
      </w:r>
      <w:r w:rsidRPr="00D729B9">
        <w:rPr>
          <w:rFonts w:asciiTheme="majorBidi" w:hAnsiTheme="majorBidi" w:cstheme="majorBidi"/>
        </w:rPr>
        <w:t>, 1987, P.162-165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DE2BF" w14:textId="49C28FC0" w:rsidR="00AB34B8" w:rsidRDefault="00AB34B8" w:rsidP="00711253">
    <w:pPr>
      <w:pStyle w:val="En-tte"/>
      <w:rPr>
        <w:rFonts w:asciiTheme="majorBidi" w:hAnsiTheme="majorBidi" w:cstheme="majorBidi"/>
        <w:b/>
        <w:bCs/>
        <w:sz w:val="28"/>
        <w:szCs w:val="28"/>
      </w:rPr>
    </w:pPr>
    <w:r w:rsidRPr="006352CF">
      <w:rPr>
        <w:rFonts w:asciiTheme="majorBidi" w:hAnsiTheme="majorBidi" w:cstheme="majorBidi"/>
        <w:b/>
        <w:bCs/>
        <w:sz w:val="28"/>
        <w:szCs w:val="28"/>
      </w:rPr>
      <w:t>INTRODUCTION GENERALE</w:t>
    </w:r>
  </w:p>
  <w:p w14:paraId="7FC7AF7F" w14:textId="0A330F7A" w:rsidR="00AB34B8" w:rsidRDefault="00AB34B8" w:rsidP="00711253">
    <w:pPr>
      <w:pStyle w:val="En-tte"/>
      <w:rPr>
        <w:rFonts w:asciiTheme="majorBidi" w:hAnsiTheme="majorBidi" w:cstheme="majorBidi"/>
        <w:b/>
        <w:bCs/>
        <w:sz w:val="28"/>
        <w:szCs w:val="28"/>
      </w:rPr>
    </w:pPr>
    <w:r>
      <w:rPr>
        <w:rFonts w:asciiTheme="majorBidi" w:hAnsiTheme="majorBidi" w:cstheme="majorBidi"/>
        <w:b/>
        <w:bCs/>
        <w:noProof/>
        <w:sz w:val="28"/>
        <w:szCs w:val="28"/>
        <w:lang w:eastAsia="fr-FR"/>
      </w:rPr>
      <mc:AlternateContent>
        <mc:Choice Requires="wps">
          <w:drawing>
            <wp:anchor distT="0" distB="0" distL="114300" distR="114300" simplePos="0" relativeHeight="251659264" behindDoc="0" locked="0" layoutInCell="1" allowOverlap="1" wp14:anchorId="0A277980" wp14:editId="550A878F">
              <wp:simplePos x="0" y="0"/>
              <wp:positionH relativeFrom="column">
                <wp:posOffset>-6985</wp:posOffset>
              </wp:positionH>
              <wp:positionV relativeFrom="paragraph">
                <wp:posOffset>95885</wp:posOffset>
              </wp:positionV>
              <wp:extent cx="5765800" cy="12700"/>
              <wp:effectExtent l="19050" t="19050" r="25400" b="25400"/>
              <wp:wrapNone/>
              <wp:docPr id="10" name="Connecteur droit 10"/>
              <wp:cNvGraphicFramePr/>
              <a:graphic xmlns:a="http://schemas.openxmlformats.org/drawingml/2006/main">
                <a:graphicData uri="http://schemas.microsoft.com/office/word/2010/wordprocessingShape">
                  <wps:wsp>
                    <wps:cNvCnPr/>
                    <wps:spPr>
                      <a:xfrm flipV="1">
                        <a:off x="0" y="0"/>
                        <a:ext cx="5765800" cy="12700"/>
                      </a:xfrm>
                      <a:prstGeom prst="line">
                        <a:avLst/>
                      </a:prstGeom>
                      <a:ln w="38100" cmpd="thickThin">
                        <a:solidFill>
                          <a:schemeClr val="tx2">
                            <a:lumMod val="50000"/>
                            <a:lumOff val="50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429FD8EB" id="Connecteur droit 10"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7.55pt" to="453.4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" strokecolor="#4e95d9 [1631]" strokeweight="3pt">
              <v:stroke linestyle="thickThin" joinstyle="miter"/>
            </v:line>
          </w:pict>
        </mc:Fallback>
      </mc:AlternateContent>
    </w:r>
  </w:p>
  <w:p w14:paraId="0CBD4FC5" w14:textId="1BAB0031" w:rsidR="00AB34B8" w:rsidRPr="006352CF" w:rsidRDefault="00AB34B8" w:rsidP="00711253">
    <w:pPr>
      <w:pStyle w:val="En-tte"/>
      <w:rPr>
        <w:rFonts w:asciiTheme="majorBidi" w:hAnsiTheme="majorBidi" w:cstheme="majorBidi"/>
        <w:b/>
        <w:bCs/>
        <w:sz w:val="28"/>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6EBD5B" w14:textId="77777777" w:rsidR="00AB34B8" w:rsidRDefault="00AB34B8">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6EBF48" w14:textId="751A3855" w:rsidR="00AB34B8" w:rsidRPr="00C45826" w:rsidRDefault="00AB34B8" w:rsidP="00711253">
    <w:pPr>
      <w:pStyle w:val="En-tte"/>
      <w:rPr>
        <w:rFonts w:asciiTheme="majorBidi" w:hAnsiTheme="majorBidi" w:cstheme="majorBidi"/>
        <w:b/>
        <w:bCs/>
        <w:sz w:val="28"/>
        <w:szCs w:val="28"/>
      </w:rPr>
    </w:pPr>
    <w:r w:rsidRPr="00C45826">
      <w:rPr>
        <w:rFonts w:asciiTheme="majorBidi" w:hAnsiTheme="majorBidi" w:cstheme="majorBidi"/>
        <w:b/>
        <w:bCs/>
        <w:sz w:val="28"/>
        <w:szCs w:val="28"/>
      </w:rPr>
      <w:t>CHAPITRE 01 : Les concepts fondamentaux du contrôle de gestion et de la gestion budgétaire</w:t>
    </w:r>
  </w:p>
  <w:p w14:paraId="2EACEEB8" w14:textId="77777777" w:rsidR="00AB34B8" w:rsidRDefault="00AB34B8" w:rsidP="00711253">
    <w:pPr>
      <w:pStyle w:val="En-tte"/>
      <w:rPr>
        <w:rFonts w:asciiTheme="majorBidi" w:hAnsiTheme="majorBidi" w:cstheme="majorBidi"/>
        <w:b/>
        <w:bCs/>
        <w:sz w:val="28"/>
        <w:szCs w:val="28"/>
      </w:rPr>
    </w:pPr>
    <w:r>
      <w:rPr>
        <w:rFonts w:asciiTheme="majorBidi" w:hAnsiTheme="majorBidi" w:cstheme="majorBidi"/>
        <w:b/>
        <w:bCs/>
        <w:noProof/>
        <w:sz w:val="28"/>
        <w:szCs w:val="28"/>
        <w:lang w:eastAsia="fr-FR"/>
      </w:rPr>
      <mc:AlternateContent>
        <mc:Choice Requires="wps">
          <w:drawing>
            <wp:anchor distT="0" distB="0" distL="114300" distR="114300" simplePos="0" relativeHeight="251661312" behindDoc="0" locked="0" layoutInCell="1" allowOverlap="1" wp14:anchorId="5BFC4983" wp14:editId="789D14E2">
              <wp:simplePos x="0" y="0"/>
              <wp:positionH relativeFrom="column">
                <wp:posOffset>-6985</wp:posOffset>
              </wp:positionH>
              <wp:positionV relativeFrom="paragraph">
                <wp:posOffset>95885</wp:posOffset>
              </wp:positionV>
              <wp:extent cx="5765800" cy="12700"/>
              <wp:effectExtent l="19050" t="19050" r="25400" b="25400"/>
              <wp:wrapNone/>
              <wp:docPr id="23" name="Connecteur droit 23"/>
              <wp:cNvGraphicFramePr/>
              <a:graphic xmlns:a="http://schemas.openxmlformats.org/drawingml/2006/main">
                <a:graphicData uri="http://schemas.microsoft.com/office/word/2010/wordprocessingShape">
                  <wps:wsp>
                    <wps:cNvCnPr/>
                    <wps:spPr>
                      <a:xfrm flipV="1">
                        <a:off x="0" y="0"/>
                        <a:ext cx="5765800" cy="12700"/>
                      </a:xfrm>
                      <a:prstGeom prst="line">
                        <a:avLst/>
                      </a:prstGeom>
                      <a:ln w="38100" cmpd="thickThin">
                        <a:solidFill>
                          <a:schemeClr val="tx2">
                            <a:lumMod val="50000"/>
                            <a:lumOff val="50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5D5B7D1C" id="Connecteur droit 23"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7.55pt" to="453.4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" strokecolor="#4e95d9 [1631]" strokeweight="3pt">
              <v:stroke linestyle="thickThin" joinstyle="miter"/>
            </v:line>
          </w:pict>
        </mc:Fallback>
      </mc:AlternateContent>
    </w:r>
  </w:p>
  <w:p w14:paraId="3B4EE036" w14:textId="77777777" w:rsidR="00AB34B8" w:rsidRPr="006352CF" w:rsidRDefault="00AB34B8" w:rsidP="00711253">
    <w:pPr>
      <w:pStyle w:val="En-tte"/>
      <w:rPr>
        <w:rFonts w:asciiTheme="majorBidi" w:hAnsiTheme="majorBidi" w:cstheme="majorBidi"/>
        <w:b/>
        <w:bCs/>
        <w:sz w:val="28"/>
        <w:szCs w:val="2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FE7D39" w14:textId="0989D1CE" w:rsidR="00AB34B8" w:rsidRPr="00C45826" w:rsidRDefault="00AB34B8" w:rsidP="00711253">
    <w:pPr>
      <w:pStyle w:val="En-tte"/>
      <w:rPr>
        <w:rFonts w:asciiTheme="majorBidi" w:hAnsiTheme="majorBidi" w:cstheme="majorBidi"/>
        <w:b/>
        <w:bCs/>
        <w:sz w:val="28"/>
        <w:szCs w:val="28"/>
      </w:rPr>
    </w:pPr>
    <w:r w:rsidRPr="00C45826">
      <w:rPr>
        <w:rFonts w:asciiTheme="majorBidi" w:hAnsiTheme="majorBidi" w:cstheme="majorBidi"/>
        <w:b/>
        <w:bCs/>
        <w:sz w:val="28"/>
        <w:szCs w:val="28"/>
      </w:rPr>
      <w:t>CHAPITRE 0</w:t>
    </w:r>
    <w:r>
      <w:rPr>
        <w:rFonts w:asciiTheme="majorBidi" w:hAnsiTheme="majorBidi" w:cstheme="majorBidi"/>
        <w:b/>
        <w:bCs/>
        <w:sz w:val="28"/>
        <w:szCs w:val="28"/>
      </w:rPr>
      <w:t>2</w:t>
    </w:r>
    <w:r w:rsidRPr="00C45826">
      <w:rPr>
        <w:rFonts w:asciiTheme="majorBidi" w:hAnsiTheme="majorBidi" w:cstheme="majorBidi"/>
        <w:b/>
        <w:bCs/>
        <w:sz w:val="28"/>
        <w:szCs w:val="28"/>
      </w:rPr>
      <w:t xml:space="preserve"> : </w:t>
    </w:r>
    <w:r w:rsidRPr="008C0FBF">
      <w:rPr>
        <w:rFonts w:asciiTheme="majorBidi" w:hAnsiTheme="majorBidi" w:cstheme="majorBidi"/>
        <w:b/>
        <w:bCs/>
        <w:sz w:val="28"/>
        <w:szCs w:val="28"/>
      </w:rPr>
      <w:t>Le processus budgétaire au sein de l’entreprise Algérie Telecom</w:t>
    </w:r>
  </w:p>
  <w:p w14:paraId="4716C02C" w14:textId="77777777" w:rsidR="00AB34B8" w:rsidRDefault="00AB34B8" w:rsidP="00711253">
    <w:pPr>
      <w:pStyle w:val="En-tte"/>
      <w:rPr>
        <w:rFonts w:asciiTheme="majorBidi" w:hAnsiTheme="majorBidi" w:cstheme="majorBidi"/>
        <w:b/>
        <w:bCs/>
        <w:sz w:val="28"/>
        <w:szCs w:val="28"/>
      </w:rPr>
    </w:pPr>
    <w:r>
      <w:rPr>
        <w:rFonts w:asciiTheme="majorBidi" w:hAnsiTheme="majorBidi" w:cstheme="majorBidi"/>
        <w:b/>
        <w:bCs/>
        <w:noProof/>
        <w:sz w:val="28"/>
        <w:szCs w:val="28"/>
        <w:lang w:eastAsia="fr-FR"/>
      </w:rPr>
      <mc:AlternateContent>
        <mc:Choice Requires="wps">
          <w:drawing>
            <wp:anchor distT="0" distB="0" distL="114300" distR="114300" simplePos="0" relativeHeight="251663360" behindDoc="0" locked="0" layoutInCell="1" allowOverlap="1" wp14:anchorId="2FD77647" wp14:editId="77E14334">
              <wp:simplePos x="0" y="0"/>
              <wp:positionH relativeFrom="column">
                <wp:posOffset>-6985</wp:posOffset>
              </wp:positionH>
              <wp:positionV relativeFrom="paragraph">
                <wp:posOffset>95885</wp:posOffset>
              </wp:positionV>
              <wp:extent cx="5765800" cy="12700"/>
              <wp:effectExtent l="19050" t="19050" r="25400" b="25400"/>
              <wp:wrapNone/>
              <wp:docPr id="25" name="Connecteur droit 25"/>
              <wp:cNvGraphicFramePr/>
              <a:graphic xmlns:a="http://schemas.openxmlformats.org/drawingml/2006/main">
                <a:graphicData uri="http://schemas.microsoft.com/office/word/2010/wordprocessingShape">
                  <wps:wsp>
                    <wps:cNvCnPr/>
                    <wps:spPr>
                      <a:xfrm flipV="1">
                        <a:off x="0" y="0"/>
                        <a:ext cx="5765800" cy="12700"/>
                      </a:xfrm>
                      <a:prstGeom prst="line">
                        <a:avLst/>
                      </a:prstGeom>
                      <a:ln w="38100" cmpd="thickThin">
                        <a:solidFill>
                          <a:schemeClr val="tx2">
                            <a:lumMod val="50000"/>
                            <a:lumOff val="50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3135DC25" id="Connecteur droit 25"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7.55pt" to="453.4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" strokecolor="#4e95d9 [1631]" strokeweight="3pt">
              <v:stroke linestyle="thickThin" joinstyle="miter"/>
            </v:line>
          </w:pict>
        </mc:Fallback>
      </mc:AlternateContent>
    </w:r>
  </w:p>
  <w:p w14:paraId="4ED72C9E" w14:textId="77777777" w:rsidR="00AB34B8" w:rsidRPr="006352CF" w:rsidRDefault="00AB34B8" w:rsidP="00711253">
    <w:pPr>
      <w:pStyle w:val="En-tte"/>
      <w:rPr>
        <w:rFonts w:asciiTheme="majorBidi" w:hAnsiTheme="majorBidi" w:cstheme="majorBidi"/>
        <w:b/>
        <w:bCs/>
        <w:sz w:val="28"/>
        <w:szCs w:val="2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8FB023" w14:textId="342EB815" w:rsidR="00AB34B8" w:rsidRPr="00C45826" w:rsidRDefault="00AB34B8" w:rsidP="00C45826">
    <w:pPr>
      <w:pStyle w:val="En-tte"/>
      <w:rPr>
        <w:rFonts w:asciiTheme="majorBidi" w:hAnsiTheme="majorBidi" w:cstheme="majorBidi"/>
        <w:b/>
        <w:bCs/>
        <w:sz w:val="28"/>
        <w:szCs w:val="28"/>
      </w:rPr>
    </w:pPr>
    <w:r w:rsidRPr="00C45826">
      <w:rPr>
        <w:rFonts w:asciiTheme="majorBidi" w:hAnsiTheme="majorBidi" w:cstheme="majorBidi"/>
        <w:b/>
        <w:bCs/>
        <w:sz w:val="28"/>
        <w:szCs w:val="28"/>
      </w:rPr>
      <w:t>C</w:t>
    </w:r>
    <w:r>
      <w:rPr>
        <w:rFonts w:asciiTheme="majorBidi" w:hAnsiTheme="majorBidi" w:cstheme="majorBidi"/>
        <w:b/>
        <w:bCs/>
        <w:sz w:val="28"/>
        <w:szCs w:val="28"/>
      </w:rPr>
      <w:t>ONCLUSIO GENERALE</w:t>
    </w:r>
  </w:p>
  <w:p w14:paraId="7164FA77" w14:textId="77777777" w:rsidR="00AB34B8" w:rsidRDefault="00AB34B8" w:rsidP="00711253">
    <w:pPr>
      <w:pStyle w:val="En-tte"/>
      <w:rPr>
        <w:rFonts w:asciiTheme="majorBidi" w:hAnsiTheme="majorBidi" w:cstheme="majorBidi"/>
        <w:b/>
        <w:bCs/>
        <w:sz w:val="28"/>
        <w:szCs w:val="28"/>
      </w:rPr>
    </w:pPr>
    <w:r>
      <w:rPr>
        <w:rFonts w:asciiTheme="majorBidi" w:hAnsiTheme="majorBidi" w:cstheme="majorBidi"/>
        <w:b/>
        <w:bCs/>
        <w:noProof/>
        <w:sz w:val="28"/>
        <w:szCs w:val="28"/>
        <w:lang w:eastAsia="fr-FR"/>
      </w:rPr>
      <mc:AlternateContent>
        <mc:Choice Requires="wps">
          <w:drawing>
            <wp:anchor distT="0" distB="0" distL="114300" distR="114300" simplePos="0" relativeHeight="251665408" behindDoc="0" locked="0" layoutInCell="1" allowOverlap="1" wp14:anchorId="21B55713" wp14:editId="44DA2FFF">
              <wp:simplePos x="0" y="0"/>
              <wp:positionH relativeFrom="column">
                <wp:posOffset>-6985</wp:posOffset>
              </wp:positionH>
              <wp:positionV relativeFrom="paragraph">
                <wp:posOffset>95885</wp:posOffset>
              </wp:positionV>
              <wp:extent cx="5765800" cy="12700"/>
              <wp:effectExtent l="19050" t="19050" r="25400" b="25400"/>
              <wp:wrapNone/>
              <wp:docPr id="26" name="Connecteur droit 26"/>
              <wp:cNvGraphicFramePr/>
              <a:graphic xmlns:a="http://schemas.openxmlformats.org/drawingml/2006/main">
                <a:graphicData uri="http://schemas.microsoft.com/office/word/2010/wordprocessingShape">
                  <wps:wsp>
                    <wps:cNvCnPr/>
                    <wps:spPr>
                      <a:xfrm flipV="1">
                        <a:off x="0" y="0"/>
                        <a:ext cx="5765800" cy="12700"/>
                      </a:xfrm>
                      <a:prstGeom prst="line">
                        <a:avLst/>
                      </a:prstGeom>
                      <a:ln w="38100" cmpd="thickThin">
                        <a:solidFill>
                          <a:schemeClr val="tx2">
                            <a:lumMod val="50000"/>
                            <a:lumOff val="50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656A2524" id="Connecteur droit 26"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7.55pt" to="453.4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" strokecolor="#4e95d9 [1631]" strokeweight="3pt">
              <v:stroke linestyle="thickThin" joinstyle="miter"/>
            </v:line>
          </w:pict>
        </mc:Fallback>
      </mc:AlternateContent>
    </w:r>
  </w:p>
  <w:p w14:paraId="49E99992" w14:textId="77777777" w:rsidR="00AB34B8" w:rsidRPr="006352CF" w:rsidRDefault="00AB34B8" w:rsidP="00711253">
    <w:pPr>
      <w:pStyle w:val="En-tte"/>
      <w:rPr>
        <w:rFonts w:asciiTheme="majorBidi" w:hAnsiTheme="majorBidi" w:cstheme="majorBidi"/>
        <w:b/>
        <w:bCs/>
        <w:sz w:val="28"/>
        <w:szCs w:val="28"/>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66926A" w14:textId="574CE116" w:rsidR="00AB34B8" w:rsidRPr="00C45826" w:rsidRDefault="00AB34B8" w:rsidP="00C45826">
    <w:pPr>
      <w:pStyle w:val="En-tte"/>
      <w:rPr>
        <w:rFonts w:asciiTheme="majorBidi" w:hAnsiTheme="majorBidi" w:cstheme="majorBidi"/>
        <w:b/>
        <w:bCs/>
        <w:sz w:val="28"/>
        <w:szCs w:val="28"/>
      </w:rPr>
    </w:pPr>
    <w:r>
      <w:rPr>
        <w:rFonts w:asciiTheme="majorBidi" w:hAnsiTheme="majorBidi" w:cstheme="majorBidi"/>
        <w:b/>
        <w:bCs/>
        <w:sz w:val="28"/>
        <w:szCs w:val="28"/>
      </w:rPr>
      <w:t>BIBLIGRAPHIE</w:t>
    </w:r>
  </w:p>
  <w:p w14:paraId="700BCED0" w14:textId="77777777" w:rsidR="00AB34B8" w:rsidRDefault="00AB34B8" w:rsidP="00711253">
    <w:pPr>
      <w:pStyle w:val="En-tte"/>
      <w:rPr>
        <w:rFonts w:asciiTheme="majorBidi" w:hAnsiTheme="majorBidi" w:cstheme="majorBidi"/>
        <w:b/>
        <w:bCs/>
        <w:sz w:val="28"/>
        <w:szCs w:val="28"/>
      </w:rPr>
    </w:pPr>
    <w:r>
      <w:rPr>
        <w:rFonts w:asciiTheme="majorBidi" w:hAnsiTheme="majorBidi" w:cstheme="majorBidi"/>
        <w:b/>
        <w:bCs/>
        <w:noProof/>
        <w:sz w:val="28"/>
        <w:szCs w:val="28"/>
        <w:lang w:eastAsia="fr-FR"/>
      </w:rPr>
      <mc:AlternateContent>
        <mc:Choice Requires="wps">
          <w:drawing>
            <wp:anchor distT="0" distB="0" distL="114300" distR="114300" simplePos="0" relativeHeight="251667456" behindDoc="0" locked="0" layoutInCell="1" allowOverlap="1" wp14:anchorId="66FEBB78" wp14:editId="556AEA1F">
              <wp:simplePos x="0" y="0"/>
              <wp:positionH relativeFrom="column">
                <wp:posOffset>-6985</wp:posOffset>
              </wp:positionH>
              <wp:positionV relativeFrom="paragraph">
                <wp:posOffset>95885</wp:posOffset>
              </wp:positionV>
              <wp:extent cx="5765800" cy="12700"/>
              <wp:effectExtent l="19050" t="19050" r="25400" b="25400"/>
              <wp:wrapNone/>
              <wp:docPr id="27" name="Connecteur droit 27"/>
              <wp:cNvGraphicFramePr/>
              <a:graphic xmlns:a="http://schemas.openxmlformats.org/drawingml/2006/main">
                <a:graphicData uri="http://schemas.microsoft.com/office/word/2010/wordprocessingShape">
                  <wps:wsp>
                    <wps:cNvCnPr/>
                    <wps:spPr>
                      <a:xfrm flipV="1">
                        <a:off x="0" y="0"/>
                        <a:ext cx="5765800" cy="12700"/>
                      </a:xfrm>
                      <a:prstGeom prst="line">
                        <a:avLst/>
                      </a:prstGeom>
                      <a:ln w="38100" cmpd="thickThin">
                        <a:solidFill>
                          <a:schemeClr val="tx2">
                            <a:lumMod val="50000"/>
                            <a:lumOff val="50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0738234E" id="Connecteur droit 27"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7.55pt" to="453.4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" strokecolor="#4e95d9 [1631]" strokeweight="3pt">
              <v:stroke linestyle="thickThin" joinstyle="miter"/>
            </v:line>
          </w:pict>
        </mc:Fallback>
      </mc:AlternateContent>
    </w:r>
  </w:p>
  <w:p w14:paraId="1009E765" w14:textId="77777777" w:rsidR="00AB34B8" w:rsidRPr="006352CF" w:rsidRDefault="00AB34B8" w:rsidP="00711253">
    <w:pPr>
      <w:pStyle w:val="En-tte"/>
      <w:rPr>
        <w:rFonts w:asciiTheme="majorBidi" w:hAnsiTheme="majorBidi" w:cstheme="majorBidi"/>
        <w:b/>
        <w:bCs/>
        <w:sz w:val="28"/>
        <w:szCs w:val="28"/>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049421" w14:textId="3DA15D2A" w:rsidR="00AB34B8" w:rsidRPr="00C45826" w:rsidRDefault="00AB34B8" w:rsidP="00C45826">
    <w:pPr>
      <w:pStyle w:val="En-tte"/>
      <w:rPr>
        <w:rFonts w:asciiTheme="majorBidi" w:hAnsiTheme="majorBidi" w:cstheme="majorBidi"/>
        <w:b/>
        <w:bCs/>
        <w:sz w:val="28"/>
        <w:szCs w:val="28"/>
      </w:rPr>
    </w:pPr>
    <w:r>
      <w:rPr>
        <w:rFonts w:asciiTheme="majorBidi" w:hAnsiTheme="majorBidi" w:cstheme="majorBidi"/>
        <w:b/>
        <w:bCs/>
        <w:sz w:val="28"/>
        <w:szCs w:val="28"/>
      </w:rPr>
      <w:t>ANNEXES</w:t>
    </w:r>
  </w:p>
  <w:p w14:paraId="38B3A0D6" w14:textId="77777777" w:rsidR="00AB34B8" w:rsidRDefault="00AB34B8" w:rsidP="00711253">
    <w:pPr>
      <w:pStyle w:val="En-tte"/>
      <w:rPr>
        <w:rFonts w:asciiTheme="majorBidi" w:hAnsiTheme="majorBidi" w:cstheme="majorBidi"/>
        <w:b/>
        <w:bCs/>
        <w:sz w:val="28"/>
        <w:szCs w:val="28"/>
      </w:rPr>
    </w:pPr>
    <w:r>
      <w:rPr>
        <w:rFonts w:asciiTheme="majorBidi" w:hAnsiTheme="majorBidi" w:cstheme="majorBidi"/>
        <w:b/>
        <w:bCs/>
        <w:noProof/>
        <w:sz w:val="28"/>
        <w:szCs w:val="28"/>
        <w:lang w:eastAsia="fr-FR"/>
      </w:rPr>
      <mc:AlternateContent>
        <mc:Choice Requires="wps">
          <w:drawing>
            <wp:anchor distT="0" distB="0" distL="114300" distR="114300" simplePos="0" relativeHeight="251669504" behindDoc="0" locked="0" layoutInCell="1" allowOverlap="1" wp14:anchorId="279BE382" wp14:editId="2273C8C5">
              <wp:simplePos x="0" y="0"/>
              <wp:positionH relativeFrom="column">
                <wp:posOffset>-6985</wp:posOffset>
              </wp:positionH>
              <wp:positionV relativeFrom="paragraph">
                <wp:posOffset>95885</wp:posOffset>
              </wp:positionV>
              <wp:extent cx="5765800" cy="12700"/>
              <wp:effectExtent l="19050" t="19050" r="25400" b="25400"/>
              <wp:wrapNone/>
              <wp:docPr id="28" name="Connecteur droit 28"/>
              <wp:cNvGraphicFramePr/>
              <a:graphic xmlns:a="http://schemas.openxmlformats.org/drawingml/2006/main">
                <a:graphicData uri="http://schemas.microsoft.com/office/word/2010/wordprocessingShape">
                  <wps:wsp>
                    <wps:cNvCnPr/>
                    <wps:spPr>
                      <a:xfrm flipV="1">
                        <a:off x="0" y="0"/>
                        <a:ext cx="5765800" cy="12700"/>
                      </a:xfrm>
                      <a:prstGeom prst="line">
                        <a:avLst/>
                      </a:prstGeom>
                      <a:ln w="38100" cmpd="thickThin">
                        <a:solidFill>
                          <a:schemeClr val="tx2">
                            <a:lumMod val="50000"/>
                            <a:lumOff val="50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07E2E6D2" id="Connecteur droit 28"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7.55pt" to="453.4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" strokecolor="#4e95d9 [1631]" strokeweight="3pt">
              <v:stroke linestyle="thickThin" joinstyle="miter"/>
            </v:line>
          </w:pict>
        </mc:Fallback>
      </mc:AlternateContent>
    </w:r>
  </w:p>
  <w:p w14:paraId="5E2E0C54" w14:textId="77777777" w:rsidR="00AB34B8" w:rsidRPr="006352CF" w:rsidRDefault="00AB34B8" w:rsidP="00711253">
    <w:pPr>
      <w:pStyle w:val="En-tte"/>
      <w:rPr>
        <w:rFonts w:asciiTheme="majorBidi" w:hAnsiTheme="majorBidi" w:cstheme="majorBidi"/>
        <w:b/>
        <w:bCs/>
        <w:sz w:val="28"/>
        <w:szCs w:val="28"/>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ADB3DA" w14:textId="15075ECF" w:rsidR="00AB34B8" w:rsidRPr="00C45826" w:rsidRDefault="00AB34B8" w:rsidP="00C45826">
    <w:pPr>
      <w:pStyle w:val="En-tte"/>
      <w:rPr>
        <w:rFonts w:asciiTheme="majorBidi" w:hAnsiTheme="majorBidi" w:cstheme="majorBidi"/>
        <w:b/>
        <w:bCs/>
        <w:sz w:val="28"/>
        <w:szCs w:val="28"/>
      </w:rPr>
    </w:pPr>
    <w:r>
      <w:rPr>
        <w:rFonts w:asciiTheme="majorBidi" w:hAnsiTheme="majorBidi" w:cstheme="majorBidi"/>
        <w:b/>
        <w:bCs/>
        <w:sz w:val="28"/>
        <w:szCs w:val="28"/>
      </w:rPr>
      <w:t>TABLE DE MATIERE</w:t>
    </w:r>
  </w:p>
  <w:p w14:paraId="6FD9727B" w14:textId="77777777" w:rsidR="00AB34B8" w:rsidRDefault="00AB34B8" w:rsidP="00711253">
    <w:pPr>
      <w:pStyle w:val="En-tte"/>
      <w:rPr>
        <w:rFonts w:asciiTheme="majorBidi" w:hAnsiTheme="majorBidi" w:cstheme="majorBidi"/>
        <w:b/>
        <w:bCs/>
        <w:sz w:val="28"/>
        <w:szCs w:val="28"/>
      </w:rPr>
    </w:pPr>
    <w:r>
      <w:rPr>
        <w:rFonts w:asciiTheme="majorBidi" w:hAnsiTheme="majorBidi" w:cstheme="majorBidi"/>
        <w:b/>
        <w:bCs/>
        <w:noProof/>
        <w:sz w:val="28"/>
        <w:szCs w:val="28"/>
        <w:lang w:eastAsia="fr-FR"/>
      </w:rPr>
      <mc:AlternateContent>
        <mc:Choice Requires="wps">
          <w:drawing>
            <wp:anchor distT="0" distB="0" distL="114300" distR="114300" simplePos="0" relativeHeight="251671552" behindDoc="0" locked="0" layoutInCell="1" allowOverlap="1" wp14:anchorId="07F2184E" wp14:editId="6D9B0A80">
              <wp:simplePos x="0" y="0"/>
              <wp:positionH relativeFrom="column">
                <wp:posOffset>-6985</wp:posOffset>
              </wp:positionH>
              <wp:positionV relativeFrom="paragraph">
                <wp:posOffset>95885</wp:posOffset>
              </wp:positionV>
              <wp:extent cx="5765800" cy="12700"/>
              <wp:effectExtent l="19050" t="19050" r="25400" b="25400"/>
              <wp:wrapNone/>
              <wp:docPr id="29" name="Connecteur droit 29"/>
              <wp:cNvGraphicFramePr/>
              <a:graphic xmlns:a="http://schemas.openxmlformats.org/drawingml/2006/main">
                <a:graphicData uri="http://schemas.microsoft.com/office/word/2010/wordprocessingShape">
                  <wps:wsp>
                    <wps:cNvCnPr/>
                    <wps:spPr>
                      <a:xfrm flipV="1">
                        <a:off x="0" y="0"/>
                        <a:ext cx="5765800" cy="12700"/>
                      </a:xfrm>
                      <a:prstGeom prst="line">
                        <a:avLst/>
                      </a:prstGeom>
                      <a:ln w="38100" cmpd="thickThin">
                        <a:solidFill>
                          <a:schemeClr val="tx2">
                            <a:lumMod val="50000"/>
                            <a:lumOff val="50000"/>
                          </a:schemeClr>
                        </a:solidFill>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188DACF0" id="Connecteur droit 29"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7.55pt" to="453.4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" strokecolor="#4e95d9 [1631]" strokeweight="3pt">
              <v:stroke linestyle="thickThin" joinstyle="miter"/>
            </v:line>
          </w:pict>
        </mc:Fallback>
      </mc:AlternateContent>
    </w:r>
  </w:p>
  <w:p w14:paraId="0409D30C" w14:textId="77777777" w:rsidR="00AB34B8" w:rsidRPr="006352CF" w:rsidRDefault="00AB34B8" w:rsidP="00711253">
    <w:pPr>
      <w:pStyle w:val="En-tte"/>
      <w:rPr>
        <w:rFonts w:asciiTheme="majorBidi" w:hAnsiTheme="majorBidi" w:cstheme="majorBidi"/>
        <w:b/>
        <w:bCs/>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8486F"/>
    <w:multiLevelType w:val="hybridMultilevel"/>
    <w:tmpl w:val="FD2C165E"/>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018043F9"/>
    <w:multiLevelType w:val="hybridMultilevel"/>
    <w:tmpl w:val="ED402EF2"/>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
    <w:nsid w:val="01CB6BE7"/>
    <w:multiLevelType w:val="multilevel"/>
    <w:tmpl w:val="4E7AF5B8"/>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1E979F2"/>
    <w:multiLevelType w:val="hybridMultilevel"/>
    <w:tmpl w:val="2E2A6C20"/>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nsid w:val="025A70B4"/>
    <w:multiLevelType w:val="hybridMultilevel"/>
    <w:tmpl w:val="E2D6D3F0"/>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029B252E"/>
    <w:multiLevelType w:val="multilevel"/>
    <w:tmpl w:val="40C64C38"/>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619153C"/>
    <w:multiLevelType w:val="hybridMultilevel"/>
    <w:tmpl w:val="99B89AD0"/>
    <w:lvl w:ilvl="0" w:tplc="97287AC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06440348"/>
    <w:multiLevelType w:val="multilevel"/>
    <w:tmpl w:val="1152F7A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nsid w:val="06E94D2D"/>
    <w:multiLevelType w:val="hybridMultilevel"/>
    <w:tmpl w:val="C068E53E"/>
    <w:lvl w:ilvl="0" w:tplc="97287AC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07644264"/>
    <w:multiLevelType w:val="hybridMultilevel"/>
    <w:tmpl w:val="DEDE8A60"/>
    <w:lvl w:ilvl="0" w:tplc="408489AC">
      <w:start w:val="1"/>
      <w:numFmt w:val="decimal"/>
      <w:lvlText w:val="6.1.%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07BD0A01"/>
    <w:multiLevelType w:val="hybridMultilevel"/>
    <w:tmpl w:val="747630EC"/>
    <w:lvl w:ilvl="0" w:tplc="E508E4B4">
      <w:start w:val="1"/>
      <w:numFmt w:val="decimal"/>
      <w:lvlText w:val="3.%1."/>
      <w:lvlJc w:val="left"/>
      <w:pPr>
        <w:ind w:left="720" w:hanging="360"/>
      </w:pPr>
      <w:rPr>
        <w:rFonts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08EE31DB"/>
    <w:multiLevelType w:val="hybridMultilevel"/>
    <w:tmpl w:val="AF6A22A4"/>
    <w:lvl w:ilvl="0" w:tplc="C9FA1A40">
      <w:start w:val="1"/>
      <w:numFmt w:val="decimal"/>
      <w:lvlText w:val="4.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09A3534E"/>
    <w:multiLevelType w:val="hybridMultilevel"/>
    <w:tmpl w:val="41D84EC0"/>
    <w:lvl w:ilvl="0" w:tplc="2000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09B80774"/>
    <w:multiLevelType w:val="hybridMultilevel"/>
    <w:tmpl w:val="1F929E10"/>
    <w:lvl w:ilvl="0" w:tplc="97287AC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09E53978"/>
    <w:multiLevelType w:val="hybridMultilevel"/>
    <w:tmpl w:val="15FCDA5E"/>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0B265749"/>
    <w:multiLevelType w:val="hybridMultilevel"/>
    <w:tmpl w:val="98A20D5A"/>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nsid w:val="0B296532"/>
    <w:multiLevelType w:val="multilevel"/>
    <w:tmpl w:val="B6542D5C"/>
    <w:lvl w:ilvl="0">
      <w:start w:val="1"/>
      <w:numFmt w:val="bullet"/>
      <w:lvlText w:val=""/>
      <w:lvlJc w:val="left"/>
      <w:pPr>
        <w:tabs>
          <w:tab w:val="num" w:pos="360"/>
        </w:tabs>
        <w:ind w:left="360" w:hanging="360"/>
      </w:pPr>
      <w:rPr>
        <w:rFonts w:ascii="Symbol" w:hAnsi="Symbol" w:hint="default"/>
        <w:sz w:val="20"/>
      </w:rPr>
    </w:lvl>
    <w:lvl w:ilvl="1">
      <w:numFmt w:val="bullet"/>
      <w:lvlText w:val="-"/>
      <w:lvlJc w:val="left"/>
      <w:pPr>
        <w:ind w:left="72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0BFE4C19"/>
    <w:multiLevelType w:val="hybridMultilevel"/>
    <w:tmpl w:val="0512FBEA"/>
    <w:lvl w:ilvl="0" w:tplc="BD722F06">
      <w:start w:val="1"/>
      <w:numFmt w:val="decimal"/>
      <w:lvlText w:val="3.2.%1."/>
      <w:lvlJc w:val="left"/>
      <w:pPr>
        <w:ind w:left="720" w:hanging="360"/>
      </w:pPr>
      <w:rPr>
        <w:rFonts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0E1A28BB"/>
    <w:multiLevelType w:val="multilevel"/>
    <w:tmpl w:val="A0A2E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0F01563C"/>
    <w:multiLevelType w:val="hybridMultilevel"/>
    <w:tmpl w:val="5ECAC0FE"/>
    <w:lvl w:ilvl="0" w:tplc="BB344C20">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nsid w:val="1199608C"/>
    <w:multiLevelType w:val="multilevel"/>
    <w:tmpl w:val="1199608C"/>
    <w:lvl w:ilvl="0">
      <w:start w:val="1"/>
      <w:numFmt w:val="decimal"/>
      <w:lvlText w:val="%1."/>
      <w:lvlJc w:val="left"/>
      <w:pPr>
        <w:ind w:left="502" w:hanging="360"/>
      </w:pPr>
      <w:rPr>
        <w:rFonts w:hint="default"/>
        <w:b/>
        <w:bCs/>
      </w:rPr>
    </w:lvl>
    <w:lvl w:ilvl="1">
      <w:start w:val="1"/>
      <w:numFmt w:val="decimal"/>
      <w:isLgl/>
      <w:lvlText w:val="%1.%2."/>
      <w:lvlJc w:val="left"/>
      <w:pPr>
        <w:ind w:left="1266" w:hanging="480"/>
      </w:pPr>
      <w:rPr>
        <w:rFonts w:hint="default"/>
      </w:rPr>
    </w:lvl>
    <w:lvl w:ilvl="2">
      <w:start w:val="1"/>
      <w:numFmt w:val="decimal"/>
      <w:isLgl/>
      <w:lvlText w:val="%1.%2.%3."/>
      <w:lvlJc w:val="left"/>
      <w:pPr>
        <w:ind w:left="1430" w:hanging="720"/>
      </w:pPr>
      <w:rPr>
        <w:rFonts w:hint="default"/>
        <w:b/>
        <w:bCs/>
      </w:rPr>
    </w:lvl>
    <w:lvl w:ilvl="3">
      <w:start w:val="1"/>
      <w:numFmt w:val="decimal"/>
      <w:isLgl/>
      <w:lvlText w:val="%1.%2.%3.%4."/>
      <w:lvlJc w:val="left"/>
      <w:pPr>
        <w:ind w:left="2358" w:hanging="720"/>
      </w:pPr>
      <w:rPr>
        <w:rFonts w:hint="default"/>
      </w:rPr>
    </w:lvl>
    <w:lvl w:ilvl="4">
      <w:start w:val="1"/>
      <w:numFmt w:val="decimal"/>
      <w:isLgl/>
      <w:lvlText w:val="%1.%2.%3.%4.%5."/>
      <w:lvlJc w:val="left"/>
      <w:pPr>
        <w:ind w:left="3144" w:hanging="1080"/>
      </w:pPr>
      <w:rPr>
        <w:rFonts w:hint="default"/>
      </w:rPr>
    </w:lvl>
    <w:lvl w:ilvl="5">
      <w:start w:val="1"/>
      <w:numFmt w:val="decimal"/>
      <w:isLgl/>
      <w:lvlText w:val="%1.%2.%3.%4.%5.%6."/>
      <w:lvlJc w:val="left"/>
      <w:pPr>
        <w:ind w:left="3570" w:hanging="1080"/>
      </w:pPr>
      <w:rPr>
        <w:rFonts w:hint="default"/>
      </w:rPr>
    </w:lvl>
    <w:lvl w:ilvl="6">
      <w:start w:val="1"/>
      <w:numFmt w:val="decimal"/>
      <w:isLgl/>
      <w:lvlText w:val="%1.%2.%3.%4.%5.%6.%7."/>
      <w:lvlJc w:val="left"/>
      <w:pPr>
        <w:ind w:left="4356" w:hanging="1440"/>
      </w:pPr>
      <w:rPr>
        <w:rFonts w:hint="default"/>
      </w:rPr>
    </w:lvl>
    <w:lvl w:ilvl="7">
      <w:start w:val="1"/>
      <w:numFmt w:val="decimal"/>
      <w:isLgl/>
      <w:lvlText w:val="%1.%2.%3.%4.%5.%6.%7.%8."/>
      <w:lvlJc w:val="left"/>
      <w:pPr>
        <w:ind w:left="4782" w:hanging="1440"/>
      </w:pPr>
      <w:rPr>
        <w:rFonts w:hint="default"/>
      </w:rPr>
    </w:lvl>
    <w:lvl w:ilvl="8">
      <w:start w:val="1"/>
      <w:numFmt w:val="decimal"/>
      <w:isLgl/>
      <w:lvlText w:val="%1.%2.%3.%4.%5.%6.%7.%8.%9."/>
      <w:lvlJc w:val="left"/>
      <w:pPr>
        <w:ind w:left="5568" w:hanging="1800"/>
      </w:pPr>
      <w:rPr>
        <w:rFonts w:hint="default"/>
      </w:rPr>
    </w:lvl>
  </w:abstractNum>
  <w:abstractNum w:abstractNumId="21">
    <w:nsid w:val="1306772A"/>
    <w:multiLevelType w:val="multilevel"/>
    <w:tmpl w:val="CEC6177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14E7205F"/>
    <w:multiLevelType w:val="hybridMultilevel"/>
    <w:tmpl w:val="58A2D4CA"/>
    <w:lvl w:ilvl="0" w:tplc="2B189EEE">
      <w:start w:val="1"/>
      <w:numFmt w:val="decimal"/>
      <w:lvlText w:val="3.%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nsid w:val="15BD179D"/>
    <w:multiLevelType w:val="hybridMultilevel"/>
    <w:tmpl w:val="131A25A4"/>
    <w:lvl w:ilvl="0" w:tplc="97287AC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nsid w:val="16EB589F"/>
    <w:multiLevelType w:val="multilevel"/>
    <w:tmpl w:val="1A8A955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18B517BE"/>
    <w:multiLevelType w:val="hybridMultilevel"/>
    <w:tmpl w:val="45485452"/>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nsid w:val="19870E51"/>
    <w:multiLevelType w:val="hybridMultilevel"/>
    <w:tmpl w:val="F6CEFDEA"/>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nsid w:val="1AAB5074"/>
    <w:multiLevelType w:val="hybridMultilevel"/>
    <w:tmpl w:val="65DAF970"/>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
    <w:nsid w:val="1B69318D"/>
    <w:multiLevelType w:val="hybridMultilevel"/>
    <w:tmpl w:val="448E86DE"/>
    <w:lvl w:ilvl="0" w:tplc="BCAEE4D6">
      <w:start w:val="1"/>
      <w:numFmt w:val="decimal"/>
      <w:lvlText w:val="3.%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9">
    <w:nsid w:val="1BD333E0"/>
    <w:multiLevelType w:val="multilevel"/>
    <w:tmpl w:val="B8040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1C94055B"/>
    <w:multiLevelType w:val="hybridMultilevel"/>
    <w:tmpl w:val="54048672"/>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1">
    <w:nsid w:val="1CD84584"/>
    <w:multiLevelType w:val="multilevel"/>
    <w:tmpl w:val="64603F9C"/>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1D306047"/>
    <w:multiLevelType w:val="hybridMultilevel"/>
    <w:tmpl w:val="958496F4"/>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3">
    <w:nsid w:val="1E9A2A65"/>
    <w:multiLevelType w:val="hybridMultilevel"/>
    <w:tmpl w:val="E3AE3DD4"/>
    <w:lvl w:ilvl="0" w:tplc="8FDA11E4">
      <w:start w:val="1"/>
      <w:numFmt w:val="decimal"/>
      <w:lvlText w:val="7.%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nsid w:val="2196231D"/>
    <w:multiLevelType w:val="hybridMultilevel"/>
    <w:tmpl w:val="A41AEC28"/>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nsid w:val="221E0004"/>
    <w:multiLevelType w:val="hybridMultilevel"/>
    <w:tmpl w:val="FE2A589C"/>
    <w:lvl w:ilvl="0" w:tplc="BB344C20">
      <w:start w:val="1"/>
      <w:numFmt w:val="bullet"/>
      <w:lvlText w:val=""/>
      <w:lvlJc w:val="left"/>
      <w:pPr>
        <w:ind w:left="502" w:hanging="360"/>
      </w:pPr>
      <w:rPr>
        <w:rFonts w:ascii="Wingdings" w:hAnsi="Wingdings" w:hint="default"/>
      </w:rPr>
    </w:lvl>
    <w:lvl w:ilvl="1" w:tplc="20000003" w:tentative="1">
      <w:start w:val="1"/>
      <w:numFmt w:val="bullet"/>
      <w:lvlText w:val="o"/>
      <w:lvlJc w:val="left"/>
      <w:pPr>
        <w:ind w:left="1222" w:hanging="360"/>
      </w:pPr>
      <w:rPr>
        <w:rFonts w:ascii="Courier New" w:hAnsi="Courier New" w:cs="Courier New" w:hint="default"/>
      </w:rPr>
    </w:lvl>
    <w:lvl w:ilvl="2" w:tplc="20000005" w:tentative="1">
      <w:start w:val="1"/>
      <w:numFmt w:val="bullet"/>
      <w:lvlText w:val=""/>
      <w:lvlJc w:val="left"/>
      <w:pPr>
        <w:ind w:left="1942" w:hanging="360"/>
      </w:pPr>
      <w:rPr>
        <w:rFonts w:ascii="Wingdings" w:hAnsi="Wingdings" w:hint="default"/>
      </w:rPr>
    </w:lvl>
    <w:lvl w:ilvl="3" w:tplc="20000001" w:tentative="1">
      <w:start w:val="1"/>
      <w:numFmt w:val="bullet"/>
      <w:lvlText w:val=""/>
      <w:lvlJc w:val="left"/>
      <w:pPr>
        <w:ind w:left="2662" w:hanging="360"/>
      </w:pPr>
      <w:rPr>
        <w:rFonts w:ascii="Symbol" w:hAnsi="Symbol" w:hint="default"/>
      </w:rPr>
    </w:lvl>
    <w:lvl w:ilvl="4" w:tplc="20000003" w:tentative="1">
      <w:start w:val="1"/>
      <w:numFmt w:val="bullet"/>
      <w:lvlText w:val="o"/>
      <w:lvlJc w:val="left"/>
      <w:pPr>
        <w:ind w:left="3382" w:hanging="360"/>
      </w:pPr>
      <w:rPr>
        <w:rFonts w:ascii="Courier New" w:hAnsi="Courier New" w:cs="Courier New" w:hint="default"/>
      </w:rPr>
    </w:lvl>
    <w:lvl w:ilvl="5" w:tplc="20000005" w:tentative="1">
      <w:start w:val="1"/>
      <w:numFmt w:val="bullet"/>
      <w:lvlText w:val=""/>
      <w:lvlJc w:val="left"/>
      <w:pPr>
        <w:ind w:left="4102" w:hanging="360"/>
      </w:pPr>
      <w:rPr>
        <w:rFonts w:ascii="Wingdings" w:hAnsi="Wingdings" w:hint="default"/>
      </w:rPr>
    </w:lvl>
    <w:lvl w:ilvl="6" w:tplc="20000001" w:tentative="1">
      <w:start w:val="1"/>
      <w:numFmt w:val="bullet"/>
      <w:lvlText w:val=""/>
      <w:lvlJc w:val="left"/>
      <w:pPr>
        <w:ind w:left="4822" w:hanging="360"/>
      </w:pPr>
      <w:rPr>
        <w:rFonts w:ascii="Symbol" w:hAnsi="Symbol" w:hint="default"/>
      </w:rPr>
    </w:lvl>
    <w:lvl w:ilvl="7" w:tplc="20000003" w:tentative="1">
      <w:start w:val="1"/>
      <w:numFmt w:val="bullet"/>
      <w:lvlText w:val="o"/>
      <w:lvlJc w:val="left"/>
      <w:pPr>
        <w:ind w:left="5542" w:hanging="360"/>
      </w:pPr>
      <w:rPr>
        <w:rFonts w:ascii="Courier New" w:hAnsi="Courier New" w:cs="Courier New" w:hint="default"/>
      </w:rPr>
    </w:lvl>
    <w:lvl w:ilvl="8" w:tplc="20000005" w:tentative="1">
      <w:start w:val="1"/>
      <w:numFmt w:val="bullet"/>
      <w:lvlText w:val=""/>
      <w:lvlJc w:val="left"/>
      <w:pPr>
        <w:ind w:left="6262" w:hanging="360"/>
      </w:pPr>
      <w:rPr>
        <w:rFonts w:ascii="Wingdings" w:hAnsi="Wingdings" w:hint="default"/>
      </w:rPr>
    </w:lvl>
  </w:abstractNum>
  <w:abstractNum w:abstractNumId="36">
    <w:nsid w:val="22D32B79"/>
    <w:multiLevelType w:val="hybridMultilevel"/>
    <w:tmpl w:val="5AE0A660"/>
    <w:lvl w:ilvl="0" w:tplc="CA827BAE">
      <w:start w:val="1"/>
      <w:numFmt w:val="decimal"/>
      <w:lvlText w:val="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nsid w:val="23356401"/>
    <w:multiLevelType w:val="hybridMultilevel"/>
    <w:tmpl w:val="A7307CAC"/>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nsid w:val="23411C07"/>
    <w:multiLevelType w:val="hybridMultilevel"/>
    <w:tmpl w:val="CACEECCC"/>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nsid w:val="236B6A7A"/>
    <w:multiLevelType w:val="hybridMultilevel"/>
    <w:tmpl w:val="01DEDB00"/>
    <w:lvl w:ilvl="0" w:tplc="D19253C0">
      <w:start w:val="1"/>
      <w:numFmt w:val="decimal"/>
      <w:lvlText w:val="3.%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nsid w:val="23E41D0B"/>
    <w:multiLevelType w:val="multilevel"/>
    <w:tmpl w:val="C7963DE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5624F88"/>
    <w:multiLevelType w:val="hybridMultilevel"/>
    <w:tmpl w:val="A022B5D6"/>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nsid w:val="261A6251"/>
    <w:multiLevelType w:val="hybridMultilevel"/>
    <w:tmpl w:val="5AB2CECA"/>
    <w:lvl w:ilvl="0" w:tplc="29C614BA">
      <w:start w:val="1"/>
      <w:numFmt w:val="decimal"/>
      <w:lvlText w:val="5.%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nsid w:val="27971003"/>
    <w:multiLevelType w:val="hybridMultilevel"/>
    <w:tmpl w:val="E0E2C21E"/>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4">
    <w:nsid w:val="288B2684"/>
    <w:multiLevelType w:val="hybridMultilevel"/>
    <w:tmpl w:val="7144E172"/>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5">
    <w:nsid w:val="29281B75"/>
    <w:multiLevelType w:val="hybridMultilevel"/>
    <w:tmpl w:val="118A5138"/>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6">
    <w:nsid w:val="2AC57CCA"/>
    <w:multiLevelType w:val="hybridMultilevel"/>
    <w:tmpl w:val="5E66DA1C"/>
    <w:lvl w:ilvl="0" w:tplc="34C2599A">
      <w:numFmt w:val="bullet"/>
      <w:lvlText w:val="-"/>
      <w:lvlJc w:val="left"/>
      <w:pPr>
        <w:ind w:left="1440" w:hanging="360"/>
      </w:pPr>
      <w:rPr>
        <w:rFonts w:ascii="Arial" w:eastAsiaTheme="minorHAnsi" w:hAnsi="Arial" w:cs="Arial" w:hint="default"/>
        <w:b w:val="0"/>
        <w:u w:val="none"/>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7">
    <w:nsid w:val="2B271F2A"/>
    <w:multiLevelType w:val="hybridMultilevel"/>
    <w:tmpl w:val="A2C28B06"/>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8">
    <w:nsid w:val="2D2A6388"/>
    <w:multiLevelType w:val="hybridMultilevel"/>
    <w:tmpl w:val="3404C590"/>
    <w:lvl w:ilvl="0" w:tplc="040C000B">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nsid w:val="2D5E20DF"/>
    <w:multiLevelType w:val="hybridMultilevel"/>
    <w:tmpl w:val="D00E5C5E"/>
    <w:lvl w:ilvl="0" w:tplc="37D09DDE">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nsid w:val="2DAF5D90"/>
    <w:multiLevelType w:val="hybridMultilevel"/>
    <w:tmpl w:val="5FC0D160"/>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1">
    <w:nsid w:val="2E507607"/>
    <w:multiLevelType w:val="hybridMultilevel"/>
    <w:tmpl w:val="6F5C7E5A"/>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2">
    <w:nsid w:val="2EAF3B8F"/>
    <w:multiLevelType w:val="hybridMultilevel"/>
    <w:tmpl w:val="4216C2FE"/>
    <w:lvl w:ilvl="0" w:tplc="34C2599A">
      <w:numFmt w:val="bullet"/>
      <w:lvlText w:val="-"/>
      <w:lvlJc w:val="left"/>
      <w:pPr>
        <w:ind w:left="780" w:hanging="360"/>
      </w:pPr>
      <w:rPr>
        <w:rFonts w:ascii="Arial" w:eastAsiaTheme="minorHAnsi" w:hAnsi="Arial" w:cs="Arial" w:hint="default"/>
        <w:b w:val="0"/>
        <w:u w:val="none"/>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53">
    <w:nsid w:val="2ECC0215"/>
    <w:multiLevelType w:val="hybridMultilevel"/>
    <w:tmpl w:val="FEACCC9E"/>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4">
    <w:nsid w:val="2FFD2A07"/>
    <w:multiLevelType w:val="hybridMultilevel"/>
    <w:tmpl w:val="E70C61D6"/>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5">
    <w:nsid w:val="309050D2"/>
    <w:multiLevelType w:val="hybridMultilevel"/>
    <w:tmpl w:val="F9A86148"/>
    <w:lvl w:ilvl="0" w:tplc="BB344C20">
      <w:start w:val="1"/>
      <w:numFmt w:val="bullet"/>
      <w:lvlText w:val=""/>
      <w:lvlJc w:val="left"/>
      <w:pPr>
        <w:ind w:left="720" w:hanging="360"/>
      </w:pPr>
      <w:rPr>
        <w:rFonts w:ascii="Wingdings" w:hAnsi="Wingdings" w:hint="default"/>
      </w:rPr>
    </w:lvl>
    <w:lvl w:ilvl="1" w:tplc="9F808D0E">
      <w:numFmt w:val="bullet"/>
      <w:lvlText w:val=""/>
      <w:lvlJc w:val="left"/>
      <w:pPr>
        <w:ind w:left="1440" w:hanging="360"/>
      </w:pPr>
      <w:rPr>
        <w:rFonts w:ascii="Symbol" w:eastAsia="Times New Roman" w:hAnsi="Symbol" w:cstheme="majorBidi" w:hint="default"/>
        <w:color w:val="000000"/>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6">
    <w:nsid w:val="321052F4"/>
    <w:multiLevelType w:val="hybridMultilevel"/>
    <w:tmpl w:val="2E0A86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32A63EAC"/>
    <w:multiLevelType w:val="hybridMultilevel"/>
    <w:tmpl w:val="2EC0E476"/>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8">
    <w:nsid w:val="32D00D8E"/>
    <w:multiLevelType w:val="hybridMultilevel"/>
    <w:tmpl w:val="BE24266A"/>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9">
    <w:nsid w:val="3485108A"/>
    <w:multiLevelType w:val="multilevel"/>
    <w:tmpl w:val="A3047F28"/>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nsid w:val="3551126E"/>
    <w:multiLevelType w:val="hybridMultilevel"/>
    <w:tmpl w:val="756AF13C"/>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1">
    <w:nsid w:val="357A54CE"/>
    <w:multiLevelType w:val="hybridMultilevel"/>
    <w:tmpl w:val="48984D1E"/>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2">
    <w:nsid w:val="3A3C5B6E"/>
    <w:multiLevelType w:val="hybridMultilevel"/>
    <w:tmpl w:val="553AFA2C"/>
    <w:lvl w:ilvl="0" w:tplc="E2349DC8">
      <w:start w:val="1"/>
      <w:numFmt w:val="decimal"/>
      <w:lvlText w:val="6.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3">
    <w:nsid w:val="3A6A3316"/>
    <w:multiLevelType w:val="hybridMultilevel"/>
    <w:tmpl w:val="FF24B2EC"/>
    <w:lvl w:ilvl="0" w:tplc="7CEE5792">
      <w:start w:val="1"/>
      <w:numFmt w:val="decimal"/>
      <w:lvlText w:val="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4">
    <w:nsid w:val="3CD62118"/>
    <w:multiLevelType w:val="hybridMultilevel"/>
    <w:tmpl w:val="A8622186"/>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5">
    <w:nsid w:val="3F4E4AD7"/>
    <w:multiLevelType w:val="hybridMultilevel"/>
    <w:tmpl w:val="D4D22FAC"/>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6">
    <w:nsid w:val="40391CEB"/>
    <w:multiLevelType w:val="hybridMultilevel"/>
    <w:tmpl w:val="2EB2D8EE"/>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7">
    <w:nsid w:val="41743962"/>
    <w:multiLevelType w:val="hybridMultilevel"/>
    <w:tmpl w:val="632E48A6"/>
    <w:lvl w:ilvl="0" w:tplc="97287AC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8">
    <w:nsid w:val="421F5F30"/>
    <w:multiLevelType w:val="hybridMultilevel"/>
    <w:tmpl w:val="FB60248C"/>
    <w:lvl w:ilvl="0" w:tplc="2CF06B9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9">
    <w:nsid w:val="43C4779D"/>
    <w:multiLevelType w:val="hybridMultilevel"/>
    <w:tmpl w:val="DC2E5548"/>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0">
    <w:nsid w:val="44983A64"/>
    <w:multiLevelType w:val="hybridMultilevel"/>
    <w:tmpl w:val="7A48912A"/>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1">
    <w:nsid w:val="45FF033D"/>
    <w:multiLevelType w:val="multilevel"/>
    <w:tmpl w:val="DA626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46627162"/>
    <w:multiLevelType w:val="hybridMultilevel"/>
    <w:tmpl w:val="39503EB8"/>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3">
    <w:nsid w:val="48022F2F"/>
    <w:multiLevelType w:val="hybridMultilevel"/>
    <w:tmpl w:val="5132473C"/>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4">
    <w:nsid w:val="489C508A"/>
    <w:multiLevelType w:val="multilevel"/>
    <w:tmpl w:val="2D346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nsid w:val="4B054468"/>
    <w:multiLevelType w:val="hybridMultilevel"/>
    <w:tmpl w:val="F51AA660"/>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6">
    <w:nsid w:val="4BE84338"/>
    <w:multiLevelType w:val="hybridMultilevel"/>
    <w:tmpl w:val="DEAC1104"/>
    <w:lvl w:ilvl="0" w:tplc="C486E0C2">
      <w:start w:val="1"/>
      <w:numFmt w:val="decimal"/>
      <w:lvlText w:val="4.%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7">
    <w:nsid w:val="4C4F3CF8"/>
    <w:multiLevelType w:val="hybridMultilevel"/>
    <w:tmpl w:val="E40AECBA"/>
    <w:lvl w:ilvl="0" w:tplc="040C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8">
    <w:nsid w:val="4DA90555"/>
    <w:multiLevelType w:val="hybridMultilevel"/>
    <w:tmpl w:val="1314442A"/>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9">
    <w:nsid w:val="4F05388E"/>
    <w:multiLevelType w:val="hybridMultilevel"/>
    <w:tmpl w:val="395A7DB0"/>
    <w:lvl w:ilvl="0" w:tplc="D20A54C2">
      <w:start w:val="1"/>
      <w:numFmt w:val="decimal"/>
      <w:lvlText w:val="6.%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nsid w:val="532864A7"/>
    <w:multiLevelType w:val="multilevel"/>
    <w:tmpl w:val="CEC6177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nsid w:val="535369EB"/>
    <w:multiLevelType w:val="hybridMultilevel"/>
    <w:tmpl w:val="60505D08"/>
    <w:lvl w:ilvl="0" w:tplc="0256FB0A">
      <w:start w:val="1"/>
      <w:numFmt w:val="decimal"/>
      <w:lvlText w:val="5.%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2">
    <w:nsid w:val="53E54F64"/>
    <w:multiLevelType w:val="hybridMultilevel"/>
    <w:tmpl w:val="D4BEF9E4"/>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3">
    <w:nsid w:val="54017E1A"/>
    <w:multiLevelType w:val="hybridMultilevel"/>
    <w:tmpl w:val="DB6ECD64"/>
    <w:lvl w:ilvl="0" w:tplc="2CF06B9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4">
    <w:nsid w:val="567E601A"/>
    <w:multiLevelType w:val="hybridMultilevel"/>
    <w:tmpl w:val="146E0E0A"/>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5">
    <w:nsid w:val="59E330FD"/>
    <w:multiLevelType w:val="hybridMultilevel"/>
    <w:tmpl w:val="42460CCC"/>
    <w:lvl w:ilvl="0" w:tplc="97287AC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6">
    <w:nsid w:val="5A180FAD"/>
    <w:multiLevelType w:val="hybridMultilevel"/>
    <w:tmpl w:val="4E16266C"/>
    <w:lvl w:ilvl="0" w:tplc="BB344C20">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nsid w:val="5AC91B41"/>
    <w:multiLevelType w:val="hybridMultilevel"/>
    <w:tmpl w:val="533A4836"/>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88">
    <w:nsid w:val="5B1167BE"/>
    <w:multiLevelType w:val="hybridMultilevel"/>
    <w:tmpl w:val="B338EA10"/>
    <w:lvl w:ilvl="0" w:tplc="D66A260E">
      <w:start w:val="1"/>
      <w:numFmt w:val="decimal"/>
      <w:lvlText w:val="4.%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9">
    <w:nsid w:val="5B3D0C65"/>
    <w:multiLevelType w:val="hybridMultilevel"/>
    <w:tmpl w:val="7A0223FE"/>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0">
    <w:nsid w:val="5C6A0FF3"/>
    <w:multiLevelType w:val="hybridMultilevel"/>
    <w:tmpl w:val="0BE6FCAA"/>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1">
    <w:nsid w:val="5C8C36D7"/>
    <w:multiLevelType w:val="hybridMultilevel"/>
    <w:tmpl w:val="A91AF688"/>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2">
    <w:nsid w:val="5CBE4024"/>
    <w:multiLevelType w:val="hybridMultilevel"/>
    <w:tmpl w:val="DADE2B5A"/>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3">
    <w:nsid w:val="5CF434C5"/>
    <w:multiLevelType w:val="multilevel"/>
    <w:tmpl w:val="CEC6177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nsid w:val="614A29AB"/>
    <w:multiLevelType w:val="hybridMultilevel"/>
    <w:tmpl w:val="7FFC8A40"/>
    <w:lvl w:ilvl="0" w:tplc="BB344C20">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5">
    <w:nsid w:val="62E23B4C"/>
    <w:multiLevelType w:val="hybridMultilevel"/>
    <w:tmpl w:val="4CC20BF4"/>
    <w:lvl w:ilvl="0" w:tplc="BB344C20">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6">
    <w:nsid w:val="63917385"/>
    <w:multiLevelType w:val="hybridMultilevel"/>
    <w:tmpl w:val="C876EEA4"/>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7">
    <w:nsid w:val="63D93A4F"/>
    <w:multiLevelType w:val="hybridMultilevel"/>
    <w:tmpl w:val="790E6DF6"/>
    <w:lvl w:ilvl="0" w:tplc="D96C7D86">
      <w:start w:val="1"/>
      <w:numFmt w:val="decimal"/>
      <w:lvlText w:val="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8">
    <w:nsid w:val="644320EC"/>
    <w:multiLevelType w:val="hybridMultilevel"/>
    <w:tmpl w:val="DAFC7104"/>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9">
    <w:nsid w:val="668D0335"/>
    <w:multiLevelType w:val="hybridMultilevel"/>
    <w:tmpl w:val="A6C2CD84"/>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0">
    <w:nsid w:val="669D69FB"/>
    <w:multiLevelType w:val="hybridMultilevel"/>
    <w:tmpl w:val="7278FF5C"/>
    <w:lvl w:ilvl="0" w:tplc="4AD2AAF4">
      <w:start w:val="1"/>
      <w:numFmt w:val="decimal"/>
      <w:lvlText w:val="1.%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1">
    <w:nsid w:val="68986086"/>
    <w:multiLevelType w:val="multilevel"/>
    <w:tmpl w:val="753AB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nsid w:val="68A00F69"/>
    <w:multiLevelType w:val="hybridMultilevel"/>
    <w:tmpl w:val="6B82E3D4"/>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3">
    <w:nsid w:val="68DB5704"/>
    <w:multiLevelType w:val="hybridMultilevel"/>
    <w:tmpl w:val="02A4AE3C"/>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4">
    <w:nsid w:val="692744AC"/>
    <w:multiLevelType w:val="multilevel"/>
    <w:tmpl w:val="5D62F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nsid w:val="6A226BE0"/>
    <w:multiLevelType w:val="hybridMultilevel"/>
    <w:tmpl w:val="A9328D48"/>
    <w:lvl w:ilvl="0" w:tplc="3CBED532">
      <w:start w:val="1"/>
      <w:numFmt w:val="lowerLetter"/>
      <w:lvlText w:val="%1."/>
      <w:lvlJc w:val="left"/>
      <w:pPr>
        <w:ind w:left="720" w:hanging="360"/>
      </w:pPr>
      <w:rPr>
        <w:rFonts w:hint="default"/>
        <w:color w:val="00000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6">
    <w:nsid w:val="6BF72601"/>
    <w:multiLevelType w:val="hybridMultilevel"/>
    <w:tmpl w:val="5CBE62DA"/>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7">
    <w:nsid w:val="6D1A50CC"/>
    <w:multiLevelType w:val="multilevel"/>
    <w:tmpl w:val="C6346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nsid w:val="6E9A488B"/>
    <w:multiLevelType w:val="hybridMultilevel"/>
    <w:tmpl w:val="5C5480BE"/>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9">
    <w:nsid w:val="70A5282E"/>
    <w:multiLevelType w:val="hybridMultilevel"/>
    <w:tmpl w:val="709203B4"/>
    <w:lvl w:ilvl="0" w:tplc="2CF06B9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0">
    <w:nsid w:val="71F503E1"/>
    <w:multiLevelType w:val="hybridMultilevel"/>
    <w:tmpl w:val="26806608"/>
    <w:lvl w:ilvl="0" w:tplc="97287AC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1">
    <w:nsid w:val="72230149"/>
    <w:multiLevelType w:val="hybridMultilevel"/>
    <w:tmpl w:val="007872C4"/>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2">
    <w:nsid w:val="727E2D9F"/>
    <w:multiLevelType w:val="hybridMultilevel"/>
    <w:tmpl w:val="DEDE68D0"/>
    <w:lvl w:ilvl="0" w:tplc="BB344C20">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3">
    <w:nsid w:val="75A6272F"/>
    <w:multiLevelType w:val="hybridMultilevel"/>
    <w:tmpl w:val="AF3AE338"/>
    <w:lvl w:ilvl="0" w:tplc="3B441EC2">
      <w:start w:val="1"/>
      <w:numFmt w:val="decimal"/>
      <w:lvlText w:val="6.3.%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4">
    <w:nsid w:val="762A0784"/>
    <w:multiLevelType w:val="hybridMultilevel"/>
    <w:tmpl w:val="ED8227EC"/>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5">
    <w:nsid w:val="76FA139D"/>
    <w:multiLevelType w:val="hybridMultilevel"/>
    <w:tmpl w:val="9DEE585A"/>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6">
    <w:nsid w:val="785F1EB1"/>
    <w:multiLevelType w:val="multilevel"/>
    <w:tmpl w:val="3FDAFFD2"/>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nsid w:val="78DE1BF6"/>
    <w:multiLevelType w:val="hybridMultilevel"/>
    <w:tmpl w:val="E6500C68"/>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8">
    <w:nsid w:val="7A3C1093"/>
    <w:multiLevelType w:val="hybridMultilevel"/>
    <w:tmpl w:val="114A9CA6"/>
    <w:lvl w:ilvl="0" w:tplc="BB344C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9">
    <w:nsid w:val="7B19425C"/>
    <w:multiLevelType w:val="hybridMultilevel"/>
    <w:tmpl w:val="6ED6A4E6"/>
    <w:lvl w:ilvl="0" w:tplc="1578F606">
      <w:start w:val="1"/>
      <w:numFmt w:val="decimal"/>
      <w:lvlText w:val="6.%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0">
    <w:nsid w:val="7B844C9D"/>
    <w:multiLevelType w:val="hybridMultilevel"/>
    <w:tmpl w:val="B0485C9C"/>
    <w:lvl w:ilvl="0" w:tplc="BB344C20">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1">
    <w:nsid w:val="7BA71824"/>
    <w:multiLevelType w:val="hybridMultilevel"/>
    <w:tmpl w:val="2676CEB2"/>
    <w:lvl w:ilvl="0" w:tplc="4AD2AAF4">
      <w:start w:val="1"/>
      <w:numFmt w:val="decimal"/>
      <w:lvlText w:val="1.%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0"/>
  </w:num>
  <w:num w:numId="2">
    <w:abstractNumId w:val="29"/>
  </w:num>
  <w:num w:numId="3">
    <w:abstractNumId w:val="74"/>
  </w:num>
  <w:num w:numId="4">
    <w:abstractNumId w:val="71"/>
  </w:num>
  <w:num w:numId="5">
    <w:abstractNumId w:val="104"/>
  </w:num>
  <w:num w:numId="6">
    <w:abstractNumId w:val="101"/>
  </w:num>
  <w:num w:numId="7">
    <w:abstractNumId w:val="18"/>
  </w:num>
  <w:num w:numId="8">
    <w:abstractNumId w:val="118"/>
  </w:num>
  <w:num w:numId="9">
    <w:abstractNumId w:val="58"/>
  </w:num>
  <w:num w:numId="10">
    <w:abstractNumId w:val="45"/>
  </w:num>
  <w:num w:numId="11">
    <w:abstractNumId w:val="106"/>
  </w:num>
  <w:num w:numId="12">
    <w:abstractNumId w:val="27"/>
  </w:num>
  <w:num w:numId="13">
    <w:abstractNumId w:val="54"/>
  </w:num>
  <w:num w:numId="14">
    <w:abstractNumId w:val="84"/>
  </w:num>
  <w:num w:numId="15">
    <w:abstractNumId w:val="57"/>
  </w:num>
  <w:num w:numId="16">
    <w:abstractNumId w:val="55"/>
  </w:num>
  <w:num w:numId="17">
    <w:abstractNumId w:val="108"/>
  </w:num>
  <w:num w:numId="18">
    <w:abstractNumId w:val="49"/>
  </w:num>
  <w:num w:numId="19">
    <w:abstractNumId w:val="30"/>
  </w:num>
  <w:num w:numId="20">
    <w:abstractNumId w:val="65"/>
  </w:num>
  <w:num w:numId="21">
    <w:abstractNumId w:val="120"/>
  </w:num>
  <w:num w:numId="22">
    <w:abstractNumId w:val="51"/>
  </w:num>
  <w:num w:numId="23">
    <w:abstractNumId w:val="25"/>
  </w:num>
  <w:num w:numId="24">
    <w:abstractNumId w:val="89"/>
  </w:num>
  <w:num w:numId="25">
    <w:abstractNumId w:val="69"/>
  </w:num>
  <w:num w:numId="26">
    <w:abstractNumId w:val="87"/>
  </w:num>
  <w:num w:numId="27">
    <w:abstractNumId w:val="96"/>
  </w:num>
  <w:num w:numId="28">
    <w:abstractNumId w:val="4"/>
  </w:num>
  <w:num w:numId="29">
    <w:abstractNumId w:val="73"/>
  </w:num>
  <w:num w:numId="30">
    <w:abstractNumId w:val="35"/>
  </w:num>
  <w:num w:numId="31">
    <w:abstractNumId w:val="44"/>
  </w:num>
  <w:num w:numId="32">
    <w:abstractNumId w:val="3"/>
  </w:num>
  <w:num w:numId="33">
    <w:abstractNumId w:val="98"/>
  </w:num>
  <w:num w:numId="34">
    <w:abstractNumId w:val="48"/>
  </w:num>
  <w:num w:numId="35">
    <w:abstractNumId w:val="15"/>
  </w:num>
  <w:num w:numId="36">
    <w:abstractNumId w:val="115"/>
  </w:num>
  <w:num w:numId="37">
    <w:abstractNumId w:val="14"/>
  </w:num>
  <w:num w:numId="38">
    <w:abstractNumId w:val="97"/>
  </w:num>
  <w:num w:numId="39">
    <w:abstractNumId w:val="32"/>
  </w:num>
  <w:num w:numId="40">
    <w:abstractNumId w:val="109"/>
  </w:num>
  <w:num w:numId="41">
    <w:abstractNumId w:val="92"/>
  </w:num>
  <w:num w:numId="42">
    <w:abstractNumId w:val="47"/>
  </w:num>
  <w:num w:numId="43">
    <w:abstractNumId w:val="19"/>
  </w:num>
  <w:num w:numId="44">
    <w:abstractNumId w:val="77"/>
  </w:num>
  <w:num w:numId="45">
    <w:abstractNumId w:val="105"/>
  </w:num>
  <w:num w:numId="46">
    <w:abstractNumId w:val="50"/>
  </w:num>
  <w:num w:numId="47">
    <w:abstractNumId w:val="99"/>
  </w:num>
  <w:num w:numId="48">
    <w:abstractNumId w:val="94"/>
  </w:num>
  <w:num w:numId="49">
    <w:abstractNumId w:val="61"/>
  </w:num>
  <w:num w:numId="50">
    <w:abstractNumId w:val="117"/>
  </w:num>
  <w:num w:numId="51">
    <w:abstractNumId w:val="111"/>
  </w:num>
  <w:num w:numId="52">
    <w:abstractNumId w:val="103"/>
  </w:num>
  <w:num w:numId="53">
    <w:abstractNumId w:val="64"/>
  </w:num>
  <w:num w:numId="54">
    <w:abstractNumId w:val="70"/>
  </w:num>
  <w:num w:numId="55">
    <w:abstractNumId w:val="53"/>
  </w:num>
  <w:num w:numId="56">
    <w:abstractNumId w:val="41"/>
  </w:num>
  <w:num w:numId="57">
    <w:abstractNumId w:val="102"/>
  </w:num>
  <w:num w:numId="58">
    <w:abstractNumId w:val="91"/>
  </w:num>
  <w:num w:numId="59">
    <w:abstractNumId w:val="68"/>
  </w:num>
  <w:num w:numId="60">
    <w:abstractNumId w:val="95"/>
  </w:num>
  <w:num w:numId="61">
    <w:abstractNumId w:val="83"/>
  </w:num>
  <w:num w:numId="62">
    <w:abstractNumId w:val="82"/>
  </w:num>
  <w:num w:numId="63">
    <w:abstractNumId w:val="37"/>
  </w:num>
  <w:num w:numId="64">
    <w:abstractNumId w:val="66"/>
  </w:num>
  <w:num w:numId="65">
    <w:abstractNumId w:val="43"/>
  </w:num>
  <w:num w:numId="66">
    <w:abstractNumId w:val="26"/>
  </w:num>
  <w:num w:numId="67">
    <w:abstractNumId w:val="0"/>
  </w:num>
  <w:num w:numId="68">
    <w:abstractNumId w:val="75"/>
  </w:num>
  <w:num w:numId="69">
    <w:abstractNumId w:val="114"/>
  </w:num>
  <w:num w:numId="70">
    <w:abstractNumId w:val="60"/>
  </w:num>
  <w:num w:numId="71">
    <w:abstractNumId w:val="38"/>
  </w:num>
  <w:num w:numId="72">
    <w:abstractNumId w:val="86"/>
  </w:num>
  <w:num w:numId="73">
    <w:abstractNumId w:val="112"/>
  </w:num>
  <w:num w:numId="74">
    <w:abstractNumId w:val="40"/>
  </w:num>
  <w:num w:numId="75">
    <w:abstractNumId w:val="16"/>
  </w:num>
  <w:num w:numId="76">
    <w:abstractNumId w:val="24"/>
  </w:num>
  <w:num w:numId="77">
    <w:abstractNumId w:val="2"/>
  </w:num>
  <w:num w:numId="78">
    <w:abstractNumId w:val="5"/>
  </w:num>
  <w:num w:numId="79">
    <w:abstractNumId w:val="116"/>
  </w:num>
  <w:num w:numId="80">
    <w:abstractNumId w:val="59"/>
  </w:num>
  <w:num w:numId="81">
    <w:abstractNumId w:val="31"/>
  </w:num>
  <w:num w:numId="82">
    <w:abstractNumId w:val="107"/>
  </w:num>
  <w:num w:numId="83">
    <w:abstractNumId w:val="52"/>
  </w:num>
  <w:num w:numId="84">
    <w:abstractNumId w:val="12"/>
  </w:num>
  <w:num w:numId="85">
    <w:abstractNumId w:val="46"/>
  </w:num>
  <w:num w:numId="86">
    <w:abstractNumId w:val="7"/>
  </w:num>
  <w:num w:numId="87">
    <w:abstractNumId w:val="1"/>
  </w:num>
  <w:num w:numId="88">
    <w:abstractNumId w:val="34"/>
  </w:num>
  <w:num w:numId="89">
    <w:abstractNumId w:val="72"/>
  </w:num>
  <w:num w:numId="90">
    <w:abstractNumId w:val="90"/>
  </w:num>
  <w:num w:numId="91">
    <w:abstractNumId w:val="23"/>
  </w:num>
  <w:num w:numId="92">
    <w:abstractNumId w:val="22"/>
  </w:num>
  <w:num w:numId="93">
    <w:abstractNumId w:val="81"/>
  </w:num>
  <w:num w:numId="94">
    <w:abstractNumId w:val="119"/>
  </w:num>
  <w:num w:numId="95">
    <w:abstractNumId w:val="9"/>
  </w:num>
  <w:num w:numId="96">
    <w:abstractNumId w:val="62"/>
  </w:num>
  <w:num w:numId="97">
    <w:abstractNumId w:val="113"/>
  </w:num>
  <w:num w:numId="98">
    <w:abstractNumId w:val="110"/>
  </w:num>
  <w:num w:numId="99">
    <w:abstractNumId w:val="28"/>
  </w:num>
  <w:num w:numId="100">
    <w:abstractNumId w:val="76"/>
  </w:num>
  <w:num w:numId="101">
    <w:abstractNumId w:val="11"/>
  </w:num>
  <w:num w:numId="102">
    <w:abstractNumId w:val="6"/>
  </w:num>
  <w:num w:numId="103">
    <w:abstractNumId w:val="88"/>
  </w:num>
  <w:num w:numId="104">
    <w:abstractNumId w:val="42"/>
  </w:num>
  <w:num w:numId="105">
    <w:abstractNumId w:val="79"/>
  </w:num>
  <w:num w:numId="106">
    <w:abstractNumId w:val="33"/>
  </w:num>
  <w:num w:numId="107">
    <w:abstractNumId w:val="67"/>
  </w:num>
  <w:num w:numId="108">
    <w:abstractNumId w:val="121"/>
  </w:num>
  <w:num w:numId="109">
    <w:abstractNumId w:val="36"/>
  </w:num>
  <w:num w:numId="110">
    <w:abstractNumId w:val="39"/>
  </w:num>
  <w:num w:numId="111">
    <w:abstractNumId w:val="17"/>
  </w:num>
  <w:num w:numId="112">
    <w:abstractNumId w:val="13"/>
  </w:num>
  <w:num w:numId="113">
    <w:abstractNumId w:val="100"/>
  </w:num>
  <w:num w:numId="114">
    <w:abstractNumId w:val="63"/>
  </w:num>
  <w:num w:numId="115">
    <w:abstractNumId w:val="10"/>
  </w:num>
  <w:num w:numId="116">
    <w:abstractNumId w:val="78"/>
  </w:num>
  <w:num w:numId="117">
    <w:abstractNumId w:val="8"/>
  </w:num>
  <w:num w:numId="118">
    <w:abstractNumId w:val="85"/>
  </w:num>
  <w:num w:numId="119">
    <w:abstractNumId w:val="93"/>
  </w:num>
  <w:num w:numId="120">
    <w:abstractNumId w:val="21"/>
  </w:num>
  <w:num w:numId="121">
    <w:abstractNumId w:val="80"/>
  </w:num>
  <w:num w:numId="122">
    <w:abstractNumId w:val="56"/>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1507"/>
    <w:rsid w:val="000112EB"/>
    <w:rsid w:val="00023A4B"/>
    <w:rsid w:val="00027A78"/>
    <w:rsid w:val="00036C3E"/>
    <w:rsid w:val="00041543"/>
    <w:rsid w:val="00042FFC"/>
    <w:rsid w:val="000573F8"/>
    <w:rsid w:val="00061A93"/>
    <w:rsid w:val="000630FE"/>
    <w:rsid w:val="00080724"/>
    <w:rsid w:val="00083E30"/>
    <w:rsid w:val="000A136E"/>
    <w:rsid w:val="000A2D36"/>
    <w:rsid w:val="000B0773"/>
    <w:rsid w:val="000B13A1"/>
    <w:rsid w:val="000B17B0"/>
    <w:rsid w:val="000B33D0"/>
    <w:rsid w:val="000C2430"/>
    <w:rsid w:val="000C2E2F"/>
    <w:rsid w:val="000D0856"/>
    <w:rsid w:val="000D40D6"/>
    <w:rsid w:val="000E3AE1"/>
    <w:rsid w:val="000E6A18"/>
    <w:rsid w:val="000E788C"/>
    <w:rsid w:val="00107E86"/>
    <w:rsid w:val="001228C7"/>
    <w:rsid w:val="0013286B"/>
    <w:rsid w:val="00134A61"/>
    <w:rsid w:val="0014039A"/>
    <w:rsid w:val="001411EB"/>
    <w:rsid w:val="00143C95"/>
    <w:rsid w:val="00147BC1"/>
    <w:rsid w:val="00165914"/>
    <w:rsid w:val="00167B03"/>
    <w:rsid w:val="00171D70"/>
    <w:rsid w:val="00173F8D"/>
    <w:rsid w:val="00182B66"/>
    <w:rsid w:val="0018423F"/>
    <w:rsid w:val="001845FD"/>
    <w:rsid w:val="001909F7"/>
    <w:rsid w:val="00197D57"/>
    <w:rsid w:val="001A350E"/>
    <w:rsid w:val="001A4DD5"/>
    <w:rsid w:val="001A5181"/>
    <w:rsid w:val="001E179B"/>
    <w:rsid w:val="001E4141"/>
    <w:rsid w:val="001F4303"/>
    <w:rsid w:val="0020321F"/>
    <w:rsid w:val="00206810"/>
    <w:rsid w:val="00210976"/>
    <w:rsid w:val="002146FC"/>
    <w:rsid w:val="00220D3E"/>
    <w:rsid w:val="002245AB"/>
    <w:rsid w:val="002311A3"/>
    <w:rsid w:val="0023497E"/>
    <w:rsid w:val="0023762E"/>
    <w:rsid w:val="0024426C"/>
    <w:rsid w:val="00250103"/>
    <w:rsid w:val="002526B3"/>
    <w:rsid w:val="002564A0"/>
    <w:rsid w:val="002625F3"/>
    <w:rsid w:val="00266BC2"/>
    <w:rsid w:val="002672A7"/>
    <w:rsid w:val="00270272"/>
    <w:rsid w:val="002718A3"/>
    <w:rsid w:val="00271EAA"/>
    <w:rsid w:val="0029125C"/>
    <w:rsid w:val="002A230D"/>
    <w:rsid w:val="002A5C93"/>
    <w:rsid w:val="002B0961"/>
    <w:rsid w:val="002B1F0B"/>
    <w:rsid w:val="002B219C"/>
    <w:rsid w:val="002B7FAC"/>
    <w:rsid w:val="002C1F55"/>
    <w:rsid w:val="002D2F60"/>
    <w:rsid w:val="002D40CF"/>
    <w:rsid w:val="002E1E9C"/>
    <w:rsid w:val="002E3DBE"/>
    <w:rsid w:val="002F3A91"/>
    <w:rsid w:val="003043FF"/>
    <w:rsid w:val="0030474F"/>
    <w:rsid w:val="003122AB"/>
    <w:rsid w:val="0032049C"/>
    <w:rsid w:val="00321618"/>
    <w:rsid w:val="0032169E"/>
    <w:rsid w:val="003275C6"/>
    <w:rsid w:val="00330355"/>
    <w:rsid w:val="00333773"/>
    <w:rsid w:val="003408FF"/>
    <w:rsid w:val="00350E4E"/>
    <w:rsid w:val="00351D94"/>
    <w:rsid w:val="003528F9"/>
    <w:rsid w:val="00354C9E"/>
    <w:rsid w:val="00356568"/>
    <w:rsid w:val="0036485F"/>
    <w:rsid w:val="003751D6"/>
    <w:rsid w:val="00375947"/>
    <w:rsid w:val="003807A8"/>
    <w:rsid w:val="003854A1"/>
    <w:rsid w:val="00385617"/>
    <w:rsid w:val="003924EB"/>
    <w:rsid w:val="003A26AB"/>
    <w:rsid w:val="003A56B3"/>
    <w:rsid w:val="003A785A"/>
    <w:rsid w:val="003B74AD"/>
    <w:rsid w:val="003C21E2"/>
    <w:rsid w:val="003C6BD2"/>
    <w:rsid w:val="003C6CFA"/>
    <w:rsid w:val="003D301E"/>
    <w:rsid w:val="003D621E"/>
    <w:rsid w:val="003E175B"/>
    <w:rsid w:val="003E367F"/>
    <w:rsid w:val="003E3814"/>
    <w:rsid w:val="003F1B79"/>
    <w:rsid w:val="003F4BEA"/>
    <w:rsid w:val="0040572C"/>
    <w:rsid w:val="00405777"/>
    <w:rsid w:val="00407B64"/>
    <w:rsid w:val="0041393C"/>
    <w:rsid w:val="00415C82"/>
    <w:rsid w:val="00420B15"/>
    <w:rsid w:val="0043027D"/>
    <w:rsid w:val="00432526"/>
    <w:rsid w:val="0044050B"/>
    <w:rsid w:val="00442D4D"/>
    <w:rsid w:val="00444D8E"/>
    <w:rsid w:val="0045471C"/>
    <w:rsid w:val="004575E6"/>
    <w:rsid w:val="00462237"/>
    <w:rsid w:val="0046585F"/>
    <w:rsid w:val="00465AAB"/>
    <w:rsid w:val="00470578"/>
    <w:rsid w:val="00470ADB"/>
    <w:rsid w:val="00470BF1"/>
    <w:rsid w:val="00472A5D"/>
    <w:rsid w:val="004809B0"/>
    <w:rsid w:val="00481C9C"/>
    <w:rsid w:val="004828B1"/>
    <w:rsid w:val="00487A31"/>
    <w:rsid w:val="00490654"/>
    <w:rsid w:val="00490BD5"/>
    <w:rsid w:val="00491103"/>
    <w:rsid w:val="004A5AF6"/>
    <w:rsid w:val="004D4007"/>
    <w:rsid w:val="004E0D8C"/>
    <w:rsid w:val="004E3103"/>
    <w:rsid w:val="004E63E4"/>
    <w:rsid w:val="004F1096"/>
    <w:rsid w:val="004F6F9B"/>
    <w:rsid w:val="00503718"/>
    <w:rsid w:val="00516298"/>
    <w:rsid w:val="005204CB"/>
    <w:rsid w:val="005270E0"/>
    <w:rsid w:val="0054045B"/>
    <w:rsid w:val="00550875"/>
    <w:rsid w:val="00553E02"/>
    <w:rsid w:val="00554456"/>
    <w:rsid w:val="00560FE2"/>
    <w:rsid w:val="00562275"/>
    <w:rsid w:val="00571762"/>
    <w:rsid w:val="00575E1E"/>
    <w:rsid w:val="00583358"/>
    <w:rsid w:val="0058755A"/>
    <w:rsid w:val="00587BBF"/>
    <w:rsid w:val="00590C05"/>
    <w:rsid w:val="00597DBD"/>
    <w:rsid w:val="005A267A"/>
    <w:rsid w:val="005B1E6E"/>
    <w:rsid w:val="005B2E7E"/>
    <w:rsid w:val="005C1623"/>
    <w:rsid w:val="005C262F"/>
    <w:rsid w:val="005D7C40"/>
    <w:rsid w:val="005E5A10"/>
    <w:rsid w:val="005E6429"/>
    <w:rsid w:val="005F6BED"/>
    <w:rsid w:val="00620B48"/>
    <w:rsid w:val="006352CF"/>
    <w:rsid w:val="00636981"/>
    <w:rsid w:val="006419AA"/>
    <w:rsid w:val="00642D8A"/>
    <w:rsid w:val="00646A14"/>
    <w:rsid w:val="006501F2"/>
    <w:rsid w:val="0067490F"/>
    <w:rsid w:val="00675496"/>
    <w:rsid w:val="006802F3"/>
    <w:rsid w:val="00681B00"/>
    <w:rsid w:val="006852FB"/>
    <w:rsid w:val="00690311"/>
    <w:rsid w:val="00693153"/>
    <w:rsid w:val="006A4D97"/>
    <w:rsid w:val="006A5480"/>
    <w:rsid w:val="006B2750"/>
    <w:rsid w:val="006C0C5E"/>
    <w:rsid w:val="006C3FB4"/>
    <w:rsid w:val="006C7B66"/>
    <w:rsid w:val="006C7E58"/>
    <w:rsid w:val="006D10B2"/>
    <w:rsid w:val="006D1565"/>
    <w:rsid w:val="006D32B7"/>
    <w:rsid w:val="006D44A7"/>
    <w:rsid w:val="006E2187"/>
    <w:rsid w:val="006E7AC0"/>
    <w:rsid w:val="006F481C"/>
    <w:rsid w:val="006F55C8"/>
    <w:rsid w:val="00710616"/>
    <w:rsid w:val="00711253"/>
    <w:rsid w:val="007118A4"/>
    <w:rsid w:val="007150F5"/>
    <w:rsid w:val="0071686B"/>
    <w:rsid w:val="00717683"/>
    <w:rsid w:val="00720401"/>
    <w:rsid w:val="00720A42"/>
    <w:rsid w:val="00727425"/>
    <w:rsid w:val="00730ADC"/>
    <w:rsid w:val="007344FF"/>
    <w:rsid w:val="0074073A"/>
    <w:rsid w:val="00750DCD"/>
    <w:rsid w:val="00756747"/>
    <w:rsid w:val="007625EE"/>
    <w:rsid w:val="00766CC4"/>
    <w:rsid w:val="0076772A"/>
    <w:rsid w:val="00771E97"/>
    <w:rsid w:val="00774DD6"/>
    <w:rsid w:val="007828B5"/>
    <w:rsid w:val="00784439"/>
    <w:rsid w:val="00784F0A"/>
    <w:rsid w:val="00785D39"/>
    <w:rsid w:val="007873AC"/>
    <w:rsid w:val="0079490D"/>
    <w:rsid w:val="007B2D1F"/>
    <w:rsid w:val="007D288C"/>
    <w:rsid w:val="007E7789"/>
    <w:rsid w:val="007F12D4"/>
    <w:rsid w:val="0081454F"/>
    <w:rsid w:val="00816AA7"/>
    <w:rsid w:val="00820E1E"/>
    <w:rsid w:val="00834782"/>
    <w:rsid w:val="0084467E"/>
    <w:rsid w:val="00847444"/>
    <w:rsid w:val="00847B1C"/>
    <w:rsid w:val="008545F1"/>
    <w:rsid w:val="00854CA6"/>
    <w:rsid w:val="00873E6F"/>
    <w:rsid w:val="008816A0"/>
    <w:rsid w:val="00881CB5"/>
    <w:rsid w:val="008851BF"/>
    <w:rsid w:val="00891589"/>
    <w:rsid w:val="00893079"/>
    <w:rsid w:val="00893666"/>
    <w:rsid w:val="0089581A"/>
    <w:rsid w:val="008A12B0"/>
    <w:rsid w:val="008A1356"/>
    <w:rsid w:val="008A430D"/>
    <w:rsid w:val="008A4721"/>
    <w:rsid w:val="008A631B"/>
    <w:rsid w:val="008A6E45"/>
    <w:rsid w:val="008B330F"/>
    <w:rsid w:val="008B51AE"/>
    <w:rsid w:val="008B524C"/>
    <w:rsid w:val="008B5B5A"/>
    <w:rsid w:val="008B6C1E"/>
    <w:rsid w:val="008C0FBF"/>
    <w:rsid w:val="008C2C55"/>
    <w:rsid w:val="008C5CD7"/>
    <w:rsid w:val="008C72EB"/>
    <w:rsid w:val="008D383F"/>
    <w:rsid w:val="008E31D0"/>
    <w:rsid w:val="008F1507"/>
    <w:rsid w:val="008F2A19"/>
    <w:rsid w:val="009132A6"/>
    <w:rsid w:val="00923B5F"/>
    <w:rsid w:val="0092586C"/>
    <w:rsid w:val="00926A1C"/>
    <w:rsid w:val="009318DB"/>
    <w:rsid w:val="0093541B"/>
    <w:rsid w:val="00937821"/>
    <w:rsid w:val="009428CC"/>
    <w:rsid w:val="009502EF"/>
    <w:rsid w:val="00953D76"/>
    <w:rsid w:val="00960DBA"/>
    <w:rsid w:val="00962D62"/>
    <w:rsid w:val="00975813"/>
    <w:rsid w:val="00992FD0"/>
    <w:rsid w:val="009A4807"/>
    <w:rsid w:val="009A4ADB"/>
    <w:rsid w:val="009B1E4C"/>
    <w:rsid w:val="009B2F6F"/>
    <w:rsid w:val="009B4E61"/>
    <w:rsid w:val="009B7950"/>
    <w:rsid w:val="009C2BC7"/>
    <w:rsid w:val="009C368C"/>
    <w:rsid w:val="009E0A5E"/>
    <w:rsid w:val="009E6DB6"/>
    <w:rsid w:val="00A06A40"/>
    <w:rsid w:val="00A15E66"/>
    <w:rsid w:val="00A27879"/>
    <w:rsid w:val="00A30704"/>
    <w:rsid w:val="00A345B0"/>
    <w:rsid w:val="00A363FB"/>
    <w:rsid w:val="00A3651F"/>
    <w:rsid w:val="00A50669"/>
    <w:rsid w:val="00A520B1"/>
    <w:rsid w:val="00A52359"/>
    <w:rsid w:val="00A62C02"/>
    <w:rsid w:val="00A652BC"/>
    <w:rsid w:val="00A65B5A"/>
    <w:rsid w:val="00A7632F"/>
    <w:rsid w:val="00A8098A"/>
    <w:rsid w:val="00A854E0"/>
    <w:rsid w:val="00A91ED9"/>
    <w:rsid w:val="00A96816"/>
    <w:rsid w:val="00AA0875"/>
    <w:rsid w:val="00AA1F2E"/>
    <w:rsid w:val="00AB34B8"/>
    <w:rsid w:val="00AB4F7C"/>
    <w:rsid w:val="00AC13BD"/>
    <w:rsid w:val="00AC3C98"/>
    <w:rsid w:val="00AD2F5D"/>
    <w:rsid w:val="00AE3850"/>
    <w:rsid w:val="00AF0EFD"/>
    <w:rsid w:val="00AF41B5"/>
    <w:rsid w:val="00B02030"/>
    <w:rsid w:val="00B065F3"/>
    <w:rsid w:val="00B068BF"/>
    <w:rsid w:val="00B1550C"/>
    <w:rsid w:val="00B206FB"/>
    <w:rsid w:val="00B221DD"/>
    <w:rsid w:val="00B2459B"/>
    <w:rsid w:val="00B4394C"/>
    <w:rsid w:val="00B44CAD"/>
    <w:rsid w:val="00B5795A"/>
    <w:rsid w:val="00B57DD4"/>
    <w:rsid w:val="00B6367B"/>
    <w:rsid w:val="00B67C25"/>
    <w:rsid w:val="00B71987"/>
    <w:rsid w:val="00B75471"/>
    <w:rsid w:val="00B76AFC"/>
    <w:rsid w:val="00B83C3A"/>
    <w:rsid w:val="00B841B8"/>
    <w:rsid w:val="00B96A65"/>
    <w:rsid w:val="00BA421A"/>
    <w:rsid w:val="00BA42C3"/>
    <w:rsid w:val="00BA55EC"/>
    <w:rsid w:val="00BB2AC0"/>
    <w:rsid w:val="00BB3964"/>
    <w:rsid w:val="00BB4F50"/>
    <w:rsid w:val="00BC117D"/>
    <w:rsid w:val="00BF5FBC"/>
    <w:rsid w:val="00C03138"/>
    <w:rsid w:val="00C10611"/>
    <w:rsid w:val="00C13671"/>
    <w:rsid w:val="00C15978"/>
    <w:rsid w:val="00C277DE"/>
    <w:rsid w:val="00C27A46"/>
    <w:rsid w:val="00C33F99"/>
    <w:rsid w:val="00C45826"/>
    <w:rsid w:val="00C52DFB"/>
    <w:rsid w:val="00C545CC"/>
    <w:rsid w:val="00C54E5B"/>
    <w:rsid w:val="00C6434B"/>
    <w:rsid w:val="00C677C2"/>
    <w:rsid w:val="00C7742B"/>
    <w:rsid w:val="00C77C8D"/>
    <w:rsid w:val="00C82632"/>
    <w:rsid w:val="00C910E1"/>
    <w:rsid w:val="00C9253B"/>
    <w:rsid w:val="00CA3B31"/>
    <w:rsid w:val="00CA42FB"/>
    <w:rsid w:val="00CA491A"/>
    <w:rsid w:val="00CA70B8"/>
    <w:rsid w:val="00CB0922"/>
    <w:rsid w:val="00CB137A"/>
    <w:rsid w:val="00CB47FD"/>
    <w:rsid w:val="00CD225B"/>
    <w:rsid w:val="00CD54D1"/>
    <w:rsid w:val="00CE0088"/>
    <w:rsid w:val="00CE78F4"/>
    <w:rsid w:val="00CF0ED6"/>
    <w:rsid w:val="00CF40C3"/>
    <w:rsid w:val="00CF62A3"/>
    <w:rsid w:val="00CF7238"/>
    <w:rsid w:val="00D01550"/>
    <w:rsid w:val="00D026C7"/>
    <w:rsid w:val="00D04CF4"/>
    <w:rsid w:val="00D0504E"/>
    <w:rsid w:val="00D07DC9"/>
    <w:rsid w:val="00D14327"/>
    <w:rsid w:val="00D20C71"/>
    <w:rsid w:val="00D26B53"/>
    <w:rsid w:val="00D32AAA"/>
    <w:rsid w:val="00D343B9"/>
    <w:rsid w:val="00D36A64"/>
    <w:rsid w:val="00D53A12"/>
    <w:rsid w:val="00D57ADF"/>
    <w:rsid w:val="00D60356"/>
    <w:rsid w:val="00D81013"/>
    <w:rsid w:val="00D84B59"/>
    <w:rsid w:val="00D93C27"/>
    <w:rsid w:val="00DA1D75"/>
    <w:rsid w:val="00DA2013"/>
    <w:rsid w:val="00DA4500"/>
    <w:rsid w:val="00DB27B6"/>
    <w:rsid w:val="00DC0FBC"/>
    <w:rsid w:val="00DD70F3"/>
    <w:rsid w:val="00DE1A02"/>
    <w:rsid w:val="00DE6BB5"/>
    <w:rsid w:val="00DF40B7"/>
    <w:rsid w:val="00DF4B79"/>
    <w:rsid w:val="00E038EA"/>
    <w:rsid w:val="00E05C71"/>
    <w:rsid w:val="00E06A15"/>
    <w:rsid w:val="00E06AA6"/>
    <w:rsid w:val="00E112CE"/>
    <w:rsid w:val="00E1230C"/>
    <w:rsid w:val="00E2604E"/>
    <w:rsid w:val="00E31872"/>
    <w:rsid w:val="00E32903"/>
    <w:rsid w:val="00E34B46"/>
    <w:rsid w:val="00E351AE"/>
    <w:rsid w:val="00E35377"/>
    <w:rsid w:val="00E36149"/>
    <w:rsid w:val="00E40871"/>
    <w:rsid w:val="00E5337F"/>
    <w:rsid w:val="00E53B44"/>
    <w:rsid w:val="00E54CAB"/>
    <w:rsid w:val="00E60E56"/>
    <w:rsid w:val="00E64C9D"/>
    <w:rsid w:val="00E70909"/>
    <w:rsid w:val="00E70CBA"/>
    <w:rsid w:val="00E7198D"/>
    <w:rsid w:val="00E772A1"/>
    <w:rsid w:val="00E81E24"/>
    <w:rsid w:val="00E8542C"/>
    <w:rsid w:val="00E86AC0"/>
    <w:rsid w:val="00E94822"/>
    <w:rsid w:val="00E96AAB"/>
    <w:rsid w:val="00EA2491"/>
    <w:rsid w:val="00EB3204"/>
    <w:rsid w:val="00EC2660"/>
    <w:rsid w:val="00ED3EB5"/>
    <w:rsid w:val="00ED4384"/>
    <w:rsid w:val="00EF404D"/>
    <w:rsid w:val="00EF7821"/>
    <w:rsid w:val="00EF7CDC"/>
    <w:rsid w:val="00F16F02"/>
    <w:rsid w:val="00F17C2C"/>
    <w:rsid w:val="00F23D05"/>
    <w:rsid w:val="00F25EB3"/>
    <w:rsid w:val="00F321F5"/>
    <w:rsid w:val="00F36340"/>
    <w:rsid w:val="00F36D54"/>
    <w:rsid w:val="00F37459"/>
    <w:rsid w:val="00F41FC7"/>
    <w:rsid w:val="00F45A16"/>
    <w:rsid w:val="00F54250"/>
    <w:rsid w:val="00F54571"/>
    <w:rsid w:val="00F5739E"/>
    <w:rsid w:val="00F61D0A"/>
    <w:rsid w:val="00F72E7B"/>
    <w:rsid w:val="00F81738"/>
    <w:rsid w:val="00F83F5A"/>
    <w:rsid w:val="00F84641"/>
    <w:rsid w:val="00F97C8F"/>
    <w:rsid w:val="00FA51B9"/>
    <w:rsid w:val="00FA78F4"/>
    <w:rsid w:val="00FB7642"/>
    <w:rsid w:val="00FC0A33"/>
    <w:rsid w:val="00FC2A52"/>
    <w:rsid w:val="00FC59DD"/>
    <w:rsid w:val="00FD4FF6"/>
    <w:rsid w:val="00FD65A3"/>
    <w:rsid w:val="00FE4D3A"/>
    <w:rsid w:val="00FF1991"/>
    <w:rsid w:val="00FF349B"/>
    <w:rsid w:val="00FF46B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1C9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fr-FR" w:eastAsia="zh-CN"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50E"/>
  </w:style>
  <w:style w:type="paragraph" w:styleId="Titre1">
    <w:name w:val="heading 1"/>
    <w:basedOn w:val="Normal"/>
    <w:next w:val="Normal"/>
    <w:link w:val="Titre1Car"/>
    <w:uiPriority w:val="9"/>
    <w:qFormat/>
    <w:rsid w:val="008F150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8F150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8F1507"/>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unhideWhenUsed/>
    <w:qFormat/>
    <w:rsid w:val="008F1507"/>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unhideWhenUsed/>
    <w:qFormat/>
    <w:rsid w:val="008F1507"/>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8F1507"/>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8F1507"/>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8F1507"/>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8F1507"/>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F1507"/>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8F1507"/>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8F1507"/>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rsid w:val="008F1507"/>
    <w:rPr>
      <w:rFonts w:eastAsiaTheme="majorEastAsia" w:cstheme="majorBidi"/>
      <w:i/>
      <w:iCs/>
      <w:color w:val="0F4761" w:themeColor="accent1" w:themeShade="BF"/>
    </w:rPr>
  </w:style>
  <w:style w:type="character" w:customStyle="1" w:styleId="Titre5Car">
    <w:name w:val="Titre 5 Car"/>
    <w:basedOn w:val="Policepardfaut"/>
    <w:link w:val="Titre5"/>
    <w:uiPriority w:val="9"/>
    <w:rsid w:val="008F1507"/>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8F1507"/>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8F1507"/>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8F1507"/>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8F1507"/>
    <w:rPr>
      <w:rFonts w:eastAsiaTheme="majorEastAsia" w:cstheme="majorBidi"/>
      <w:color w:val="272727" w:themeColor="text1" w:themeTint="D8"/>
    </w:rPr>
  </w:style>
  <w:style w:type="paragraph" w:styleId="Titre">
    <w:name w:val="Title"/>
    <w:basedOn w:val="Normal"/>
    <w:next w:val="Normal"/>
    <w:link w:val="TitreCar"/>
    <w:uiPriority w:val="10"/>
    <w:qFormat/>
    <w:rsid w:val="008F15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8F1507"/>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8F1507"/>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8F1507"/>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8F1507"/>
    <w:pPr>
      <w:spacing w:before="160"/>
      <w:jc w:val="center"/>
    </w:pPr>
    <w:rPr>
      <w:i/>
      <w:iCs/>
      <w:color w:val="404040" w:themeColor="text1" w:themeTint="BF"/>
    </w:rPr>
  </w:style>
  <w:style w:type="character" w:customStyle="1" w:styleId="CitationCar">
    <w:name w:val="Citation Car"/>
    <w:basedOn w:val="Policepardfaut"/>
    <w:link w:val="Citation"/>
    <w:uiPriority w:val="29"/>
    <w:rsid w:val="008F1507"/>
    <w:rPr>
      <w:i/>
      <w:iCs/>
      <w:color w:val="404040" w:themeColor="text1" w:themeTint="BF"/>
    </w:rPr>
  </w:style>
  <w:style w:type="paragraph" w:styleId="Paragraphedeliste">
    <w:name w:val="List Paragraph"/>
    <w:basedOn w:val="Normal"/>
    <w:uiPriority w:val="34"/>
    <w:qFormat/>
    <w:rsid w:val="008F1507"/>
    <w:pPr>
      <w:ind w:left="720"/>
      <w:contextualSpacing/>
    </w:pPr>
  </w:style>
  <w:style w:type="character" w:styleId="Emphaseintense">
    <w:name w:val="Intense Emphasis"/>
    <w:basedOn w:val="Policepardfaut"/>
    <w:uiPriority w:val="21"/>
    <w:qFormat/>
    <w:rsid w:val="008F1507"/>
    <w:rPr>
      <w:i/>
      <w:iCs/>
      <w:color w:val="0F4761" w:themeColor="accent1" w:themeShade="BF"/>
    </w:rPr>
  </w:style>
  <w:style w:type="paragraph" w:styleId="Citationintense">
    <w:name w:val="Intense Quote"/>
    <w:basedOn w:val="Normal"/>
    <w:next w:val="Normal"/>
    <w:link w:val="CitationintenseCar"/>
    <w:uiPriority w:val="30"/>
    <w:qFormat/>
    <w:rsid w:val="008F150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8F1507"/>
    <w:rPr>
      <w:i/>
      <w:iCs/>
      <w:color w:val="0F4761" w:themeColor="accent1" w:themeShade="BF"/>
    </w:rPr>
  </w:style>
  <w:style w:type="character" w:styleId="Rfrenceintense">
    <w:name w:val="Intense Reference"/>
    <w:basedOn w:val="Policepardfaut"/>
    <w:uiPriority w:val="32"/>
    <w:qFormat/>
    <w:rsid w:val="008F1507"/>
    <w:rPr>
      <w:b/>
      <w:bCs/>
      <w:smallCaps/>
      <w:color w:val="0F4761" w:themeColor="accent1" w:themeShade="BF"/>
      <w:spacing w:val="5"/>
    </w:rPr>
  </w:style>
  <w:style w:type="character" w:styleId="Lienhypertexte">
    <w:name w:val="Hyperlink"/>
    <w:basedOn w:val="Policepardfaut"/>
    <w:uiPriority w:val="99"/>
    <w:unhideWhenUsed/>
    <w:qFormat/>
    <w:rsid w:val="00CD54D1"/>
    <w:rPr>
      <w:color w:val="467886" w:themeColor="hyperlink"/>
      <w:u w:val="single"/>
    </w:rPr>
  </w:style>
  <w:style w:type="character" w:styleId="Appelnotedebasdep">
    <w:name w:val="footnote reference"/>
    <w:basedOn w:val="Policepardfaut"/>
    <w:uiPriority w:val="99"/>
    <w:semiHidden/>
    <w:unhideWhenUsed/>
    <w:rsid w:val="00CD54D1"/>
    <w:rPr>
      <w:vertAlign w:val="superscript"/>
    </w:rPr>
  </w:style>
  <w:style w:type="character" w:styleId="lev">
    <w:name w:val="Strong"/>
    <w:basedOn w:val="Policepardfaut"/>
    <w:uiPriority w:val="22"/>
    <w:qFormat/>
    <w:rsid w:val="00CD54D1"/>
    <w:rPr>
      <w:b/>
      <w:bCs/>
    </w:rPr>
  </w:style>
  <w:style w:type="paragraph" w:styleId="Notedebasdepage">
    <w:name w:val="footnote text"/>
    <w:basedOn w:val="Normal"/>
    <w:link w:val="NotedebasdepageCar"/>
    <w:uiPriority w:val="99"/>
    <w:semiHidden/>
    <w:unhideWhenUsed/>
    <w:rsid w:val="00CD54D1"/>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semiHidden/>
    <w:qFormat/>
    <w:rsid w:val="00CD54D1"/>
    <w:rPr>
      <w:rFonts w:eastAsiaTheme="minorHAnsi"/>
      <w:sz w:val="20"/>
      <w:szCs w:val="20"/>
      <w:lang w:val="fr-FR" w:eastAsia="en-US"/>
    </w:rPr>
  </w:style>
  <w:style w:type="paragraph" w:styleId="NormalWeb">
    <w:name w:val="Normal (Web)"/>
    <w:basedOn w:val="Normal"/>
    <w:uiPriority w:val="99"/>
    <w:unhideWhenUsed/>
    <w:qFormat/>
    <w:rsid w:val="00CD54D1"/>
    <w:pPr>
      <w:spacing w:before="100" w:beforeAutospacing="1" w:after="100" w:afterAutospacing="1" w:line="240" w:lineRule="auto"/>
    </w:pPr>
    <w:rPr>
      <w:rFonts w:ascii="Times New Roman" w:eastAsia="Times New Roman" w:hAnsi="Times New Roman" w:cs="Times New Roman"/>
      <w:kern w:val="0"/>
      <w:lang w:val="zh-CN"/>
      <w14:ligatures w14:val="none"/>
    </w:rPr>
  </w:style>
  <w:style w:type="paragraph" w:styleId="Pieddepage">
    <w:name w:val="footer"/>
    <w:basedOn w:val="Normal"/>
    <w:link w:val="PieddepageCar"/>
    <w:uiPriority w:val="99"/>
    <w:unhideWhenUsed/>
    <w:qFormat/>
    <w:rsid w:val="00CD54D1"/>
    <w:pPr>
      <w:tabs>
        <w:tab w:val="center" w:pos="4536"/>
        <w:tab w:val="right" w:pos="9072"/>
      </w:tabs>
      <w:spacing w:after="0" w:line="240" w:lineRule="auto"/>
    </w:pPr>
    <w:rPr>
      <w:rFonts w:eastAsiaTheme="minorHAnsi"/>
      <w:sz w:val="22"/>
      <w:szCs w:val="22"/>
      <w:lang w:eastAsia="en-US"/>
    </w:rPr>
  </w:style>
  <w:style w:type="character" w:customStyle="1" w:styleId="PieddepageCar">
    <w:name w:val="Pied de page Car"/>
    <w:basedOn w:val="Policepardfaut"/>
    <w:link w:val="Pieddepage"/>
    <w:uiPriority w:val="99"/>
    <w:qFormat/>
    <w:rsid w:val="00CD54D1"/>
    <w:rPr>
      <w:rFonts w:eastAsiaTheme="minorHAnsi"/>
      <w:sz w:val="22"/>
      <w:szCs w:val="22"/>
      <w:lang w:val="fr-FR" w:eastAsia="en-US"/>
    </w:rPr>
  </w:style>
  <w:style w:type="paragraph" w:styleId="En-tte">
    <w:name w:val="header"/>
    <w:basedOn w:val="Normal"/>
    <w:link w:val="En-tteCar"/>
    <w:uiPriority w:val="99"/>
    <w:unhideWhenUsed/>
    <w:rsid w:val="00CD54D1"/>
    <w:pPr>
      <w:tabs>
        <w:tab w:val="center" w:pos="4536"/>
        <w:tab w:val="right" w:pos="9072"/>
      </w:tabs>
      <w:spacing w:after="0" w:line="240" w:lineRule="auto"/>
    </w:pPr>
    <w:rPr>
      <w:rFonts w:eastAsiaTheme="minorHAnsi"/>
      <w:sz w:val="22"/>
      <w:szCs w:val="22"/>
      <w:lang w:eastAsia="en-US"/>
    </w:rPr>
  </w:style>
  <w:style w:type="character" w:customStyle="1" w:styleId="En-tteCar">
    <w:name w:val="En-tête Car"/>
    <w:basedOn w:val="Policepardfaut"/>
    <w:link w:val="En-tte"/>
    <w:uiPriority w:val="99"/>
    <w:qFormat/>
    <w:rsid w:val="00CD54D1"/>
    <w:rPr>
      <w:rFonts w:eastAsiaTheme="minorHAnsi"/>
      <w:sz w:val="22"/>
      <w:szCs w:val="22"/>
      <w:lang w:val="fr-FR" w:eastAsia="en-US"/>
    </w:rPr>
  </w:style>
  <w:style w:type="table" w:styleId="Grilledutableau">
    <w:name w:val="Table Grid"/>
    <w:basedOn w:val="TableauNormal"/>
    <w:uiPriority w:val="59"/>
    <w:rsid w:val="00CD54D1"/>
    <w:pPr>
      <w:spacing w:after="0" w:line="240" w:lineRule="auto"/>
    </w:pPr>
    <w:rPr>
      <w:rFonts w:ascii="Times New Roman" w:eastAsia="SimSun" w:hAnsi="Times New Roman"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CD54D1"/>
    <w:pPr>
      <w:spacing w:after="0" w:line="240" w:lineRule="auto"/>
    </w:pPr>
    <w:rPr>
      <w:rFonts w:eastAsiaTheme="minorHAnsi"/>
      <w:kern w:val="0"/>
      <w:sz w:val="22"/>
      <w:szCs w:val="22"/>
      <w:lang w:eastAsia="en-US"/>
      <w14:ligatures w14:val="none"/>
    </w:rPr>
  </w:style>
  <w:style w:type="paragraph" w:styleId="Lgende">
    <w:name w:val="caption"/>
    <w:basedOn w:val="Normal"/>
    <w:next w:val="Normal"/>
    <w:uiPriority w:val="35"/>
    <w:unhideWhenUsed/>
    <w:qFormat/>
    <w:rsid w:val="00BC117D"/>
    <w:pPr>
      <w:spacing w:after="200" w:line="240" w:lineRule="auto"/>
    </w:pPr>
    <w:rPr>
      <w:i/>
      <w:iCs/>
      <w:color w:val="0E2841" w:themeColor="text2"/>
      <w:sz w:val="18"/>
      <w:szCs w:val="18"/>
    </w:rPr>
  </w:style>
  <w:style w:type="paragraph" w:styleId="TM1">
    <w:name w:val="toc 1"/>
    <w:basedOn w:val="Normal"/>
    <w:next w:val="Normal"/>
    <w:autoRedefine/>
    <w:uiPriority w:val="39"/>
    <w:unhideWhenUsed/>
    <w:rsid w:val="00080724"/>
    <w:pPr>
      <w:tabs>
        <w:tab w:val="right" w:leader="dot" w:pos="9061"/>
      </w:tabs>
      <w:spacing w:after="100" w:line="360" w:lineRule="auto"/>
      <w:jc w:val="both"/>
    </w:pPr>
  </w:style>
  <w:style w:type="paragraph" w:styleId="TM2">
    <w:name w:val="toc 2"/>
    <w:basedOn w:val="Normal"/>
    <w:next w:val="Normal"/>
    <w:autoRedefine/>
    <w:uiPriority w:val="39"/>
    <w:unhideWhenUsed/>
    <w:rsid w:val="0020321F"/>
    <w:pPr>
      <w:spacing w:after="100"/>
      <w:ind w:left="240"/>
    </w:pPr>
  </w:style>
  <w:style w:type="table" w:customStyle="1" w:styleId="TableNormal1">
    <w:name w:val="Table Normal1"/>
    <w:uiPriority w:val="2"/>
    <w:semiHidden/>
    <w:unhideWhenUsed/>
    <w:qFormat/>
    <w:rsid w:val="00472A5D"/>
    <w:pPr>
      <w:widowControl w:val="0"/>
      <w:autoSpaceDE w:val="0"/>
      <w:autoSpaceDN w:val="0"/>
      <w:spacing w:after="0" w:line="240" w:lineRule="auto"/>
    </w:pPr>
    <w:rPr>
      <w:rFonts w:eastAsiaTheme="minorHAnsi"/>
      <w:kern w:val="0"/>
      <w:sz w:val="22"/>
      <w:szCs w:val="22"/>
      <w:lang w:val="en-US" w:eastAsia="en-US"/>
      <w14:ligatures w14:val="none"/>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472A5D"/>
    <w:pPr>
      <w:widowControl w:val="0"/>
      <w:autoSpaceDE w:val="0"/>
      <w:autoSpaceDN w:val="0"/>
      <w:spacing w:after="0" w:line="240" w:lineRule="auto"/>
    </w:pPr>
    <w:rPr>
      <w:rFonts w:ascii="Times New Roman" w:eastAsia="Times New Roman" w:hAnsi="Times New Roman" w:cs="Times New Roman"/>
      <w:kern w:val="0"/>
      <w:lang w:eastAsia="en-US"/>
      <w14:ligatures w14:val="none"/>
    </w:rPr>
  </w:style>
  <w:style w:type="character" w:customStyle="1" w:styleId="CorpsdetexteCar">
    <w:name w:val="Corps de texte Car"/>
    <w:basedOn w:val="Policepardfaut"/>
    <w:link w:val="Corpsdetexte"/>
    <w:uiPriority w:val="1"/>
    <w:rsid w:val="00472A5D"/>
    <w:rPr>
      <w:rFonts w:ascii="Times New Roman" w:eastAsia="Times New Roman" w:hAnsi="Times New Roman" w:cs="Times New Roman"/>
      <w:kern w:val="0"/>
      <w:lang w:val="fr-FR" w:eastAsia="en-US"/>
      <w14:ligatures w14:val="none"/>
    </w:rPr>
  </w:style>
  <w:style w:type="paragraph" w:customStyle="1" w:styleId="Titre11">
    <w:name w:val="Titre 11"/>
    <w:basedOn w:val="Normal"/>
    <w:uiPriority w:val="1"/>
    <w:qFormat/>
    <w:rsid w:val="00472A5D"/>
    <w:pPr>
      <w:widowControl w:val="0"/>
      <w:autoSpaceDE w:val="0"/>
      <w:autoSpaceDN w:val="0"/>
      <w:spacing w:after="0" w:line="240" w:lineRule="auto"/>
      <w:ind w:left="141"/>
      <w:outlineLvl w:val="1"/>
    </w:pPr>
    <w:rPr>
      <w:rFonts w:ascii="Arial" w:eastAsia="Arial" w:hAnsi="Arial" w:cs="Arial"/>
      <w:b/>
      <w:bCs/>
      <w:kern w:val="0"/>
      <w:sz w:val="32"/>
      <w:szCs w:val="32"/>
      <w:lang w:eastAsia="en-US"/>
      <w14:ligatures w14:val="none"/>
    </w:rPr>
  </w:style>
  <w:style w:type="paragraph" w:customStyle="1" w:styleId="Titre21">
    <w:name w:val="Titre 21"/>
    <w:basedOn w:val="Normal"/>
    <w:uiPriority w:val="1"/>
    <w:qFormat/>
    <w:rsid w:val="00472A5D"/>
    <w:pPr>
      <w:widowControl w:val="0"/>
      <w:autoSpaceDE w:val="0"/>
      <w:autoSpaceDN w:val="0"/>
      <w:spacing w:after="0" w:line="240" w:lineRule="auto"/>
      <w:ind w:left="372"/>
      <w:outlineLvl w:val="2"/>
    </w:pPr>
    <w:rPr>
      <w:rFonts w:ascii="Times New Roman" w:eastAsia="Times New Roman" w:hAnsi="Times New Roman" w:cs="Times New Roman"/>
      <w:b/>
      <w:bCs/>
      <w:kern w:val="0"/>
      <w:sz w:val="28"/>
      <w:szCs w:val="28"/>
      <w:lang w:eastAsia="en-US"/>
      <w14:ligatures w14:val="none"/>
    </w:rPr>
  </w:style>
  <w:style w:type="paragraph" w:customStyle="1" w:styleId="Titre31">
    <w:name w:val="Titre 31"/>
    <w:basedOn w:val="Normal"/>
    <w:uiPriority w:val="1"/>
    <w:qFormat/>
    <w:rsid w:val="00472A5D"/>
    <w:pPr>
      <w:widowControl w:val="0"/>
      <w:autoSpaceDE w:val="0"/>
      <w:autoSpaceDN w:val="0"/>
      <w:spacing w:after="0" w:line="240" w:lineRule="auto"/>
      <w:ind w:left="141"/>
      <w:outlineLvl w:val="3"/>
    </w:pPr>
    <w:rPr>
      <w:rFonts w:ascii="Times New Roman" w:eastAsia="Times New Roman" w:hAnsi="Times New Roman" w:cs="Times New Roman"/>
      <w:kern w:val="0"/>
      <w:sz w:val="28"/>
      <w:szCs w:val="28"/>
      <w:lang w:eastAsia="en-US"/>
      <w14:ligatures w14:val="none"/>
    </w:rPr>
  </w:style>
  <w:style w:type="paragraph" w:customStyle="1" w:styleId="Titre41">
    <w:name w:val="Titre 41"/>
    <w:basedOn w:val="Normal"/>
    <w:uiPriority w:val="1"/>
    <w:qFormat/>
    <w:rsid w:val="00472A5D"/>
    <w:pPr>
      <w:widowControl w:val="0"/>
      <w:autoSpaceDE w:val="0"/>
      <w:autoSpaceDN w:val="0"/>
      <w:spacing w:after="0" w:line="240" w:lineRule="auto"/>
      <w:ind w:left="141"/>
      <w:outlineLvl w:val="4"/>
    </w:pPr>
    <w:rPr>
      <w:rFonts w:ascii="Times New Roman" w:eastAsia="Times New Roman" w:hAnsi="Times New Roman" w:cs="Times New Roman"/>
      <w:b/>
      <w:bCs/>
      <w:kern w:val="0"/>
      <w:lang w:eastAsia="en-US"/>
      <w14:ligatures w14:val="none"/>
    </w:rPr>
  </w:style>
  <w:style w:type="paragraph" w:customStyle="1" w:styleId="TableParagraph">
    <w:name w:val="Table Paragraph"/>
    <w:basedOn w:val="Normal"/>
    <w:uiPriority w:val="1"/>
    <w:qFormat/>
    <w:rsid w:val="00472A5D"/>
    <w:pPr>
      <w:widowControl w:val="0"/>
      <w:autoSpaceDE w:val="0"/>
      <w:autoSpaceDN w:val="0"/>
      <w:spacing w:after="0" w:line="301" w:lineRule="exact"/>
    </w:pPr>
    <w:rPr>
      <w:rFonts w:ascii="Times New Roman" w:eastAsia="Times New Roman" w:hAnsi="Times New Roman" w:cs="Times New Roman"/>
      <w:kern w:val="0"/>
      <w:sz w:val="22"/>
      <w:szCs w:val="22"/>
      <w:lang w:eastAsia="en-US"/>
      <w14:ligatures w14:val="none"/>
    </w:rPr>
  </w:style>
  <w:style w:type="paragraph" w:styleId="Textedebulles">
    <w:name w:val="Balloon Text"/>
    <w:basedOn w:val="Normal"/>
    <w:link w:val="TextedebullesCar"/>
    <w:uiPriority w:val="99"/>
    <w:semiHidden/>
    <w:unhideWhenUsed/>
    <w:rsid w:val="00472A5D"/>
    <w:pPr>
      <w:widowControl w:val="0"/>
      <w:autoSpaceDE w:val="0"/>
      <w:autoSpaceDN w:val="0"/>
      <w:spacing w:after="0" w:line="240" w:lineRule="auto"/>
    </w:pPr>
    <w:rPr>
      <w:rFonts w:ascii="Tahoma" w:eastAsia="Times New Roman" w:hAnsi="Tahoma" w:cs="Tahoma"/>
      <w:kern w:val="0"/>
      <w:sz w:val="16"/>
      <w:szCs w:val="16"/>
      <w:lang w:eastAsia="en-US"/>
      <w14:ligatures w14:val="none"/>
    </w:rPr>
  </w:style>
  <w:style w:type="character" w:customStyle="1" w:styleId="TextedebullesCar">
    <w:name w:val="Texte de bulles Car"/>
    <w:basedOn w:val="Policepardfaut"/>
    <w:link w:val="Textedebulles"/>
    <w:uiPriority w:val="99"/>
    <w:semiHidden/>
    <w:rsid w:val="00472A5D"/>
    <w:rPr>
      <w:rFonts w:ascii="Tahoma" w:eastAsia="Times New Roman" w:hAnsi="Tahoma" w:cs="Tahoma"/>
      <w:kern w:val="0"/>
      <w:sz w:val="16"/>
      <w:szCs w:val="16"/>
      <w:lang w:val="fr-FR" w:eastAsia="en-US"/>
      <w14:ligatures w14:val="none"/>
    </w:rPr>
  </w:style>
  <w:style w:type="character" w:customStyle="1" w:styleId="ams">
    <w:name w:val="ams"/>
    <w:basedOn w:val="Policepardfaut"/>
    <w:rsid w:val="00472A5D"/>
  </w:style>
  <w:style w:type="paragraph" w:styleId="TM3">
    <w:name w:val="toc 3"/>
    <w:basedOn w:val="Normal"/>
    <w:next w:val="Normal"/>
    <w:autoRedefine/>
    <w:uiPriority w:val="39"/>
    <w:unhideWhenUsed/>
    <w:rsid w:val="00DC0FBC"/>
    <w:pPr>
      <w:spacing w:after="100"/>
      <w:ind w:left="480"/>
    </w:pPr>
  </w:style>
  <w:style w:type="paragraph" w:styleId="TM4">
    <w:name w:val="toc 4"/>
    <w:basedOn w:val="Normal"/>
    <w:next w:val="Normal"/>
    <w:autoRedefine/>
    <w:uiPriority w:val="39"/>
    <w:unhideWhenUsed/>
    <w:rsid w:val="00DC0FBC"/>
    <w:pPr>
      <w:spacing w:after="100"/>
      <w:ind w:left="720"/>
    </w:pPr>
  </w:style>
  <w:style w:type="paragraph" w:styleId="TM5">
    <w:name w:val="toc 5"/>
    <w:basedOn w:val="Normal"/>
    <w:next w:val="Normal"/>
    <w:autoRedefine/>
    <w:uiPriority w:val="39"/>
    <w:unhideWhenUsed/>
    <w:rsid w:val="00DC0FBC"/>
    <w:pPr>
      <w:spacing w:after="100"/>
      <w:ind w:left="960"/>
    </w:pPr>
  </w:style>
  <w:style w:type="paragraph" w:styleId="TM6">
    <w:name w:val="toc 6"/>
    <w:basedOn w:val="Normal"/>
    <w:next w:val="Normal"/>
    <w:autoRedefine/>
    <w:uiPriority w:val="39"/>
    <w:unhideWhenUsed/>
    <w:rsid w:val="00DC0FBC"/>
    <w:pPr>
      <w:spacing w:after="100"/>
      <w:ind w:left="1200"/>
    </w:pPr>
  </w:style>
  <w:style w:type="paragraph" w:styleId="TM7">
    <w:name w:val="toc 7"/>
    <w:basedOn w:val="Normal"/>
    <w:next w:val="Normal"/>
    <w:autoRedefine/>
    <w:uiPriority w:val="39"/>
    <w:unhideWhenUsed/>
    <w:rsid w:val="00DC0FBC"/>
    <w:pPr>
      <w:spacing w:after="100"/>
      <w:ind w:left="1440"/>
    </w:pPr>
  </w:style>
  <w:style w:type="paragraph" w:styleId="TM8">
    <w:name w:val="toc 8"/>
    <w:basedOn w:val="Normal"/>
    <w:next w:val="Normal"/>
    <w:autoRedefine/>
    <w:uiPriority w:val="39"/>
    <w:unhideWhenUsed/>
    <w:rsid w:val="00DC0FBC"/>
    <w:pPr>
      <w:spacing w:after="100"/>
      <w:ind w:left="1680"/>
    </w:pPr>
  </w:style>
  <w:style w:type="paragraph" w:styleId="TM9">
    <w:name w:val="toc 9"/>
    <w:basedOn w:val="Normal"/>
    <w:next w:val="Normal"/>
    <w:autoRedefine/>
    <w:uiPriority w:val="39"/>
    <w:unhideWhenUsed/>
    <w:rsid w:val="00DC0FBC"/>
    <w:pPr>
      <w:spacing w:after="100"/>
      <w:ind w:left="1920"/>
    </w:pPr>
  </w:style>
  <w:style w:type="character" w:customStyle="1" w:styleId="Mentionnonrsolue1">
    <w:name w:val="Mention non résolue1"/>
    <w:basedOn w:val="Policepardfaut"/>
    <w:uiPriority w:val="99"/>
    <w:semiHidden/>
    <w:unhideWhenUsed/>
    <w:rsid w:val="00DC0FBC"/>
    <w:rPr>
      <w:color w:val="605E5C"/>
      <w:shd w:val="clear" w:color="auto" w:fill="E1DFDD"/>
    </w:rPr>
  </w:style>
  <w:style w:type="paragraph" w:styleId="Tabledesillustrations">
    <w:name w:val="table of figures"/>
    <w:basedOn w:val="Normal"/>
    <w:next w:val="Normal"/>
    <w:uiPriority w:val="99"/>
    <w:unhideWhenUsed/>
    <w:rsid w:val="00CE78F4"/>
    <w:pPr>
      <w:spacing w:after="0"/>
    </w:pPr>
  </w:style>
  <w:style w:type="character" w:customStyle="1" w:styleId="apple-tab-span">
    <w:name w:val="apple-tab-span"/>
    <w:basedOn w:val="Policepardfaut"/>
    <w:rsid w:val="00F16F02"/>
  </w:style>
  <w:style w:type="character" w:customStyle="1" w:styleId="overflow-hidden">
    <w:name w:val="overflow-hidden"/>
    <w:basedOn w:val="Policepardfaut"/>
    <w:rsid w:val="00F16F02"/>
  </w:style>
  <w:style w:type="character" w:styleId="Accentuation">
    <w:name w:val="Emphasis"/>
    <w:basedOn w:val="Policepardfaut"/>
    <w:uiPriority w:val="20"/>
    <w:qFormat/>
    <w:rsid w:val="00F16F02"/>
    <w:rPr>
      <w:i/>
      <w:iCs/>
    </w:rPr>
  </w:style>
  <w:style w:type="character" w:customStyle="1" w:styleId="mord">
    <w:name w:val="mord"/>
    <w:basedOn w:val="Policepardfaut"/>
    <w:rsid w:val="00F16F02"/>
  </w:style>
  <w:style w:type="character" w:customStyle="1" w:styleId="mrel">
    <w:name w:val="mrel"/>
    <w:basedOn w:val="Policepardfaut"/>
    <w:rsid w:val="00F16F02"/>
  </w:style>
  <w:style w:type="character" w:customStyle="1" w:styleId="delimsizing">
    <w:name w:val="delimsizing"/>
    <w:basedOn w:val="Policepardfaut"/>
    <w:rsid w:val="00F16F02"/>
  </w:style>
  <w:style w:type="character" w:customStyle="1" w:styleId="vlist-s">
    <w:name w:val="vlist-s"/>
    <w:basedOn w:val="Policepardfaut"/>
    <w:rsid w:val="00F16F02"/>
  </w:style>
  <w:style w:type="character" w:customStyle="1" w:styleId="mbin">
    <w:name w:val="mbin"/>
    <w:basedOn w:val="Policepardfaut"/>
    <w:rsid w:val="00F16F0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fr-FR" w:eastAsia="zh-CN"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50E"/>
  </w:style>
  <w:style w:type="paragraph" w:styleId="Titre1">
    <w:name w:val="heading 1"/>
    <w:basedOn w:val="Normal"/>
    <w:next w:val="Normal"/>
    <w:link w:val="Titre1Car"/>
    <w:uiPriority w:val="9"/>
    <w:qFormat/>
    <w:rsid w:val="008F150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8F150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8F1507"/>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unhideWhenUsed/>
    <w:qFormat/>
    <w:rsid w:val="008F1507"/>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unhideWhenUsed/>
    <w:qFormat/>
    <w:rsid w:val="008F1507"/>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8F1507"/>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8F1507"/>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8F1507"/>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8F1507"/>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F1507"/>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8F1507"/>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8F1507"/>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rsid w:val="008F1507"/>
    <w:rPr>
      <w:rFonts w:eastAsiaTheme="majorEastAsia" w:cstheme="majorBidi"/>
      <w:i/>
      <w:iCs/>
      <w:color w:val="0F4761" w:themeColor="accent1" w:themeShade="BF"/>
    </w:rPr>
  </w:style>
  <w:style w:type="character" w:customStyle="1" w:styleId="Titre5Car">
    <w:name w:val="Titre 5 Car"/>
    <w:basedOn w:val="Policepardfaut"/>
    <w:link w:val="Titre5"/>
    <w:uiPriority w:val="9"/>
    <w:rsid w:val="008F1507"/>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8F1507"/>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8F1507"/>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8F1507"/>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8F1507"/>
    <w:rPr>
      <w:rFonts w:eastAsiaTheme="majorEastAsia" w:cstheme="majorBidi"/>
      <w:color w:val="272727" w:themeColor="text1" w:themeTint="D8"/>
    </w:rPr>
  </w:style>
  <w:style w:type="paragraph" w:styleId="Titre">
    <w:name w:val="Title"/>
    <w:basedOn w:val="Normal"/>
    <w:next w:val="Normal"/>
    <w:link w:val="TitreCar"/>
    <w:uiPriority w:val="10"/>
    <w:qFormat/>
    <w:rsid w:val="008F15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8F1507"/>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8F1507"/>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8F1507"/>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8F1507"/>
    <w:pPr>
      <w:spacing w:before="160"/>
      <w:jc w:val="center"/>
    </w:pPr>
    <w:rPr>
      <w:i/>
      <w:iCs/>
      <w:color w:val="404040" w:themeColor="text1" w:themeTint="BF"/>
    </w:rPr>
  </w:style>
  <w:style w:type="character" w:customStyle="1" w:styleId="CitationCar">
    <w:name w:val="Citation Car"/>
    <w:basedOn w:val="Policepardfaut"/>
    <w:link w:val="Citation"/>
    <w:uiPriority w:val="29"/>
    <w:rsid w:val="008F1507"/>
    <w:rPr>
      <w:i/>
      <w:iCs/>
      <w:color w:val="404040" w:themeColor="text1" w:themeTint="BF"/>
    </w:rPr>
  </w:style>
  <w:style w:type="paragraph" w:styleId="Paragraphedeliste">
    <w:name w:val="List Paragraph"/>
    <w:basedOn w:val="Normal"/>
    <w:uiPriority w:val="34"/>
    <w:qFormat/>
    <w:rsid w:val="008F1507"/>
    <w:pPr>
      <w:ind w:left="720"/>
      <w:contextualSpacing/>
    </w:pPr>
  </w:style>
  <w:style w:type="character" w:styleId="Emphaseintense">
    <w:name w:val="Intense Emphasis"/>
    <w:basedOn w:val="Policepardfaut"/>
    <w:uiPriority w:val="21"/>
    <w:qFormat/>
    <w:rsid w:val="008F1507"/>
    <w:rPr>
      <w:i/>
      <w:iCs/>
      <w:color w:val="0F4761" w:themeColor="accent1" w:themeShade="BF"/>
    </w:rPr>
  </w:style>
  <w:style w:type="paragraph" w:styleId="Citationintense">
    <w:name w:val="Intense Quote"/>
    <w:basedOn w:val="Normal"/>
    <w:next w:val="Normal"/>
    <w:link w:val="CitationintenseCar"/>
    <w:uiPriority w:val="30"/>
    <w:qFormat/>
    <w:rsid w:val="008F150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8F1507"/>
    <w:rPr>
      <w:i/>
      <w:iCs/>
      <w:color w:val="0F4761" w:themeColor="accent1" w:themeShade="BF"/>
    </w:rPr>
  </w:style>
  <w:style w:type="character" w:styleId="Rfrenceintense">
    <w:name w:val="Intense Reference"/>
    <w:basedOn w:val="Policepardfaut"/>
    <w:uiPriority w:val="32"/>
    <w:qFormat/>
    <w:rsid w:val="008F1507"/>
    <w:rPr>
      <w:b/>
      <w:bCs/>
      <w:smallCaps/>
      <w:color w:val="0F4761" w:themeColor="accent1" w:themeShade="BF"/>
      <w:spacing w:val="5"/>
    </w:rPr>
  </w:style>
  <w:style w:type="character" w:styleId="Lienhypertexte">
    <w:name w:val="Hyperlink"/>
    <w:basedOn w:val="Policepardfaut"/>
    <w:uiPriority w:val="99"/>
    <w:unhideWhenUsed/>
    <w:qFormat/>
    <w:rsid w:val="00CD54D1"/>
    <w:rPr>
      <w:color w:val="467886" w:themeColor="hyperlink"/>
      <w:u w:val="single"/>
    </w:rPr>
  </w:style>
  <w:style w:type="character" w:styleId="Appelnotedebasdep">
    <w:name w:val="footnote reference"/>
    <w:basedOn w:val="Policepardfaut"/>
    <w:uiPriority w:val="99"/>
    <w:semiHidden/>
    <w:unhideWhenUsed/>
    <w:rsid w:val="00CD54D1"/>
    <w:rPr>
      <w:vertAlign w:val="superscript"/>
    </w:rPr>
  </w:style>
  <w:style w:type="character" w:styleId="lev">
    <w:name w:val="Strong"/>
    <w:basedOn w:val="Policepardfaut"/>
    <w:uiPriority w:val="22"/>
    <w:qFormat/>
    <w:rsid w:val="00CD54D1"/>
    <w:rPr>
      <w:b/>
      <w:bCs/>
    </w:rPr>
  </w:style>
  <w:style w:type="paragraph" w:styleId="Notedebasdepage">
    <w:name w:val="footnote text"/>
    <w:basedOn w:val="Normal"/>
    <w:link w:val="NotedebasdepageCar"/>
    <w:uiPriority w:val="99"/>
    <w:semiHidden/>
    <w:unhideWhenUsed/>
    <w:rsid w:val="00CD54D1"/>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semiHidden/>
    <w:qFormat/>
    <w:rsid w:val="00CD54D1"/>
    <w:rPr>
      <w:rFonts w:eastAsiaTheme="minorHAnsi"/>
      <w:sz w:val="20"/>
      <w:szCs w:val="20"/>
      <w:lang w:val="fr-FR" w:eastAsia="en-US"/>
    </w:rPr>
  </w:style>
  <w:style w:type="paragraph" w:styleId="NormalWeb">
    <w:name w:val="Normal (Web)"/>
    <w:basedOn w:val="Normal"/>
    <w:uiPriority w:val="99"/>
    <w:unhideWhenUsed/>
    <w:qFormat/>
    <w:rsid w:val="00CD54D1"/>
    <w:pPr>
      <w:spacing w:before="100" w:beforeAutospacing="1" w:after="100" w:afterAutospacing="1" w:line="240" w:lineRule="auto"/>
    </w:pPr>
    <w:rPr>
      <w:rFonts w:ascii="Times New Roman" w:eastAsia="Times New Roman" w:hAnsi="Times New Roman" w:cs="Times New Roman"/>
      <w:kern w:val="0"/>
      <w:lang w:val="zh-CN"/>
      <w14:ligatures w14:val="none"/>
    </w:rPr>
  </w:style>
  <w:style w:type="paragraph" w:styleId="Pieddepage">
    <w:name w:val="footer"/>
    <w:basedOn w:val="Normal"/>
    <w:link w:val="PieddepageCar"/>
    <w:uiPriority w:val="99"/>
    <w:unhideWhenUsed/>
    <w:qFormat/>
    <w:rsid w:val="00CD54D1"/>
    <w:pPr>
      <w:tabs>
        <w:tab w:val="center" w:pos="4536"/>
        <w:tab w:val="right" w:pos="9072"/>
      </w:tabs>
      <w:spacing w:after="0" w:line="240" w:lineRule="auto"/>
    </w:pPr>
    <w:rPr>
      <w:rFonts w:eastAsiaTheme="minorHAnsi"/>
      <w:sz w:val="22"/>
      <w:szCs w:val="22"/>
      <w:lang w:eastAsia="en-US"/>
    </w:rPr>
  </w:style>
  <w:style w:type="character" w:customStyle="1" w:styleId="PieddepageCar">
    <w:name w:val="Pied de page Car"/>
    <w:basedOn w:val="Policepardfaut"/>
    <w:link w:val="Pieddepage"/>
    <w:uiPriority w:val="99"/>
    <w:qFormat/>
    <w:rsid w:val="00CD54D1"/>
    <w:rPr>
      <w:rFonts w:eastAsiaTheme="minorHAnsi"/>
      <w:sz w:val="22"/>
      <w:szCs w:val="22"/>
      <w:lang w:val="fr-FR" w:eastAsia="en-US"/>
    </w:rPr>
  </w:style>
  <w:style w:type="paragraph" w:styleId="En-tte">
    <w:name w:val="header"/>
    <w:basedOn w:val="Normal"/>
    <w:link w:val="En-tteCar"/>
    <w:uiPriority w:val="99"/>
    <w:unhideWhenUsed/>
    <w:rsid w:val="00CD54D1"/>
    <w:pPr>
      <w:tabs>
        <w:tab w:val="center" w:pos="4536"/>
        <w:tab w:val="right" w:pos="9072"/>
      </w:tabs>
      <w:spacing w:after="0" w:line="240" w:lineRule="auto"/>
    </w:pPr>
    <w:rPr>
      <w:rFonts w:eastAsiaTheme="minorHAnsi"/>
      <w:sz w:val="22"/>
      <w:szCs w:val="22"/>
      <w:lang w:eastAsia="en-US"/>
    </w:rPr>
  </w:style>
  <w:style w:type="character" w:customStyle="1" w:styleId="En-tteCar">
    <w:name w:val="En-tête Car"/>
    <w:basedOn w:val="Policepardfaut"/>
    <w:link w:val="En-tte"/>
    <w:uiPriority w:val="99"/>
    <w:qFormat/>
    <w:rsid w:val="00CD54D1"/>
    <w:rPr>
      <w:rFonts w:eastAsiaTheme="minorHAnsi"/>
      <w:sz w:val="22"/>
      <w:szCs w:val="22"/>
      <w:lang w:val="fr-FR" w:eastAsia="en-US"/>
    </w:rPr>
  </w:style>
  <w:style w:type="table" w:styleId="Grilledutableau">
    <w:name w:val="Table Grid"/>
    <w:basedOn w:val="TableauNormal"/>
    <w:uiPriority w:val="59"/>
    <w:rsid w:val="00CD54D1"/>
    <w:pPr>
      <w:spacing w:after="0" w:line="240" w:lineRule="auto"/>
    </w:pPr>
    <w:rPr>
      <w:rFonts w:ascii="Times New Roman" w:eastAsia="SimSun" w:hAnsi="Times New Roman"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CD54D1"/>
    <w:pPr>
      <w:spacing w:after="0" w:line="240" w:lineRule="auto"/>
    </w:pPr>
    <w:rPr>
      <w:rFonts w:eastAsiaTheme="minorHAnsi"/>
      <w:kern w:val="0"/>
      <w:sz w:val="22"/>
      <w:szCs w:val="22"/>
      <w:lang w:eastAsia="en-US"/>
      <w14:ligatures w14:val="none"/>
    </w:rPr>
  </w:style>
  <w:style w:type="paragraph" w:styleId="Lgende">
    <w:name w:val="caption"/>
    <w:basedOn w:val="Normal"/>
    <w:next w:val="Normal"/>
    <w:uiPriority w:val="35"/>
    <w:unhideWhenUsed/>
    <w:qFormat/>
    <w:rsid w:val="00BC117D"/>
    <w:pPr>
      <w:spacing w:after="200" w:line="240" w:lineRule="auto"/>
    </w:pPr>
    <w:rPr>
      <w:i/>
      <w:iCs/>
      <w:color w:val="0E2841" w:themeColor="text2"/>
      <w:sz w:val="18"/>
      <w:szCs w:val="18"/>
    </w:rPr>
  </w:style>
  <w:style w:type="paragraph" w:styleId="TM1">
    <w:name w:val="toc 1"/>
    <w:basedOn w:val="Normal"/>
    <w:next w:val="Normal"/>
    <w:autoRedefine/>
    <w:uiPriority w:val="39"/>
    <w:unhideWhenUsed/>
    <w:rsid w:val="00080724"/>
    <w:pPr>
      <w:tabs>
        <w:tab w:val="right" w:leader="dot" w:pos="9061"/>
      </w:tabs>
      <w:spacing w:after="100" w:line="360" w:lineRule="auto"/>
      <w:jc w:val="both"/>
    </w:pPr>
  </w:style>
  <w:style w:type="paragraph" w:styleId="TM2">
    <w:name w:val="toc 2"/>
    <w:basedOn w:val="Normal"/>
    <w:next w:val="Normal"/>
    <w:autoRedefine/>
    <w:uiPriority w:val="39"/>
    <w:unhideWhenUsed/>
    <w:rsid w:val="0020321F"/>
    <w:pPr>
      <w:spacing w:after="100"/>
      <w:ind w:left="240"/>
    </w:pPr>
  </w:style>
  <w:style w:type="table" w:customStyle="1" w:styleId="TableNormal1">
    <w:name w:val="Table Normal1"/>
    <w:uiPriority w:val="2"/>
    <w:semiHidden/>
    <w:unhideWhenUsed/>
    <w:qFormat/>
    <w:rsid w:val="00472A5D"/>
    <w:pPr>
      <w:widowControl w:val="0"/>
      <w:autoSpaceDE w:val="0"/>
      <w:autoSpaceDN w:val="0"/>
      <w:spacing w:after="0" w:line="240" w:lineRule="auto"/>
    </w:pPr>
    <w:rPr>
      <w:rFonts w:eastAsiaTheme="minorHAnsi"/>
      <w:kern w:val="0"/>
      <w:sz w:val="22"/>
      <w:szCs w:val="22"/>
      <w:lang w:val="en-US" w:eastAsia="en-US"/>
      <w14:ligatures w14:val="none"/>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472A5D"/>
    <w:pPr>
      <w:widowControl w:val="0"/>
      <w:autoSpaceDE w:val="0"/>
      <w:autoSpaceDN w:val="0"/>
      <w:spacing w:after="0" w:line="240" w:lineRule="auto"/>
    </w:pPr>
    <w:rPr>
      <w:rFonts w:ascii="Times New Roman" w:eastAsia="Times New Roman" w:hAnsi="Times New Roman" w:cs="Times New Roman"/>
      <w:kern w:val="0"/>
      <w:lang w:eastAsia="en-US"/>
      <w14:ligatures w14:val="none"/>
    </w:rPr>
  </w:style>
  <w:style w:type="character" w:customStyle="1" w:styleId="CorpsdetexteCar">
    <w:name w:val="Corps de texte Car"/>
    <w:basedOn w:val="Policepardfaut"/>
    <w:link w:val="Corpsdetexte"/>
    <w:uiPriority w:val="1"/>
    <w:rsid w:val="00472A5D"/>
    <w:rPr>
      <w:rFonts w:ascii="Times New Roman" w:eastAsia="Times New Roman" w:hAnsi="Times New Roman" w:cs="Times New Roman"/>
      <w:kern w:val="0"/>
      <w:lang w:val="fr-FR" w:eastAsia="en-US"/>
      <w14:ligatures w14:val="none"/>
    </w:rPr>
  </w:style>
  <w:style w:type="paragraph" w:customStyle="1" w:styleId="Titre11">
    <w:name w:val="Titre 11"/>
    <w:basedOn w:val="Normal"/>
    <w:uiPriority w:val="1"/>
    <w:qFormat/>
    <w:rsid w:val="00472A5D"/>
    <w:pPr>
      <w:widowControl w:val="0"/>
      <w:autoSpaceDE w:val="0"/>
      <w:autoSpaceDN w:val="0"/>
      <w:spacing w:after="0" w:line="240" w:lineRule="auto"/>
      <w:ind w:left="141"/>
      <w:outlineLvl w:val="1"/>
    </w:pPr>
    <w:rPr>
      <w:rFonts w:ascii="Arial" w:eastAsia="Arial" w:hAnsi="Arial" w:cs="Arial"/>
      <w:b/>
      <w:bCs/>
      <w:kern w:val="0"/>
      <w:sz w:val="32"/>
      <w:szCs w:val="32"/>
      <w:lang w:eastAsia="en-US"/>
      <w14:ligatures w14:val="none"/>
    </w:rPr>
  </w:style>
  <w:style w:type="paragraph" w:customStyle="1" w:styleId="Titre21">
    <w:name w:val="Titre 21"/>
    <w:basedOn w:val="Normal"/>
    <w:uiPriority w:val="1"/>
    <w:qFormat/>
    <w:rsid w:val="00472A5D"/>
    <w:pPr>
      <w:widowControl w:val="0"/>
      <w:autoSpaceDE w:val="0"/>
      <w:autoSpaceDN w:val="0"/>
      <w:spacing w:after="0" w:line="240" w:lineRule="auto"/>
      <w:ind w:left="372"/>
      <w:outlineLvl w:val="2"/>
    </w:pPr>
    <w:rPr>
      <w:rFonts w:ascii="Times New Roman" w:eastAsia="Times New Roman" w:hAnsi="Times New Roman" w:cs="Times New Roman"/>
      <w:b/>
      <w:bCs/>
      <w:kern w:val="0"/>
      <w:sz w:val="28"/>
      <w:szCs w:val="28"/>
      <w:lang w:eastAsia="en-US"/>
      <w14:ligatures w14:val="none"/>
    </w:rPr>
  </w:style>
  <w:style w:type="paragraph" w:customStyle="1" w:styleId="Titre31">
    <w:name w:val="Titre 31"/>
    <w:basedOn w:val="Normal"/>
    <w:uiPriority w:val="1"/>
    <w:qFormat/>
    <w:rsid w:val="00472A5D"/>
    <w:pPr>
      <w:widowControl w:val="0"/>
      <w:autoSpaceDE w:val="0"/>
      <w:autoSpaceDN w:val="0"/>
      <w:spacing w:after="0" w:line="240" w:lineRule="auto"/>
      <w:ind w:left="141"/>
      <w:outlineLvl w:val="3"/>
    </w:pPr>
    <w:rPr>
      <w:rFonts w:ascii="Times New Roman" w:eastAsia="Times New Roman" w:hAnsi="Times New Roman" w:cs="Times New Roman"/>
      <w:kern w:val="0"/>
      <w:sz w:val="28"/>
      <w:szCs w:val="28"/>
      <w:lang w:eastAsia="en-US"/>
      <w14:ligatures w14:val="none"/>
    </w:rPr>
  </w:style>
  <w:style w:type="paragraph" w:customStyle="1" w:styleId="Titre41">
    <w:name w:val="Titre 41"/>
    <w:basedOn w:val="Normal"/>
    <w:uiPriority w:val="1"/>
    <w:qFormat/>
    <w:rsid w:val="00472A5D"/>
    <w:pPr>
      <w:widowControl w:val="0"/>
      <w:autoSpaceDE w:val="0"/>
      <w:autoSpaceDN w:val="0"/>
      <w:spacing w:after="0" w:line="240" w:lineRule="auto"/>
      <w:ind w:left="141"/>
      <w:outlineLvl w:val="4"/>
    </w:pPr>
    <w:rPr>
      <w:rFonts w:ascii="Times New Roman" w:eastAsia="Times New Roman" w:hAnsi="Times New Roman" w:cs="Times New Roman"/>
      <w:b/>
      <w:bCs/>
      <w:kern w:val="0"/>
      <w:lang w:eastAsia="en-US"/>
      <w14:ligatures w14:val="none"/>
    </w:rPr>
  </w:style>
  <w:style w:type="paragraph" w:customStyle="1" w:styleId="TableParagraph">
    <w:name w:val="Table Paragraph"/>
    <w:basedOn w:val="Normal"/>
    <w:uiPriority w:val="1"/>
    <w:qFormat/>
    <w:rsid w:val="00472A5D"/>
    <w:pPr>
      <w:widowControl w:val="0"/>
      <w:autoSpaceDE w:val="0"/>
      <w:autoSpaceDN w:val="0"/>
      <w:spacing w:after="0" w:line="301" w:lineRule="exact"/>
    </w:pPr>
    <w:rPr>
      <w:rFonts w:ascii="Times New Roman" w:eastAsia="Times New Roman" w:hAnsi="Times New Roman" w:cs="Times New Roman"/>
      <w:kern w:val="0"/>
      <w:sz w:val="22"/>
      <w:szCs w:val="22"/>
      <w:lang w:eastAsia="en-US"/>
      <w14:ligatures w14:val="none"/>
    </w:rPr>
  </w:style>
  <w:style w:type="paragraph" w:styleId="Textedebulles">
    <w:name w:val="Balloon Text"/>
    <w:basedOn w:val="Normal"/>
    <w:link w:val="TextedebullesCar"/>
    <w:uiPriority w:val="99"/>
    <w:semiHidden/>
    <w:unhideWhenUsed/>
    <w:rsid w:val="00472A5D"/>
    <w:pPr>
      <w:widowControl w:val="0"/>
      <w:autoSpaceDE w:val="0"/>
      <w:autoSpaceDN w:val="0"/>
      <w:spacing w:after="0" w:line="240" w:lineRule="auto"/>
    </w:pPr>
    <w:rPr>
      <w:rFonts w:ascii="Tahoma" w:eastAsia="Times New Roman" w:hAnsi="Tahoma" w:cs="Tahoma"/>
      <w:kern w:val="0"/>
      <w:sz w:val="16"/>
      <w:szCs w:val="16"/>
      <w:lang w:eastAsia="en-US"/>
      <w14:ligatures w14:val="none"/>
    </w:rPr>
  </w:style>
  <w:style w:type="character" w:customStyle="1" w:styleId="TextedebullesCar">
    <w:name w:val="Texte de bulles Car"/>
    <w:basedOn w:val="Policepardfaut"/>
    <w:link w:val="Textedebulles"/>
    <w:uiPriority w:val="99"/>
    <w:semiHidden/>
    <w:rsid w:val="00472A5D"/>
    <w:rPr>
      <w:rFonts w:ascii="Tahoma" w:eastAsia="Times New Roman" w:hAnsi="Tahoma" w:cs="Tahoma"/>
      <w:kern w:val="0"/>
      <w:sz w:val="16"/>
      <w:szCs w:val="16"/>
      <w:lang w:val="fr-FR" w:eastAsia="en-US"/>
      <w14:ligatures w14:val="none"/>
    </w:rPr>
  </w:style>
  <w:style w:type="character" w:customStyle="1" w:styleId="ams">
    <w:name w:val="ams"/>
    <w:basedOn w:val="Policepardfaut"/>
    <w:rsid w:val="00472A5D"/>
  </w:style>
  <w:style w:type="paragraph" w:styleId="TM3">
    <w:name w:val="toc 3"/>
    <w:basedOn w:val="Normal"/>
    <w:next w:val="Normal"/>
    <w:autoRedefine/>
    <w:uiPriority w:val="39"/>
    <w:unhideWhenUsed/>
    <w:rsid w:val="00DC0FBC"/>
    <w:pPr>
      <w:spacing w:after="100"/>
      <w:ind w:left="480"/>
    </w:pPr>
  </w:style>
  <w:style w:type="paragraph" w:styleId="TM4">
    <w:name w:val="toc 4"/>
    <w:basedOn w:val="Normal"/>
    <w:next w:val="Normal"/>
    <w:autoRedefine/>
    <w:uiPriority w:val="39"/>
    <w:unhideWhenUsed/>
    <w:rsid w:val="00DC0FBC"/>
    <w:pPr>
      <w:spacing w:after="100"/>
      <w:ind w:left="720"/>
    </w:pPr>
  </w:style>
  <w:style w:type="paragraph" w:styleId="TM5">
    <w:name w:val="toc 5"/>
    <w:basedOn w:val="Normal"/>
    <w:next w:val="Normal"/>
    <w:autoRedefine/>
    <w:uiPriority w:val="39"/>
    <w:unhideWhenUsed/>
    <w:rsid w:val="00DC0FBC"/>
    <w:pPr>
      <w:spacing w:after="100"/>
      <w:ind w:left="960"/>
    </w:pPr>
  </w:style>
  <w:style w:type="paragraph" w:styleId="TM6">
    <w:name w:val="toc 6"/>
    <w:basedOn w:val="Normal"/>
    <w:next w:val="Normal"/>
    <w:autoRedefine/>
    <w:uiPriority w:val="39"/>
    <w:unhideWhenUsed/>
    <w:rsid w:val="00DC0FBC"/>
    <w:pPr>
      <w:spacing w:after="100"/>
      <w:ind w:left="1200"/>
    </w:pPr>
  </w:style>
  <w:style w:type="paragraph" w:styleId="TM7">
    <w:name w:val="toc 7"/>
    <w:basedOn w:val="Normal"/>
    <w:next w:val="Normal"/>
    <w:autoRedefine/>
    <w:uiPriority w:val="39"/>
    <w:unhideWhenUsed/>
    <w:rsid w:val="00DC0FBC"/>
    <w:pPr>
      <w:spacing w:after="100"/>
      <w:ind w:left="1440"/>
    </w:pPr>
  </w:style>
  <w:style w:type="paragraph" w:styleId="TM8">
    <w:name w:val="toc 8"/>
    <w:basedOn w:val="Normal"/>
    <w:next w:val="Normal"/>
    <w:autoRedefine/>
    <w:uiPriority w:val="39"/>
    <w:unhideWhenUsed/>
    <w:rsid w:val="00DC0FBC"/>
    <w:pPr>
      <w:spacing w:after="100"/>
      <w:ind w:left="1680"/>
    </w:pPr>
  </w:style>
  <w:style w:type="paragraph" w:styleId="TM9">
    <w:name w:val="toc 9"/>
    <w:basedOn w:val="Normal"/>
    <w:next w:val="Normal"/>
    <w:autoRedefine/>
    <w:uiPriority w:val="39"/>
    <w:unhideWhenUsed/>
    <w:rsid w:val="00DC0FBC"/>
    <w:pPr>
      <w:spacing w:after="100"/>
      <w:ind w:left="1920"/>
    </w:pPr>
  </w:style>
  <w:style w:type="character" w:customStyle="1" w:styleId="Mentionnonrsolue1">
    <w:name w:val="Mention non résolue1"/>
    <w:basedOn w:val="Policepardfaut"/>
    <w:uiPriority w:val="99"/>
    <w:semiHidden/>
    <w:unhideWhenUsed/>
    <w:rsid w:val="00DC0FBC"/>
    <w:rPr>
      <w:color w:val="605E5C"/>
      <w:shd w:val="clear" w:color="auto" w:fill="E1DFDD"/>
    </w:rPr>
  </w:style>
  <w:style w:type="paragraph" w:styleId="Tabledesillustrations">
    <w:name w:val="table of figures"/>
    <w:basedOn w:val="Normal"/>
    <w:next w:val="Normal"/>
    <w:uiPriority w:val="99"/>
    <w:unhideWhenUsed/>
    <w:rsid w:val="00CE78F4"/>
    <w:pPr>
      <w:spacing w:after="0"/>
    </w:pPr>
  </w:style>
  <w:style w:type="character" w:customStyle="1" w:styleId="apple-tab-span">
    <w:name w:val="apple-tab-span"/>
    <w:basedOn w:val="Policepardfaut"/>
    <w:rsid w:val="00F16F02"/>
  </w:style>
  <w:style w:type="character" w:customStyle="1" w:styleId="overflow-hidden">
    <w:name w:val="overflow-hidden"/>
    <w:basedOn w:val="Policepardfaut"/>
    <w:rsid w:val="00F16F02"/>
  </w:style>
  <w:style w:type="character" w:styleId="Accentuation">
    <w:name w:val="Emphasis"/>
    <w:basedOn w:val="Policepardfaut"/>
    <w:uiPriority w:val="20"/>
    <w:qFormat/>
    <w:rsid w:val="00F16F02"/>
    <w:rPr>
      <w:i/>
      <w:iCs/>
    </w:rPr>
  </w:style>
  <w:style w:type="character" w:customStyle="1" w:styleId="mord">
    <w:name w:val="mord"/>
    <w:basedOn w:val="Policepardfaut"/>
    <w:rsid w:val="00F16F02"/>
  </w:style>
  <w:style w:type="character" w:customStyle="1" w:styleId="mrel">
    <w:name w:val="mrel"/>
    <w:basedOn w:val="Policepardfaut"/>
    <w:rsid w:val="00F16F02"/>
  </w:style>
  <w:style w:type="character" w:customStyle="1" w:styleId="delimsizing">
    <w:name w:val="delimsizing"/>
    <w:basedOn w:val="Policepardfaut"/>
    <w:rsid w:val="00F16F02"/>
  </w:style>
  <w:style w:type="character" w:customStyle="1" w:styleId="vlist-s">
    <w:name w:val="vlist-s"/>
    <w:basedOn w:val="Policepardfaut"/>
    <w:rsid w:val="00F16F02"/>
  </w:style>
  <w:style w:type="character" w:customStyle="1" w:styleId="mbin">
    <w:name w:val="mbin"/>
    <w:basedOn w:val="Policepardfaut"/>
    <w:rsid w:val="00F16F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7267642">
      <w:bodyDiv w:val="1"/>
      <w:marLeft w:val="0"/>
      <w:marRight w:val="0"/>
      <w:marTop w:val="0"/>
      <w:marBottom w:val="0"/>
      <w:divBdr>
        <w:top w:val="none" w:sz="0" w:space="0" w:color="auto"/>
        <w:left w:val="none" w:sz="0" w:space="0" w:color="auto"/>
        <w:bottom w:val="none" w:sz="0" w:space="0" w:color="auto"/>
        <w:right w:val="none" w:sz="0" w:space="0" w:color="auto"/>
      </w:divBdr>
    </w:div>
    <w:div w:id="649290028">
      <w:bodyDiv w:val="1"/>
      <w:marLeft w:val="0"/>
      <w:marRight w:val="0"/>
      <w:marTop w:val="0"/>
      <w:marBottom w:val="0"/>
      <w:divBdr>
        <w:top w:val="none" w:sz="0" w:space="0" w:color="auto"/>
        <w:left w:val="none" w:sz="0" w:space="0" w:color="auto"/>
        <w:bottom w:val="none" w:sz="0" w:space="0" w:color="auto"/>
        <w:right w:val="none" w:sz="0" w:space="0" w:color="auto"/>
      </w:divBdr>
    </w:div>
    <w:div w:id="1085417637">
      <w:bodyDiv w:val="1"/>
      <w:marLeft w:val="0"/>
      <w:marRight w:val="0"/>
      <w:marTop w:val="0"/>
      <w:marBottom w:val="0"/>
      <w:divBdr>
        <w:top w:val="none" w:sz="0" w:space="0" w:color="auto"/>
        <w:left w:val="none" w:sz="0" w:space="0" w:color="auto"/>
        <w:bottom w:val="none" w:sz="0" w:space="0" w:color="auto"/>
        <w:right w:val="none" w:sz="0" w:space="0" w:color="auto"/>
      </w:divBdr>
      <w:divsChild>
        <w:div w:id="417793124">
          <w:marLeft w:val="0"/>
          <w:marRight w:val="0"/>
          <w:marTop w:val="0"/>
          <w:marBottom w:val="0"/>
          <w:divBdr>
            <w:top w:val="none" w:sz="0" w:space="0" w:color="auto"/>
            <w:left w:val="none" w:sz="0" w:space="0" w:color="auto"/>
            <w:bottom w:val="none" w:sz="0" w:space="0" w:color="auto"/>
            <w:right w:val="none" w:sz="0" w:space="0" w:color="auto"/>
          </w:divBdr>
        </w:div>
        <w:div w:id="2077680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3.png"/><Relationship Id="rId26" Type="http://schemas.openxmlformats.org/officeDocument/2006/relationships/diagramQuickStyle" Target="diagrams/quickStyle1.xml"/><Relationship Id="rId39" Type="http://schemas.openxmlformats.org/officeDocument/2006/relationships/image" Target="media/image12.png"/><Relationship Id="rId21" Type="http://schemas.openxmlformats.org/officeDocument/2006/relationships/image" Target="media/image6.png"/><Relationship Id="rId34" Type="http://schemas.openxmlformats.org/officeDocument/2006/relationships/image" Target="media/image8.jpeg"/><Relationship Id="rId42" Type="http://schemas.openxmlformats.org/officeDocument/2006/relationships/header" Target="header4.xml"/><Relationship Id="rId47" Type="http://schemas.openxmlformats.org/officeDocument/2006/relationships/image" Target="media/image16.png"/><Relationship Id="rId50" Type="http://schemas.openxmlformats.org/officeDocument/2006/relationships/header" Target="header8.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diagramData" Target="diagrams/data2.xml"/><Relationship Id="rId11" Type="http://schemas.openxmlformats.org/officeDocument/2006/relationships/footer" Target="footer2.xml"/><Relationship Id="rId24" Type="http://schemas.openxmlformats.org/officeDocument/2006/relationships/diagramData" Target="diagrams/data1.xml"/><Relationship Id="rId32" Type="http://schemas.openxmlformats.org/officeDocument/2006/relationships/diagramColors" Target="diagrams/colors2.xml"/><Relationship Id="rId37" Type="http://schemas.openxmlformats.org/officeDocument/2006/relationships/image" Target="media/image10.png"/><Relationship Id="rId40" Type="http://schemas.openxmlformats.org/officeDocument/2006/relationships/image" Target="media/image13.jpeg"/><Relationship Id="rId45" Type="http://schemas.openxmlformats.org/officeDocument/2006/relationships/header" Target="header6.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header" Target="header3.xml"/><Relationship Id="rId28" Type="http://schemas.microsoft.com/office/2007/relationships/diagramDrawing" Target="diagrams/drawing1.xml"/><Relationship Id="rId36" Type="http://schemas.openxmlformats.org/officeDocument/2006/relationships/image" Target="media/image9.png"/><Relationship Id="rId49" Type="http://schemas.openxmlformats.org/officeDocument/2006/relationships/header" Target="header7.xml"/><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diagramQuickStyle" Target="diagrams/quickStyle2.xml"/><Relationship Id="rId44" Type="http://schemas.openxmlformats.org/officeDocument/2006/relationships/hyperlink" Target="https://www.accountingnotes.net/cost-accounting/budgetary-control/budgetary-control-meaning-objectivescontrol-advantages-and-limitations/17138"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diagramColors" Target="diagrams/colors1.xml"/><Relationship Id="rId30" Type="http://schemas.openxmlformats.org/officeDocument/2006/relationships/diagramLayout" Target="diagrams/layout2.xml"/><Relationship Id="rId35" Type="http://schemas.openxmlformats.org/officeDocument/2006/relationships/chart" Target="charts/chart1.xml"/><Relationship Id="rId43" Type="http://schemas.openxmlformats.org/officeDocument/2006/relationships/header" Target="header5.xml"/><Relationship Id="rId48" Type="http://schemas.openxmlformats.org/officeDocument/2006/relationships/image" Target="media/image17.jpeg"/><Relationship Id="rId8" Type="http://schemas.openxmlformats.org/officeDocument/2006/relationships/endnotes" Target="endnotes.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png"/><Relationship Id="rId25" Type="http://schemas.openxmlformats.org/officeDocument/2006/relationships/diagramLayout" Target="diagrams/layout1.xml"/><Relationship Id="rId33" Type="http://schemas.microsoft.com/office/2007/relationships/diagramDrawing" Target="diagrams/drawing2.xml"/><Relationship Id="rId38" Type="http://schemas.openxmlformats.org/officeDocument/2006/relationships/image" Target="media/image11.png"/><Relationship Id="rId46" Type="http://schemas.openxmlformats.org/officeDocument/2006/relationships/image" Target="media/image15.png"/><Relationship Id="rId20" Type="http://schemas.openxmlformats.org/officeDocument/2006/relationships/image" Target="media/image5.png"/><Relationship Id="rId41"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PREVISION 2023</c:v>
                </c:pt>
              </c:strCache>
            </c:strRef>
          </c:tx>
          <c:invertIfNegative val="0"/>
          <c:cat>
            <c:strRef>
              <c:f>Feuil1!$A$2:$A$5</c:f>
              <c:strCache>
                <c:ptCount val="4"/>
                <c:pt idx="0">
                  <c:v>Achats Consommés</c:v>
                </c:pt>
                <c:pt idx="1">
                  <c:v>Services Extérieurs et Autre Services</c:v>
                </c:pt>
                <c:pt idx="2">
                  <c:v>Charges du Personnel</c:v>
                </c:pt>
                <c:pt idx="3">
                  <c:v>Impôts, Taxes  et Versement Assimilées</c:v>
                </c:pt>
              </c:strCache>
            </c:strRef>
          </c:cat>
          <c:val>
            <c:numRef>
              <c:f>Feuil1!$B$2:$B$5</c:f>
              <c:numCache>
                <c:formatCode>#,##0</c:formatCode>
                <c:ptCount val="4"/>
                <c:pt idx="0">
                  <c:v>146200</c:v>
                </c:pt>
                <c:pt idx="1">
                  <c:v>353000</c:v>
                </c:pt>
                <c:pt idx="2">
                  <c:v>1500000</c:v>
                </c:pt>
                <c:pt idx="3" formatCode="General">
                  <c:v>1500</c:v>
                </c:pt>
              </c:numCache>
            </c:numRef>
          </c:val>
          <c:extLst xmlns:c16r2="http://schemas.microsoft.com/office/drawing/2015/06/chart">
            <c:ext xmlns:c16="http://schemas.microsoft.com/office/drawing/2014/chart" uri="{C3380CC4-5D6E-409C-BE32-E72D297353CC}">
              <c16:uniqueId val="{00000000-BCF3-4D43-838E-830B89C764A7}"/>
            </c:ext>
          </c:extLst>
        </c:ser>
        <c:ser>
          <c:idx val="1"/>
          <c:order val="1"/>
          <c:tx>
            <c:strRef>
              <c:f>Feuil1!$C$1</c:f>
              <c:strCache>
                <c:ptCount val="1"/>
                <c:pt idx="0">
                  <c:v>Budget ACCORDER 2023</c:v>
                </c:pt>
              </c:strCache>
            </c:strRef>
          </c:tx>
          <c:invertIfNegative val="0"/>
          <c:cat>
            <c:strRef>
              <c:f>Feuil1!$A$2:$A$5</c:f>
              <c:strCache>
                <c:ptCount val="4"/>
                <c:pt idx="0">
                  <c:v>Achats Consommés</c:v>
                </c:pt>
                <c:pt idx="1">
                  <c:v>Services Extérieurs et Autre Services</c:v>
                </c:pt>
                <c:pt idx="2">
                  <c:v>Charges du Personnel</c:v>
                </c:pt>
                <c:pt idx="3">
                  <c:v>Impôts, Taxes  et Versement Assimilées</c:v>
                </c:pt>
              </c:strCache>
            </c:strRef>
          </c:cat>
          <c:val>
            <c:numRef>
              <c:f>Feuil1!$C$2:$C$5</c:f>
              <c:numCache>
                <c:formatCode>#,##0</c:formatCode>
                <c:ptCount val="4"/>
                <c:pt idx="0">
                  <c:v>126200</c:v>
                </c:pt>
                <c:pt idx="1">
                  <c:v>577800</c:v>
                </c:pt>
                <c:pt idx="2">
                  <c:v>1649160</c:v>
                </c:pt>
                <c:pt idx="3" formatCode="General">
                  <c:v>1500</c:v>
                </c:pt>
              </c:numCache>
            </c:numRef>
          </c:val>
          <c:extLst xmlns:c16r2="http://schemas.microsoft.com/office/drawing/2015/06/chart">
            <c:ext xmlns:c16="http://schemas.microsoft.com/office/drawing/2014/chart" uri="{C3380CC4-5D6E-409C-BE32-E72D297353CC}">
              <c16:uniqueId val="{00000001-BCF3-4D43-838E-830B89C764A7}"/>
            </c:ext>
          </c:extLst>
        </c:ser>
        <c:ser>
          <c:idx val="2"/>
          <c:order val="2"/>
          <c:tx>
            <c:strRef>
              <c:f>Feuil1!$D$1</c:f>
              <c:strCache>
                <c:ptCount val="1"/>
                <c:pt idx="0">
                  <c:v>Série 3</c:v>
                </c:pt>
              </c:strCache>
            </c:strRef>
          </c:tx>
          <c:invertIfNegative val="0"/>
          <c:cat>
            <c:strRef>
              <c:f>Feuil1!$A$2:$A$5</c:f>
              <c:strCache>
                <c:ptCount val="4"/>
                <c:pt idx="0">
                  <c:v>Achats Consommés</c:v>
                </c:pt>
                <c:pt idx="1">
                  <c:v>Services Extérieurs et Autre Services</c:v>
                </c:pt>
                <c:pt idx="2">
                  <c:v>Charges du Personnel</c:v>
                </c:pt>
                <c:pt idx="3">
                  <c:v>Impôts, Taxes  et Versement Assimilées</c:v>
                </c:pt>
              </c:strCache>
            </c:strRef>
          </c:cat>
          <c:val>
            <c:numRef>
              <c:f>Feuil1!$D$2:$D$5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BCF3-4D43-838E-830B89C764A7}"/>
            </c:ext>
          </c:extLst>
        </c:ser>
        <c:dLbls>
          <c:showLegendKey val="0"/>
          <c:showVal val="0"/>
          <c:showCatName val="0"/>
          <c:showSerName val="0"/>
          <c:showPercent val="0"/>
          <c:showBubbleSize val="0"/>
        </c:dLbls>
        <c:gapWidth val="150"/>
        <c:axId val="241254400"/>
        <c:axId val="217466560"/>
      </c:barChart>
      <c:catAx>
        <c:axId val="241254400"/>
        <c:scaling>
          <c:orientation val="minMax"/>
        </c:scaling>
        <c:delete val="0"/>
        <c:axPos val="b"/>
        <c:numFmt formatCode="General" sourceLinked="0"/>
        <c:majorTickMark val="out"/>
        <c:minorTickMark val="none"/>
        <c:tickLblPos val="nextTo"/>
        <c:crossAx val="217466560"/>
        <c:crosses val="autoZero"/>
        <c:auto val="1"/>
        <c:lblAlgn val="ctr"/>
        <c:lblOffset val="100"/>
        <c:noMultiLvlLbl val="0"/>
      </c:catAx>
      <c:valAx>
        <c:axId val="217466560"/>
        <c:scaling>
          <c:orientation val="minMax"/>
        </c:scaling>
        <c:delete val="0"/>
        <c:axPos val="l"/>
        <c:majorGridlines/>
        <c:numFmt formatCode="#,##0" sourceLinked="1"/>
        <c:majorTickMark val="out"/>
        <c:minorTickMark val="none"/>
        <c:tickLblPos val="nextTo"/>
        <c:crossAx val="241254400"/>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A7BC32D-077A-4A16-B477-FAB6A1D4410D}" type="doc">
      <dgm:prSet loTypeId="urn:microsoft.com/office/officeart/2005/8/layout/orgChart1" loCatId="hierarchy" qsTypeId="urn:microsoft.com/office/officeart/2005/8/quickstyle/simple1" qsCatId="simple" csTypeId="urn:microsoft.com/office/officeart/2005/8/colors/accent4_1" csCatId="accent4" phldr="1"/>
      <dgm:spPr/>
      <dgm:t>
        <a:bodyPr/>
        <a:lstStyle/>
        <a:p>
          <a:endParaRPr lang="x-none"/>
        </a:p>
      </dgm:t>
    </dgm:pt>
    <dgm:pt modelId="{FA54F7AB-74B8-4B17-B772-391565A13C52}">
      <dgm:prSet phldrT="[Texte]" custT="1"/>
      <dgm:spPr/>
      <dgm:t>
        <a:bodyPr/>
        <a:lstStyle/>
        <a:p>
          <a:r>
            <a:rPr lang="fr-FR" sz="1400" b="1">
              <a:latin typeface="Times New Roman" panose="02020603050405020304" pitchFamily="18" charset="0"/>
              <a:cs typeface="Times New Roman" panose="02020603050405020304" pitchFamily="18" charset="0"/>
            </a:rPr>
            <a:t>PDG</a:t>
          </a:r>
          <a:endParaRPr lang="x-none" sz="1400" b="1">
            <a:latin typeface="Times New Roman" panose="02020603050405020304" pitchFamily="18" charset="0"/>
            <a:cs typeface="Times New Roman" panose="02020603050405020304" pitchFamily="18" charset="0"/>
          </a:endParaRPr>
        </a:p>
      </dgm:t>
    </dgm:pt>
    <dgm:pt modelId="{EBCFCABA-17BB-48C8-86B7-5A6ED64C8C86}" type="parTrans" cxnId="{9CB425FB-390F-44F4-9EF3-4BBC4CF82287}">
      <dgm:prSet/>
      <dgm:spPr/>
      <dgm:t>
        <a:bodyPr/>
        <a:lstStyle/>
        <a:p>
          <a:endParaRPr lang="x-none" sz="1100">
            <a:latin typeface="Times New Roman" panose="02020603050405020304" pitchFamily="18" charset="0"/>
            <a:cs typeface="Times New Roman" panose="02020603050405020304" pitchFamily="18" charset="0"/>
          </a:endParaRPr>
        </a:p>
      </dgm:t>
    </dgm:pt>
    <dgm:pt modelId="{29174A64-9986-4668-9CC8-F335F90BAD40}" type="sibTrans" cxnId="{9CB425FB-390F-44F4-9EF3-4BBC4CF82287}">
      <dgm:prSet/>
      <dgm:spPr/>
      <dgm:t>
        <a:bodyPr/>
        <a:lstStyle/>
        <a:p>
          <a:endParaRPr lang="x-none" sz="1100">
            <a:latin typeface="Times New Roman" panose="02020603050405020304" pitchFamily="18" charset="0"/>
            <a:cs typeface="Times New Roman" panose="02020603050405020304" pitchFamily="18" charset="0"/>
          </a:endParaRPr>
        </a:p>
      </dgm:t>
    </dgm:pt>
    <dgm:pt modelId="{B39B65CA-E528-4953-B56F-DEAB1285B093}" type="asst">
      <dgm:prSet phldrT="[Texte]" custT="1"/>
      <dgm:spPr/>
      <dgm:t>
        <a:bodyPr/>
        <a:lstStyle/>
        <a:p>
          <a:r>
            <a:rPr lang="fr-FR" sz="1100">
              <a:latin typeface="Times New Roman" panose="02020603050405020304" pitchFamily="18" charset="0"/>
              <a:cs typeface="Times New Roman" panose="02020603050405020304" pitchFamily="18" charset="0"/>
            </a:rPr>
            <a:t>Dir.surete interne</a:t>
          </a:r>
          <a:endParaRPr lang="x-none" sz="1100">
            <a:latin typeface="Times New Roman" panose="02020603050405020304" pitchFamily="18" charset="0"/>
            <a:cs typeface="Times New Roman" panose="02020603050405020304" pitchFamily="18" charset="0"/>
          </a:endParaRPr>
        </a:p>
      </dgm:t>
    </dgm:pt>
    <dgm:pt modelId="{83DC2716-C838-4D1D-9018-C896BD0B40E5}" type="parTrans" cxnId="{EDC5915B-F344-4140-8750-06C39AF5367E}">
      <dgm:prSet/>
      <dgm:spPr/>
      <dgm:t>
        <a:bodyPr/>
        <a:lstStyle/>
        <a:p>
          <a:endParaRPr lang="x-none" sz="1100">
            <a:latin typeface="Times New Roman" panose="02020603050405020304" pitchFamily="18" charset="0"/>
            <a:cs typeface="Times New Roman" panose="02020603050405020304" pitchFamily="18" charset="0"/>
          </a:endParaRPr>
        </a:p>
      </dgm:t>
    </dgm:pt>
    <dgm:pt modelId="{503DBA6C-0845-4EE7-82DA-871366BE2B59}" type="sibTrans" cxnId="{EDC5915B-F344-4140-8750-06C39AF5367E}">
      <dgm:prSet/>
      <dgm:spPr/>
      <dgm:t>
        <a:bodyPr/>
        <a:lstStyle/>
        <a:p>
          <a:endParaRPr lang="x-none" sz="1100">
            <a:latin typeface="Times New Roman" panose="02020603050405020304" pitchFamily="18" charset="0"/>
            <a:cs typeface="Times New Roman" panose="02020603050405020304" pitchFamily="18" charset="0"/>
          </a:endParaRPr>
        </a:p>
      </dgm:t>
    </dgm:pt>
    <dgm:pt modelId="{3EF6A330-6A07-4C4E-AA47-5141B3411228}">
      <dgm:prSet phldrT="[Texte]" custT="1"/>
      <dgm:spPr/>
      <dgm:t>
        <a:bodyPr/>
        <a:lstStyle/>
        <a:p>
          <a:r>
            <a:rPr lang="fr-FR" sz="1100">
              <a:latin typeface="Times New Roman" panose="02020603050405020304" pitchFamily="18" charset="0"/>
              <a:cs typeface="Times New Roman" panose="02020603050405020304" pitchFamily="18" charset="0"/>
            </a:rPr>
            <a:t>Pôle infrastructures reseaux</a:t>
          </a:r>
          <a:endParaRPr lang="x-none" sz="1100">
            <a:latin typeface="Times New Roman" panose="02020603050405020304" pitchFamily="18" charset="0"/>
            <a:cs typeface="Times New Roman" panose="02020603050405020304" pitchFamily="18" charset="0"/>
          </a:endParaRPr>
        </a:p>
      </dgm:t>
    </dgm:pt>
    <dgm:pt modelId="{CCC93074-9E41-4C37-9CC9-0AF133912A00}" type="parTrans" cxnId="{79025013-CA00-470A-B6D6-F19FEDB59E2D}">
      <dgm:prSet/>
      <dgm:spPr/>
      <dgm:t>
        <a:bodyPr/>
        <a:lstStyle/>
        <a:p>
          <a:endParaRPr lang="x-none" sz="1100">
            <a:latin typeface="Times New Roman" panose="02020603050405020304" pitchFamily="18" charset="0"/>
            <a:cs typeface="Times New Roman" panose="02020603050405020304" pitchFamily="18" charset="0"/>
          </a:endParaRPr>
        </a:p>
      </dgm:t>
    </dgm:pt>
    <dgm:pt modelId="{2B655D1B-6232-4392-B14D-AEA3E1728ADF}" type="sibTrans" cxnId="{79025013-CA00-470A-B6D6-F19FEDB59E2D}">
      <dgm:prSet/>
      <dgm:spPr/>
      <dgm:t>
        <a:bodyPr/>
        <a:lstStyle/>
        <a:p>
          <a:endParaRPr lang="x-none" sz="1100">
            <a:latin typeface="Times New Roman" panose="02020603050405020304" pitchFamily="18" charset="0"/>
            <a:cs typeface="Times New Roman" panose="02020603050405020304" pitchFamily="18" charset="0"/>
          </a:endParaRPr>
        </a:p>
      </dgm:t>
    </dgm:pt>
    <dgm:pt modelId="{A0B68447-CFA2-44C7-97DA-82C82B8EC586}">
      <dgm:prSet phldrT="[Texte]" custT="1"/>
      <dgm:spPr/>
      <dgm:t>
        <a:bodyPr/>
        <a:lstStyle/>
        <a:p>
          <a:r>
            <a:rPr lang="fr-FR" sz="1100">
              <a:latin typeface="Times New Roman" panose="02020603050405020304" pitchFamily="18" charset="0"/>
              <a:cs typeface="Times New Roman" panose="02020603050405020304" pitchFamily="18" charset="0"/>
            </a:rPr>
            <a:t>Pôle commerciale, marketing &amp; innovation</a:t>
          </a:r>
          <a:endParaRPr lang="x-none" sz="1100">
            <a:latin typeface="Times New Roman" panose="02020603050405020304" pitchFamily="18" charset="0"/>
            <a:cs typeface="Times New Roman" panose="02020603050405020304" pitchFamily="18" charset="0"/>
          </a:endParaRPr>
        </a:p>
      </dgm:t>
    </dgm:pt>
    <dgm:pt modelId="{F557DFAD-4E45-42D1-9BCD-81E9BD6AFC59}" type="parTrans" cxnId="{7F974D79-7313-43EA-B5E0-EDA8A893EB7B}">
      <dgm:prSet/>
      <dgm:spPr/>
      <dgm:t>
        <a:bodyPr/>
        <a:lstStyle/>
        <a:p>
          <a:endParaRPr lang="x-none" sz="1100">
            <a:latin typeface="Times New Roman" panose="02020603050405020304" pitchFamily="18" charset="0"/>
            <a:cs typeface="Times New Roman" panose="02020603050405020304" pitchFamily="18" charset="0"/>
          </a:endParaRPr>
        </a:p>
      </dgm:t>
    </dgm:pt>
    <dgm:pt modelId="{10C7C1E3-3184-4E70-AF46-6900238AD13B}" type="sibTrans" cxnId="{7F974D79-7313-43EA-B5E0-EDA8A893EB7B}">
      <dgm:prSet/>
      <dgm:spPr/>
      <dgm:t>
        <a:bodyPr/>
        <a:lstStyle/>
        <a:p>
          <a:endParaRPr lang="x-none" sz="1100">
            <a:latin typeface="Times New Roman" panose="02020603050405020304" pitchFamily="18" charset="0"/>
            <a:cs typeface="Times New Roman" panose="02020603050405020304" pitchFamily="18" charset="0"/>
          </a:endParaRPr>
        </a:p>
      </dgm:t>
    </dgm:pt>
    <dgm:pt modelId="{70BA61E2-EB33-46CD-8E40-48127DBB1201}">
      <dgm:prSet phldrT="[Texte]" custT="1"/>
      <dgm:spPr/>
      <dgm:t>
        <a:bodyPr/>
        <a:lstStyle/>
        <a:p>
          <a:r>
            <a:rPr lang="fr-FR" sz="1100">
              <a:latin typeface="Times New Roman" panose="02020603050405020304" pitchFamily="18" charset="0"/>
              <a:cs typeface="Times New Roman" panose="02020603050405020304" pitchFamily="18" charset="0"/>
            </a:rPr>
            <a:t>Pôle fonctions support</a:t>
          </a:r>
          <a:endParaRPr lang="x-none" sz="1100">
            <a:latin typeface="Times New Roman" panose="02020603050405020304" pitchFamily="18" charset="0"/>
            <a:cs typeface="Times New Roman" panose="02020603050405020304" pitchFamily="18" charset="0"/>
          </a:endParaRPr>
        </a:p>
      </dgm:t>
    </dgm:pt>
    <dgm:pt modelId="{B5F111D1-ACC7-40DE-9841-B2A71F977030}" type="parTrans" cxnId="{C2611862-2DAE-444C-AAD6-34E78D245CE0}">
      <dgm:prSet/>
      <dgm:spPr/>
      <dgm:t>
        <a:bodyPr/>
        <a:lstStyle/>
        <a:p>
          <a:endParaRPr lang="x-none" sz="1100">
            <a:latin typeface="Times New Roman" panose="02020603050405020304" pitchFamily="18" charset="0"/>
            <a:cs typeface="Times New Roman" panose="02020603050405020304" pitchFamily="18" charset="0"/>
          </a:endParaRPr>
        </a:p>
      </dgm:t>
    </dgm:pt>
    <dgm:pt modelId="{1876C64E-98A9-4555-A52E-B96394B890F8}" type="sibTrans" cxnId="{C2611862-2DAE-444C-AAD6-34E78D245CE0}">
      <dgm:prSet/>
      <dgm:spPr/>
      <dgm:t>
        <a:bodyPr/>
        <a:lstStyle/>
        <a:p>
          <a:endParaRPr lang="x-none" sz="1100">
            <a:latin typeface="Times New Roman" panose="02020603050405020304" pitchFamily="18" charset="0"/>
            <a:cs typeface="Times New Roman" panose="02020603050405020304" pitchFamily="18" charset="0"/>
          </a:endParaRPr>
        </a:p>
      </dgm:t>
    </dgm:pt>
    <dgm:pt modelId="{9E1EC928-F66A-4626-A97F-F7688C1AA77A}" type="asst">
      <dgm:prSet custT="1"/>
      <dgm:spPr/>
      <dgm:t>
        <a:bodyPr/>
        <a:lstStyle/>
        <a:p>
          <a:r>
            <a:rPr lang="fr-FR" sz="1100">
              <a:latin typeface="Times New Roman" panose="02020603050405020304" pitchFamily="18" charset="0"/>
              <a:cs typeface="Times New Roman" panose="02020603050405020304" pitchFamily="18" charset="0"/>
            </a:rPr>
            <a:t>Cabinet du PDG</a:t>
          </a:r>
          <a:endParaRPr lang="x-none" sz="1100">
            <a:latin typeface="Times New Roman" panose="02020603050405020304" pitchFamily="18" charset="0"/>
            <a:cs typeface="Times New Roman" panose="02020603050405020304" pitchFamily="18" charset="0"/>
          </a:endParaRPr>
        </a:p>
      </dgm:t>
    </dgm:pt>
    <dgm:pt modelId="{6B44CC9E-B757-4069-AD8F-B151B9D6BE23}" type="parTrans" cxnId="{B8EAF5EF-8435-466A-9540-1072EBD22BF0}">
      <dgm:prSet/>
      <dgm:spPr/>
      <dgm:t>
        <a:bodyPr/>
        <a:lstStyle/>
        <a:p>
          <a:endParaRPr lang="x-none" sz="1100">
            <a:latin typeface="Times New Roman" panose="02020603050405020304" pitchFamily="18" charset="0"/>
            <a:cs typeface="Times New Roman" panose="02020603050405020304" pitchFamily="18" charset="0"/>
          </a:endParaRPr>
        </a:p>
      </dgm:t>
    </dgm:pt>
    <dgm:pt modelId="{9BA52CD8-13AA-42F1-BA7F-C9D31107E5D7}" type="sibTrans" cxnId="{B8EAF5EF-8435-466A-9540-1072EBD22BF0}">
      <dgm:prSet/>
      <dgm:spPr/>
      <dgm:t>
        <a:bodyPr/>
        <a:lstStyle/>
        <a:p>
          <a:endParaRPr lang="x-none" sz="1100">
            <a:latin typeface="Times New Roman" panose="02020603050405020304" pitchFamily="18" charset="0"/>
            <a:cs typeface="Times New Roman" panose="02020603050405020304" pitchFamily="18" charset="0"/>
          </a:endParaRPr>
        </a:p>
      </dgm:t>
    </dgm:pt>
    <dgm:pt modelId="{938D2A34-23C2-4831-A8D2-75E00BFA0B99}" type="asst">
      <dgm:prSet custT="1"/>
      <dgm:spPr/>
      <dgm:t>
        <a:bodyPr/>
        <a:lstStyle/>
        <a:p>
          <a:r>
            <a:rPr lang="fr-FR" sz="1100">
              <a:latin typeface="Times New Roman" panose="02020603050405020304" pitchFamily="18" charset="0"/>
              <a:cs typeface="Times New Roman" panose="02020603050405020304" pitchFamily="18" charset="0"/>
            </a:rPr>
            <a:t>Reso.Securite SI</a:t>
          </a:r>
          <a:endParaRPr lang="x-none" sz="1100">
            <a:latin typeface="Times New Roman" panose="02020603050405020304" pitchFamily="18" charset="0"/>
            <a:cs typeface="Times New Roman" panose="02020603050405020304" pitchFamily="18" charset="0"/>
          </a:endParaRPr>
        </a:p>
      </dgm:t>
    </dgm:pt>
    <dgm:pt modelId="{F48DCC3A-A967-4DEE-BD34-1B6C3EAD7A6B}" type="parTrans" cxnId="{99E8BACA-F23A-4B8B-9209-13E533CC9CC9}">
      <dgm:prSet/>
      <dgm:spPr/>
      <dgm:t>
        <a:bodyPr/>
        <a:lstStyle/>
        <a:p>
          <a:endParaRPr lang="x-none" sz="1100">
            <a:latin typeface="Times New Roman" panose="02020603050405020304" pitchFamily="18" charset="0"/>
            <a:cs typeface="Times New Roman" panose="02020603050405020304" pitchFamily="18" charset="0"/>
          </a:endParaRPr>
        </a:p>
      </dgm:t>
    </dgm:pt>
    <dgm:pt modelId="{F324B9A8-E358-476E-B8C1-48EF7ED06D45}" type="sibTrans" cxnId="{99E8BACA-F23A-4B8B-9209-13E533CC9CC9}">
      <dgm:prSet/>
      <dgm:spPr/>
      <dgm:t>
        <a:bodyPr/>
        <a:lstStyle/>
        <a:p>
          <a:endParaRPr lang="x-none" sz="1100">
            <a:latin typeface="Times New Roman" panose="02020603050405020304" pitchFamily="18" charset="0"/>
            <a:cs typeface="Times New Roman" panose="02020603050405020304" pitchFamily="18" charset="0"/>
          </a:endParaRPr>
        </a:p>
      </dgm:t>
    </dgm:pt>
    <dgm:pt modelId="{31642C91-5CAC-4302-AF28-FFF3FBE67E1D}" type="asst">
      <dgm:prSet custT="1"/>
      <dgm:spPr/>
      <dgm:t>
        <a:bodyPr/>
        <a:lstStyle/>
        <a:p>
          <a:r>
            <a:rPr lang="fr-FR" sz="1100">
              <a:latin typeface="Times New Roman" panose="02020603050405020304" pitchFamily="18" charset="0"/>
              <a:cs typeface="Times New Roman" panose="02020603050405020304" pitchFamily="18" charset="0"/>
            </a:rPr>
            <a:t>Inspection générale</a:t>
          </a:r>
          <a:endParaRPr lang="x-none" sz="1100">
            <a:latin typeface="Times New Roman" panose="02020603050405020304" pitchFamily="18" charset="0"/>
            <a:cs typeface="Times New Roman" panose="02020603050405020304" pitchFamily="18" charset="0"/>
          </a:endParaRPr>
        </a:p>
      </dgm:t>
    </dgm:pt>
    <dgm:pt modelId="{D567D640-8BF7-4893-8212-A523B3F4FF78}" type="parTrans" cxnId="{820DD33B-0CDA-4D82-9F7C-E6E7EA7B7639}">
      <dgm:prSet/>
      <dgm:spPr/>
      <dgm:t>
        <a:bodyPr/>
        <a:lstStyle/>
        <a:p>
          <a:endParaRPr lang="x-none" sz="1100">
            <a:latin typeface="Times New Roman" panose="02020603050405020304" pitchFamily="18" charset="0"/>
            <a:cs typeface="Times New Roman" panose="02020603050405020304" pitchFamily="18" charset="0"/>
          </a:endParaRPr>
        </a:p>
      </dgm:t>
    </dgm:pt>
    <dgm:pt modelId="{9FF044C0-45E6-476D-8960-BCDEACDB39EE}" type="sibTrans" cxnId="{820DD33B-0CDA-4D82-9F7C-E6E7EA7B7639}">
      <dgm:prSet/>
      <dgm:spPr/>
      <dgm:t>
        <a:bodyPr/>
        <a:lstStyle/>
        <a:p>
          <a:endParaRPr lang="x-none" sz="1100">
            <a:latin typeface="Times New Roman" panose="02020603050405020304" pitchFamily="18" charset="0"/>
            <a:cs typeface="Times New Roman" panose="02020603050405020304" pitchFamily="18" charset="0"/>
          </a:endParaRPr>
        </a:p>
      </dgm:t>
    </dgm:pt>
    <dgm:pt modelId="{08442D47-B9AB-44B5-931F-32E7F2CC6DBF}" type="asst">
      <dgm:prSet custT="1"/>
      <dgm:spPr/>
      <dgm:t>
        <a:bodyPr/>
        <a:lstStyle/>
        <a:p>
          <a:r>
            <a:rPr lang="fr-FR" sz="1100">
              <a:latin typeface="Times New Roman" panose="02020603050405020304" pitchFamily="18" charset="0"/>
              <a:cs typeface="Times New Roman" panose="02020603050405020304" pitchFamily="18" charset="0"/>
            </a:rPr>
            <a:t>Div.strategie</a:t>
          </a:r>
          <a:endParaRPr lang="x-none" sz="1100">
            <a:latin typeface="Times New Roman" panose="02020603050405020304" pitchFamily="18" charset="0"/>
            <a:cs typeface="Times New Roman" panose="02020603050405020304" pitchFamily="18" charset="0"/>
          </a:endParaRPr>
        </a:p>
      </dgm:t>
    </dgm:pt>
    <dgm:pt modelId="{B50C7B49-58A0-4F69-9719-47C512C374E7}" type="parTrans" cxnId="{9AD50443-CDAD-4039-AF24-C90E951286E5}">
      <dgm:prSet/>
      <dgm:spPr/>
      <dgm:t>
        <a:bodyPr/>
        <a:lstStyle/>
        <a:p>
          <a:endParaRPr lang="x-none" sz="1100">
            <a:latin typeface="Times New Roman" panose="02020603050405020304" pitchFamily="18" charset="0"/>
            <a:cs typeface="Times New Roman" panose="02020603050405020304" pitchFamily="18" charset="0"/>
          </a:endParaRPr>
        </a:p>
      </dgm:t>
    </dgm:pt>
    <dgm:pt modelId="{A83E0132-3CC8-4CA1-A851-CCB639F2CBC8}" type="sibTrans" cxnId="{9AD50443-CDAD-4039-AF24-C90E951286E5}">
      <dgm:prSet/>
      <dgm:spPr/>
      <dgm:t>
        <a:bodyPr/>
        <a:lstStyle/>
        <a:p>
          <a:endParaRPr lang="x-none" sz="1100">
            <a:latin typeface="Times New Roman" panose="02020603050405020304" pitchFamily="18" charset="0"/>
            <a:cs typeface="Times New Roman" panose="02020603050405020304" pitchFamily="18" charset="0"/>
          </a:endParaRPr>
        </a:p>
      </dgm:t>
    </dgm:pt>
    <dgm:pt modelId="{DEAFC1B9-D573-465B-8029-29A792D38A25}" type="asst">
      <dgm:prSet custT="1"/>
      <dgm:spPr/>
      <dgm:t>
        <a:bodyPr/>
        <a:lstStyle/>
        <a:p>
          <a:r>
            <a:rPr lang="fr-FR" sz="1100">
              <a:latin typeface="Times New Roman" panose="02020603050405020304" pitchFamily="18" charset="0"/>
              <a:cs typeface="Times New Roman" panose="02020603050405020304" pitchFamily="18" charset="0"/>
            </a:rPr>
            <a:t>Div.audit</a:t>
          </a:r>
          <a:endParaRPr lang="x-none" sz="1100">
            <a:latin typeface="Times New Roman" panose="02020603050405020304" pitchFamily="18" charset="0"/>
            <a:cs typeface="Times New Roman" panose="02020603050405020304" pitchFamily="18" charset="0"/>
          </a:endParaRPr>
        </a:p>
      </dgm:t>
    </dgm:pt>
    <dgm:pt modelId="{EEF4B92D-BBDA-46ED-9108-CBB0FA98A10B}" type="parTrans" cxnId="{EF12D7DA-8DF2-495A-B7A5-84069D012DE4}">
      <dgm:prSet/>
      <dgm:spPr/>
      <dgm:t>
        <a:bodyPr/>
        <a:lstStyle/>
        <a:p>
          <a:endParaRPr lang="x-none" sz="1100">
            <a:latin typeface="Times New Roman" panose="02020603050405020304" pitchFamily="18" charset="0"/>
            <a:cs typeface="Times New Roman" panose="02020603050405020304" pitchFamily="18" charset="0"/>
          </a:endParaRPr>
        </a:p>
      </dgm:t>
    </dgm:pt>
    <dgm:pt modelId="{402A6154-AD32-40D7-83DB-44DBE5CE0687}" type="sibTrans" cxnId="{EF12D7DA-8DF2-495A-B7A5-84069D012DE4}">
      <dgm:prSet/>
      <dgm:spPr/>
      <dgm:t>
        <a:bodyPr/>
        <a:lstStyle/>
        <a:p>
          <a:endParaRPr lang="x-none" sz="1100">
            <a:latin typeface="Times New Roman" panose="02020603050405020304" pitchFamily="18" charset="0"/>
            <a:cs typeface="Times New Roman" panose="02020603050405020304" pitchFamily="18" charset="0"/>
          </a:endParaRPr>
        </a:p>
      </dgm:t>
    </dgm:pt>
    <dgm:pt modelId="{882FAB9D-27AE-41BE-82E1-D8E0C6AD4ACE}">
      <dgm:prSet custT="1"/>
      <dgm:spPr/>
      <dgm:t>
        <a:bodyPr/>
        <a:lstStyle/>
        <a:p>
          <a:r>
            <a:rPr lang="fr-FR" sz="1100">
              <a:latin typeface="Times New Roman" panose="02020603050405020304" pitchFamily="18" charset="0"/>
              <a:cs typeface="Times New Roman" panose="02020603050405020304" pitchFamily="18" charset="0"/>
            </a:rPr>
            <a:t>Directions operationnelles (DO)</a:t>
          </a:r>
          <a:endParaRPr lang="x-none" sz="1100">
            <a:latin typeface="Times New Roman" panose="02020603050405020304" pitchFamily="18" charset="0"/>
            <a:cs typeface="Times New Roman" panose="02020603050405020304" pitchFamily="18" charset="0"/>
          </a:endParaRPr>
        </a:p>
      </dgm:t>
    </dgm:pt>
    <dgm:pt modelId="{720172AE-F439-43F6-8E6F-CA8D319F9E45}" type="parTrans" cxnId="{A9AF6BE1-C2CA-4904-AABD-792AE9F55FB9}">
      <dgm:prSet/>
      <dgm:spPr/>
      <dgm:t>
        <a:bodyPr/>
        <a:lstStyle/>
        <a:p>
          <a:endParaRPr lang="x-none" sz="1100">
            <a:latin typeface="Times New Roman" panose="02020603050405020304" pitchFamily="18" charset="0"/>
            <a:cs typeface="Times New Roman" panose="02020603050405020304" pitchFamily="18" charset="0"/>
          </a:endParaRPr>
        </a:p>
      </dgm:t>
    </dgm:pt>
    <dgm:pt modelId="{E80D0278-BCF3-4D3D-A69A-03B9035996E7}" type="sibTrans" cxnId="{A9AF6BE1-C2CA-4904-AABD-792AE9F55FB9}">
      <dgm:prSet/>
      <dgm:spPr/>
      <dgm:t>
        <a:bodyPr/>
        <a:lstStyle/>
        <a:p>
          <a:endParaRPr lang="x-none" sz="1100">
            <a:latin typeface="Times New Roman" panose="02020603050405020304" pitchFamily="18" charset="0"/>
            <a:cs typeface="Times New Roman" panose="02020603050405020304" pitchFamily="18" charset="0"/>
          </a:endParaRPr>
        </a:p>
      </dgm:t>
    </dgm:pt>
    <dgm:pt modelId="{77E89702-204D-4C3F-A73F-CF95388529F9}" type="pres">
      <dgm:prSet presAssocID="{7A7BC32D-077A-4A16-B477-FAB6A1D4410D}" presName="hierChild1" presStyleCnt="0">
        <dgm:presLayoutVars>
          <dgm:orgChart val="1"/>
          <dgm:chPref val="1"/>
          <dgm:dir/>
          <dgm:animOne val="branch"/>
          <dgm:animLvl val="lvl"/>
          <dgm:resizeHandles/>
        </dgm:presLayoutVars>
      </dgm:prSet>
      <dgm:spPr/>
      <dgm:t>
        <a:bodyPr/>
        <a:lstStyle/>
        <a:p>
          <a:endParaRPr lang="fr-FR"/>
        </a:p>
      </dgm:t>
    </dgm:pt>
    <dgm:pt modelId="{32B467DC-11C4-4D16-A351-E9567ED3C5B7}" type="pres">
      <dgm:prSet presAssocID="{FA54F7AB-74B8-4B17-B772-391565A13C52}" presName="hierRoot1" presStyleCnt="0">
        <dgm:presLayoutVars>
          <dgm:hierBranch val="init"/>
        </dgm:presLayoutVars>
      </dgm:prSet>
      <dgm:spPr/>
    </dgm:pt>
    <dgm:pt modelId="{F7B0DA4B-4211-4C3F-9252-7BB3833E0B2B}" type="pres">
      <dgm:prSet presAssocID="{FA54F7AB-74B8-4B17-B772-391565A13C52}" presName="rootComposite1" presStyleCnt="0"/>
      <dgm:spPr/>
    </dgm:pt>
    <dgm:pt modelId="{F2716EFF-6DD5-42F8-9998-56B1E2B1D26E}" type="pres">
      <dgm:prSet presAssocID="{FA54F7AB-74B8-4B17-B772-391565A13C52}" presName="rootText1" presStyleLbl="node0" presStyleIdx="0" presStyleCnt="1">
        <dgm:presLayoutVars>
          <dgm:chPref val="3"/>
        </dgm:presLayoutVars>
      </dgm:prSet>
      <dgm:spPr/>
      <dgm:t>
        <a:bodyPr/>
        <a:lstStyle/>
        <a:p>
          <a:endParaRPr lang="fr-FR"/>
        </a:p>
      </dgm:t>
    </dgm:pt>
    <dgm:pt modelId="{6FD6D5B0-C7F8-4CB1-8F46-5970874F21C6}" type="pres">
      <dgm:prSet presAssocID="{FA54F7AB-74B8-4B17-B772-391565A13C52}" presName="rootConnector1" presStyleLbl="node1" presStyleIdx="0" presStyleCnt="0"/>
      <dgm:spPr/>
      <dgm:t>
        <a:bodyPr/>
        <a:lstStyle/>
        <a:p>
          <a:endParaRPr lang="fr-FR"/>
        </a:p>
      </dgm:t>
    </dgm:pt>
    <dgm:pt modelId="{8C111991-1D51-482E-B460-95DA3EB0CAC4}" type="pres">
      <dgm:prSet presAssocID="{FA54F7AB-74B8-4B17-B772-391565A13C52}" presName="hierChild2" presStyleCnt="0"/>
      <dgm:spPr/>
    </dgm:pt>
    <dgm:pt modelId="{401C0672-DF36-43D8-8B34-5429409D6FDE}" type="pres">
      <dgm:prSet presAssocID="{CCC93074-9E41-4C37-9CC9-0AF133912A00}" presName="Name37" presStyleLbl="parChTrans1D2" presStyleIdx="0" presStyleCnt="10"/>
      <dgm:spPr/>
      <dgm:t>
        <a:bodyPr/>
        <a:lstStyle/>
        <a:p>
          <a:endParaRPr lang="fr-FR"/>
        </a:p>
      </dgm:t>
    </dgm:pt>
    <dgm:pt modelId="{977EDC54-B85B-4884-8E70-55ADAC05B100}" type="pres">
      <dgm:prSet presAssocID="{3EF6A330-6A07-4C4E-AA47-5141B3411228}" presName="hierRoot2" presStyleCnt="0">
        <dgm:presLayoutVars>
          <dgm:hierBranch val="init"/>
        </dgm:presLayoutVars>
      </dgm:prSet>
      <dgm:spPr/>
    </dgm:pt>
    <dgm:pt modelId="{953674AC-F39D-4E80-A2B6-E22037A4C586}" type="pres">
      <dgm:prSet presAssocID="{3EF6A330-6A07-4C4E-AA47-5141B3411228}" presName="rootComposite" presStyleCnt="0"/>
      <dgm:spPr/>
    </dgm:pt>
    <dgm:pt modelId="{52B4EB4A-5BE5-421D-9C14-D9D2CE713246}" type="pres">
      <dgm:prSet presAssocID="{3EF6A330-6A07-4C4E-AA47-5141B3411228}" presName="rootText" presStyleLbl="node2" presStyleIdx="0" presStyleCnt="4">
        <dgm:presLayoutVars>
          <dgm:chPref val="3"/>
        </dgm:presLayoutVars>
      </dgm:prSet>
      <dgm:spPr/>
      <dgm:t>
        <a:bodyPr/>
        <a:lstStyle/>
        <a:p>
          <a:endParaRPr lang="fr-FR"/>
        </a:p>
      </dgm:t>
    </dgm:pt>
    <dgm:pt modelId="{9899B08A-D123-4881-AA13-11676E38113C}" type="pres">
      <dgm:prSet presAssocID="{3EF6A330-6A07-4C4E-AA47-5141B3411228}" presName="rootConnector" presStyleLbl="node2" presStyleIdx="0" presStyleCnt="4"/>
      <dgm:spPr/>
      <dgm:t>
        <a:bodyPr/>
        <a:lstStyle/>
        <a:p>
          <a:endParaRPr lang="fr-FR"/>
        </a:p>
      </dgm:t>
    </dgm:pt>
    <dgm:pt modelId="{2F1EC6A9-0AF1-4587-97C1-7C6E850A7026}" type="pres">
      <dgm:prSet presAssocID="{3EF6A330-6A07-4C4E-AA47-5141B3411228}" presName="hierChild4" presStyleCnt="0"/>
      <dgm:spPr/>
    </dgm:pt>
    <dgm:pt modelId="{F14B7E75-3174-40C9-8747-AF16D0ADCA77}" type="pres">
      <dgm:prSet presAssocID="{3EF6A330-6A07-4C4E-AA47-5141B3411228}" presName="hierChild5" presStyleCnt="0"/>
      <dgm:spPr/>
    </dgm:pt>
    <dgm:pt modelId="{D4276139-34B5-4726-9381-6CE12B03B2DC}" type="pres">
      <dgm:prSet presAssocID="{F557DFAD-4E45-42D1-9BCD-81E9BD6AFC59}" presName="Name37" presStyleLbl="parChTrans1D2" presStyleIdx="1" presStyleCnt="10"/>
      <dgm:spPr/>
      <dgm:t>
        <a:bodyPr/>
        <a:lstStyle/>
        <a:p>
          <a:endParaRPr lang="fr-FR"/>
        </a:p>
      </dgm:t>
    </dgm:pt>
    <dgm:pt modelId="{4987C6A4-73E4-4377-9B6E-1A620FB24A81}" type="pres">
      <dgm:prSet presAssocID="{A0B68447-CFA2-44C7-97DA-82C82B8EC586}" presName="hierRoot2" presStyleCnt="0">
        <dgm:presLayoutVars>
          <dgm:hierBranch val="init"/>
        </dgm:presLayoutVars>
      </dgm:prSet>
      <dgm:spPr/>
    </dgm:pt>
    <dgm:pt modelId="{72375777-FF6D-491C-BB73-602A6F9B68D6}" type="pres">
      <dgm:prSet presAssocID="{A0B68447-CFA2-44C7-97DA-82C82B8EC586}" presName="rootComposite" presStyleCnt="0"/>
      <dgm:spPr/>
    </dgm:pt>
    <dgm:pt modelId="{871F556F-B16D-4446-BA2B-5F2E8CBCFF09}" type="pres">
      <dgm:prSet presAssocID="{A0B68447-CFA2-44C7-97DA-82C82B8EC586}" presName="rootText" presStyleLbl="node2" presStyleIdx="1" presStyleCnt="4">
        <dgm:presLayoutVars>
          <dgm:chPref val="3"/>
        </dgm:presLayoutVars>
      </dgm:prSet>
      <dgm:spPr/>
      <dgm:t>
        <a:bodyPr/>
        <a:lstStyle/>
        <a:p>
          <a:endParaRPr lang="fr-FR"/>
        </a:p>
      </dgm:t>
    </dgm:pt>
    <dgm:pt modelId="{CF2ABD32-5E07-4393-9D5C-9C5A5004B012}" type="pres">
      <dgm:prSet presAssocID="{A0B68447-CFA2-44C7-97DA-82C82B8EC586}" presName="rootConnector" presStyleLbl="node2" presStyleIdx="1" presStyleCnt="4"/>
      <dgm:spPr/>
      <dgm:t>
        <a:bodyPr/>
        <a:lstStyle/>
        <a:p>
          <a:endParaRPr lang="fr-FR"/>
        </a:p>
      </dgm:t>
    </dgm:pt>
    <dgm:pt modelId="{6D5DFF80-AA94-4446-881F-B64210F1BC15}" type="pres">
      <dgm:prSet presAssocID="{A0B68447-CFA2-44C7-97DA-82C82B8EC586}" presName="hierChild4" presStyleCnt="0"/>
      <dgm:spPr/>
    </dgm:pt>
    <dgm:pt modelId="{C0AAE97A-B8C9-4BD9-B866-F5C57F24A5B3}" type="pres">
      <dgm:prSet presAssocID="{A0B68447-CFA2-44C7-97DA-82C82B8EC586}" presName="hierChild5" presStyleCnt="0"/>
      <dgm:spPr/>
    </dgm:pt>
    <dgm:pt modelId="{49A78C3C-32D0-48C3-B51D-C281AAB9F9E9}" type="pres">
      <dgm:prSet presAssocID="{B5F111D1-ACC7-40DE-9841-B2A71F977030}" presName="Name37" presStyleLbl="parChTrans1D2" presStyleIdx="2" presStyleCnt="10"/>
      <dgm:spPr/>
      <dgm:t>
        <a:bodyPr/>
        <a:lstStyle/>
        <a:p>
          <a:endParaRPr lang="fr-FR"/>
        </a:p>
      </dgm:t>
    </dgm:pt>
    <dgm:pt modelId="{439C03E7-62FD-4379-B9CA-3EF9CA3BEC98}" type="pres">
      <dgm:prSet presAssocID="{70BA61E2-EB33-46CD-8E40-48127DBB1201}" presName="hierRoot2" presStyleCnt="0">
        <dgm:presLayoutVars>
          <dgm:hierBranch val="init"/>
        </dgm:presLayoutVars>
      </dgm:prSet>
      <dgm:spPr/>
    </dgm:pt>
    <dgm:pt modelId="{B7AC726D-83B6-48B2-8552-B57169A1AC42}" type="pres">
      <dgm:prSet presAssocID="{70BA61E2-EB33-46CD-8E40-48127DBB1201}" presName="rootComposite" presStyleCnt="0"/>
      <dgm:spPr/>
    </dgm:pt>
    <dgm:pt modelId="{44AFA4AA-404F-4A90-839E-5BD7DECEE76D}" type="pres">
      <dgm:prSet presAssocID="{70BA61E2-EB33-46CD-8E40-48127DBB1201}" presName="rootText" presStyleLbl="node2" presStyleIdx="2" presStyleCnt="4">
        <dgm:presLayoutVars>
          <dgm:chPref val="3"/>
        </dgm:presLayoutVars>
      </dgm:prSet>
      <dgm:spPr/>
      <dgm:t>
        <a:bodyPr/>
        <a:lstStyle/>
        <a:p>
          <a:endParaRPr lang="fr-FR"/>
        </a:p>
      </dgm:t>
    </dgm:pt>
    <dgm:pt modelId="{C65E22B1-AA45-4BE0-BF17-8910533F6C78}" type="pres">
      <dgm:prSet presAssocID="{70BA61E2-EB33-46CD-8E40-48127DBB1201}" presName="rootConnector" presStyleLbl="node2" presStyleIdx="2" presStyleCnt="4"/>
      <dgm:spPr/>
      <dgm:t>
        <a:bodyPr/>
        <a:lstStyle/>
        <a:p>
          <a:endParaRPr lang="fr-FR"/>
        </a:p>
      </dgm:t>
    </dgm:pt>
    <dgm:pt modelId="{EE48B355-0139-4649-963A-26FDF6FDC0E6}" type="pres">
      <dgm:prSet presAssocID="{70BA61E2-EB33-46CD-8E40-48127DBB1201}" presName="hierChild4" presStyleCnt="0"/>
      <dgm:spPr/>
    </dgm:pt>
    <dgm:pt modelId="{37BEF4FA-0E23-4321-ADF6-D74B437F1CA9}" type="pres">
      <dgm:prSet presAssocID="{70BA61E2-EB33-46CD-8E40-48127DBB1201}" presName="hierChild5" presStyleCnt="0"/>
      <dgm:spPr/>
    </dgm:pt>
    <dgm:pt modelId="{F68C536E-8FC4-4499-9BEC-74DDECEB465F}" type="pres">
      <dgm:prSet presAssocID="{720172AE-F439-43F6-8E6F-CA8D319F9E45}" presName="Name37" presStyleLbl="parChTrans1D2" presStyleIdx="3" presStyleCnt="10"/>
      <dgm:spPr/>
      <dgm:t>
        <a:bodyPr/>
        <a:lstStyle/>
        <a:p>
          <a:endParaRPr lang="fr-FR"/>
        </a:p>
      </dgm:t>
    </dgm:pt>
    <dgm:pt modelId="{1C079474-20ED-49D8-86C7-8ACE6DCCF8E5}" type="pres">
      <dgm:prSet presAssocID="{882FAB9D-27AE-41BE-82E1-D8E0C6AD4ACE}" presName="hierRoot2" presStyleCnt="0">
        <dgm:presLayoutVars>
          <dgm:hierBranch val="init"/>
        </dgm:presLayoutVars>
      </dgm:prSet>
      <dgm:spPr/>
    </dgm:pt>
    <dgm:pt modelId="{F59EBB4D-5B8A-4A4A-99C2-15D4B927AFB3}" type="pres">
      <dgm:prSet presAssocID="{882FAB9D-27AE-41BE-82E1-D8E0C6AD4ACE}" presName="rootComposite" presStyleCnt="0"/>
      <dgm:spPr/>
    </dgm:pt>
    <dgm:pt modelId="{5D097847-D4EF-4534-8948-BC1E2723462B}" type="pres">
      <dgm:prSet presAssocID="{882FAB9D-27AE-41BE-82E1-D8E0C6AD4ACE}" presName="rootText" presStyleLbl="node2" presStyleIdx="3" presStyleCnt="4">
        <dgm:presLayoutVars>
          <dgm:chPref val="3"/>
        </dgm:presLayoutVars>
      </dgm:prSet>
      <dgm:spPr/>
      <dgm:t>
        <a:bodyPr/>
        <a:lstStyle/>
        <a:p>
          <a:endParaRPr lang="fr-FR"/>
        </a:p>
      </dgm:t>
    </dgm:pt>
    <dgm:pt modelId="{4496538F-DFEB-47C0-B1AC-1B6B22A6287C}" type="pres">
      <dgm:prSet presAssocID="{882FAB9D-27AE-41BE-82E1-D8E0C6AD4ACE}" presName="rootConnector" presStyleLbl="node2" presStyleIdx="3" presStyleCnt="4"/>
      <dgm:spPr/>
      <dgm:t>
        <a:bodyPr/>
        <a:lstStyle/>
        <a:p>
          <a:endParaRPr lang="fr-FR"/>
        </a:p>
      </dgm:t>
    </dgm:pt>
    <dgm:pt modelId="{03D84131-F191-4838-87ED-A5BA53A222EB}" type="pres">
      <dgm:prSet presAssocID="{882FAB9D-27AE-41BE-82E1-D8E0C6AD4ACE}" presName="hierChild4" presStyleCnt="0"/>
      <dgm:spPr/>
    </dgm:pt>
    <dgm:pt modelId="{9252D09A-B6AC-418F-BB89-6B5B7909242F}" type="pres">
      <dgm:prSet presAssocID="{882FAB9D-27AE-41BE-82E1-D8E0C6AD4ACE}" presName="hierChild5" presStyleCnt="0"/>
      <dgm:spPr/>
    </dgm:pt>
    <dgm:pt modelId="{A47799F2-4EE5-4E9B-A2AD-5DF5EBF5A7CB}" type="pres">
      <dgm:prSet presAssocID="{FA54F7AB-74B8-4B17-B772-391565A13C52}" presName="hierChild3" presStyleCnt="0"/>
      <dgm:spPr/>
    </dgm:pt>
    <dgm:pt modelId="{77683818-11D0-4E28-8F9E-7993571540BB}" type="pres">
      <dgm:prSet presAssocID="{83DC2716-C838-4D1D-9018-C896BD0B40E5}" presName="Name111" presStyleLbl="parChTrans1D2" presStyleIdx="4" presStyleCnt="10"/>
      <dgm:spPr/>
      <dgm:t>
        <a:bodyPr/>
        <a:lstStyle/>
        <a:p>
          <a:endParaRPr lang="fr-FR"/>
        </a:p>
      </dgm:t>
    </dgm:pt>
    <dgm:pt modelId="{9EC3AD79-EBE7-4532-96CC-31067B9A500C}" type="pres">
      <dgm:prSet presAssocID="{B39B65CA-E528-4953-B56F-DEAB1285B093}" presName="hierRoot3" presStyleCnt="0">
        <dgm:presLayoutVars>
          <dgm:hierBranch val="init"/>
        </dgm:presLayoutVars>
      </dgm:prSet>
      <dgm:spPr/>
    </dgm:pt>
    <dgm:pt modelId="{FA416338-2C25-4E22-80FE-D817EAA54777}" type="pres">
      <dgm:prSet presAssocID="{B39B65CA-E528-4953-B56F-DEAB1285B093}" presName="rootComposite3" presStyleCnt="0"/>
      <dgm:spPr/>
    </dgm:pt>
    <dgm:pt modelId="{274136BA-7A80-4BDB-97A3-6071FA0D227F}" type="pres">
      <dgm:prSet presAssocID="{B39B65CA-E528-4953-B56F-DEAB1285B093}" presName="rootText3" presStyleLbl="asst1" presStyleIdx="0" presStyleCnt="6">
        <dgm:presLayoutVars>
          <dgm:chPref val="3"/>
        </dgm:presLayoutVars>
      </dgm:prSet>
      <dgm:spPr/>
      <dgm:t>
        <a:bodyPr/>
        <a:lstStyle/>
        <a:p>
          <a:endParaRPr lang="fr-FR"/>
        </a:p>
      </dgm:t>
    </dgm:pt>
    <dgm:pt modelId="{EE5070FA-F66A-4EDF-B1E7-85B4801B33BB}" type="pres">
      <dgm:prSet presAssocID="{B39B65CA-E528-4953-B56F-DEAB1285B093}" presName="rootConnector3" presStyleLbl="asst1" presStyleIdx="0" presStyleCnt="6"/>
      <dgm:spPr/>
      <dgm:t>
        <a:bodyPr/>
        <a:lstStyle/>
        <a:p>
          <a:endParaRPr lang="fr-FR"/>
        </a:p>
      </dgm:t>
    </dgm:pt>
    <dgm:pt modelId="{3F00123E-ACC9-4852-B29F-07AB9EBCE733}" type="pres">
      <dgm:prSet presAssocID="{B39B65CA-E528-4953-B56F-DEAB1285B093}" presName="hierChild6" presStyleCnt="0"/>
      <dgm:spPr/>
    </dgm:pt>
    <dgm:pt modelId="{6FBEDB32-CFF2-45C3-8753-45333FACB93A}" type="pres">
      <dgm:prSet presAssocID="{B39B65CA-E528-4953-B56F-DEAB1285B093}" presName="hierChild7" presStyleCnt="0"/>
      <dgm:spPr/>
    </dgm:pt>
    <dgm:pt modelId="{4E440683-A74D-447B-8738-69A28CA93319}" type="pres">
      <dgm:prSet presAssocID="{6B44CC9E-B757-4069-AD8F-B151B9D6BE23}" presName="Name111" presStyleLbl="parChTrans1D2" presStyleIdx="5" presStyleCnt="10"/>
      <dgm:spPr/>
      <dgm:t>
        <a:bodyPr/>
        <a:lstStyle/>
        <a:p>
          <a:endParaRPr lang="fr-FR"/>
        </a:p>
      </dgm:t>
    </dgm:pt>
    <dgm:pt modelId="{73CDFD57-AC82-4E7F-85AF-F9889522F48D}" type="pres">
      <dgm:prSet presAssocID="{9E1EC928-F66A-4626-A97F-F7688C1AA77A}" presName="hierRoot3" presStyleCnt="0">
        <dgm:presLayoutVars>
          <dgm:hierBranch val="init"/>
        </dgm:presLayoutVars>
      </dgm:prSet>
      <dgm:spPr/>
    </dgm:pt>
    <dgm:pt modelId="{99F2358D-441C-40F5-90B5-F1FC0A128A4F}" type="pres">
      <dgm:prSet presAssocID="{9E1EC928-F66A-4626-A97F-F7688C1AA77A}" presName="rootComposite3" presStyleCnt="0"/>
      <dgm:spPr/>
    </dgm:pt>
    <dgm:pt modelId="{9F5F58D5-6FB1-48DF-BF6F-4B13E8FBCA02}" type="pres">
      <dgm:prSet presAssocID="{9E1EC928-F66A-4626-A97F-F7688C1AA77A}" presName="rootText3" presStyleLbl="asst1" presStyleIdx="1" presStyleCnt="6">
        <dgm:presLayoutVars>
          <dgm:chPref val="3"/>
        </dgm:presLayoutVars>
      </dgm:prSet>
      <dgm:spPr/>
      <dgm:t>
        <a:bodyPr/>
        <a:lstStyle/>
        <a:p>
          <a:endParaRPr lang="fr-FR"/>
        </a:p>
      </dgm:t>
    </dgm:pt>
    <dgm:pt modelId="{9D52007E-7993-4917-82DF-1887823321DC}" type="pres">
      <dgm:prSet presAssocID="{9E1EC928-F66A-4626-A97F-F7688C1AA77A}" presName="rootConnector3" presStyleLbl="asst1" presStyleIdx="1" presStyleCnt="6"/>
      <dgm:spPr/>
      <dgm:t>
        <a:bodyPr/>
        <a:lstStyle/>
        <a:p>
          <a:endParaRPr lang="fr-FR"/>
        </a:p>
      </dgm:t>
    </dgm:pt>
    <dgm:pt modelId="{60D87483-6690-4CFD-AF03-77D492A65D25}" type="pres">
      <dgm:prSet presAssocID="{9E1EC928-F66A-4626-A97F-F7688C1AA77A}" presName="hierChild6" presStyleCnt="0"/>
      <dgm:spPr/>
    </dgm:pt>
    <dgm:pt modelId="{3B4959D9-0123-4BF6-BAFF-6861EABE550A}" type="pres">
      <dgm:prSet presAssocID="{9E1EC928-F66A-4626-A97F-F7688C1AA77A}" presName="hierChild7" presStyleCnt="0"/>
      <dgm:spPr/>
    </dgm:pt>
    <dgm:pt modelId="{B5719A06-86D7-4083-9E6E-97A0F9AD03F1}" type="pres">
      <dgm:prSet presAssocID="{F48DCC3A-A967-4DEE-BD34-1B6C3EAD7A6B}" presName="Name111" presStyleLbl="parChTrans1D2" presStyleIdx="6" presStyleCnt="10"/>
      <dgm:spPr/>
      <dgm:t>
        <a:bodyPr/>
        <a:lstStyle/>
        <a:p>
          <a:endParaRPr lang="fr-FR"/>
        </a:p>
      </dgm:t>
    </dgm:pt>
    <dgm:pt modelId="{09CF1FEE-C2E7-4ADD-8671-247E1F5EC44D}" type="pres">
      <dgm:prSet presAssocID="{938D2A34-23C2-4831-A8D2-75E00BFA0B99}" presName="hierRoot3" presStyleCnt="0">
        <dgm:presLayoutVars>
          <dgm:hierBranch val="init"/>
        </dgm:presLayoutVars>
      </dgm:prSet>
      <dgm:spPr/>
    </dgm:pt>
    <dgm:pt modelId="{B2E46733-6495-4372-B9A9-51066B91BD61}" type="pres">
      <dgm:prSet presAssocID="{938D2A34-23C2-4831-A8D2-75E00BFA0B99}" presName="rootComposite3" presStyleCnt="0"/>
      <dgm:spPr/>
    </dgm:pt>
    <dgm:pt modelId="{E87A623A-9404-4097-B541-D04C53BAAF78}" type="pres">
      <dgm:prSet presAssocID="{938D2A34-23C2-4831-A8D2-75E00BFA0B99}" presName="rootText3" presStyleLbl="asst1" presStyleIdx="2" presStyleCnt="6">
        <dgm:presLayoutVars>
          <dgm:chPref val="3"/>
        </dgm:presLayoutVars>
      </dgm:prSet>
      <dgm:spPr/>
      <dgm:t>
        <a:bodyPr/>
        <a:lstStyle/>
        <a:p>
          <a:endParaRPr lang="fr-FR"/>
        </a:p>
      </dgm:t>
    </dgm:pt>
    <dgm:pt modelId="{4C531B0E-D295-4561-8339-EF6FF6B816E4}" type="pres">
      <dgm:prSet presAssocID="{938D2A34-23C2-4831-A8D2-75E00BFA0B99}" presName="rootConnector3" presStyleLbl="asst1" presStyleIdx="2" presStyleCnt="6"/>
      <dgm:spPr/>
      <dgm:t>
        <a:bodyPr/>
        <a:lstStyle/>
        <a:p>
          <a:endParaRPr lang="fr-FR"/>
        </a:p>
      </dgm:t>
    </dgm:pt>
    <dgm:pt modelId="{5CD42F35-FA58-4E36-B3F8-E3B99DB5EDF2}" type="pres">
      <dgm:prSet presAssocID="{938D2A34-23C2-4831-A8D2-75E00BFA0B99}" presName="hierChild6" presStyleCnt="0"/>
      <dgm:spPr/>
    </dgm:pt>
    <dgm:pt modelId="{61AF4411-8B77-4EBB-8889-F47DF8319AFA}" type="pres">
      <dgm:prSet presAssocID="{938D2A34-23C2-4831-A8D2-75E00BFA0B99}" presName="hierChild7" presStyleCnt="0"/>
      <dgm:spPr/>
    </dgm:pt>
    <dgm:pt modelId="{7AFA82F7-8D2D-4D7D-AE3B-613D72396D18}" type="pres">
      <dgm:prSet presAssocID="{D567D640-8BF7-4893-8212-A523B3F4FF78}" presName="Name111" presStyleLbl="parChTrans1D2" presStyleIdx="7" presStyleCnt="10"/>
      <dgm:spPr/>
      <dgm:t>
        <a:bodyPr/>
        <a:lstStyle/>
        <a:p>
          <a:endParaRPr lang="fr-FR"/>
        </a:p>
      </dgm:t>
    </dgm:pt>
    <dgm:pt modelId="{D10084BB-05AF-4CE1-A557-1A219AD5D81A}" type="pres">
      <dgm:prSet presAssocID="{31642C91-5CAC-4302-AF28-FFF3FBE67E1D}" presName="hierRoot3" presStyleCnt="0">
        <dgm:presLayoutVars>
          <dgm:hierBranch val="init"/>
        </dgm:presLayoutVars>
      </dgm:prSet>
      <dgm:spPr/>
    </dgm:pt>
    <dgm:pt modelId="{49595296-9651-487A-A9F8-A9374A1E9688}" type="pres">
      <dgm:prSet presAssocID="{31642C91-5CAC-4302-AF28-FFF3FBE67E1D}" presName="rootComposite3" presStyleCnt="0"/>
      <dgm:spPr/>
    </dgm:pt>
    <dgm:pt modelId="{C4180BBB-3300-418F-BE93-1234A59552A6}" type="pres">
      <dgm:prSet presAssocID="{31642C91-5CAC-4302-AF28-FFF3FBE67E1D}" presName="rootText3" presStyleLbl="asst1" presStyleIdx="3" presStyleCnt="6">
        <dgm:presLayoutVars>
          <dgm:chPref val="3"/>
        </dgm:presLayoutVars>
      </dgm:prSet>
      <dgm:spPr/>
      <dgm:t>
        <a:bodyPr/>
        <a:lstStyle/>
        <a:p>
          <a:endParaRPr lang="fr-FR"/>
        </a:p>
      </dgm:t>
    </dgm:pt>
    <dgm:pt modelId="{43E0D9FD-44D9-43E1-8A4B-1A2CF5982D37}" type="pres">
      <dgm:prSet presAssocID="{31642C91-5CAC-4302-AF28-FFF3FBE67E1D}" presName="rootConnector3" presStyleLbl="asst1" presStyleIdx="3" presStyleCnt="6"/>
      <dgm:spPr/>
      <dgm:t>
        <a:bodyPr/>
        <a:lstStyle/>
        <a:p>
          <a:endParaRPr lang="fr-FR"/>
        </a:p>
      </dgm:t>
    </dgm:pt>
    <dgm:pt modelId="{B99A81B7-7A7F-46C6-896C-8741D23C0CED}" type="pres">
      <dgm:prSet presAssocID="{31642C91-5CAC-4302-AF28-FFF3FBE67E1D}" presName="hierChild6" presStyleCnt="0"/>
      <dgm:spPr/>
    </dgm:pt>
    <dgm:pt modelId="{72A48E41-D5D2-4F25-BB66-B679F3721856}" type="pres">
      <dgm:prSet presAssocID="{31642C91-5CAC-4302-AF28-FFF3FBE67E1D}" presName="hierChild7" presStyleCnt="0"/>
      <dgm:spPr/>
    </dgm:pt>
    <dgm:pt modelId="{45CAC743-E0F6-4261-86C8-E35BBC8C19BC}" type="pres">
      <dgm:prSet presAssocID="{B50C7B49-58A0-4F69-9719-47C512C374E7}" presName="Name111" presStyleLbl="parChTrans1D2" presStyleIdx="8" presStyleCnt="10"/>
      <dgm:spPr/>
      <dgm:t>
        <a:bodyPr/>
        <a:lstStyle/>
        <a:p>
          <a:endParaRPr lang="fr-FR"/>
        </a:p>
      </dgm:t>
    </dgm:pt>
    <dgm:pt modelId="{6A41EA2E-9BBD-4C8C-8945-F4BED39DFA75}" type="pres">
      <dgm:prSet presAssocID="{08442D47-B9AB-44B5-931F-32E7F2CC6DBF}" presName="hierRoot3" presStyleCnt="0">
        <dgm:presLayoutVars>
          <dgm:hierBranch val="init"/>
        </dgm:presLayoutVars>
      </dgm:prSet>
      <dgm:spPr/>
    </dgm:pt>
    <dgm:pt modelId="{AADAF2BB-06AC-43AE-927F-A51D592B546C}" type="pres">
      <dgm:prSet presAssocID="{08442D47-B9AB-44B5-931F-32E7F2CC6DBF}" presName="rootComposite3" presStyleCnt="0"/>
      <dgm:spPr/>
    </dgm:pt>
    <dgm:pt modelId="{902AD5BD-A4EC-43C3-88AC-CA19CF7BF488}" type="pres">
      <dgm:prSet presAssocID="{08442D47-B9AB-44B5-931F-32E7F2CC6DBF}" presName="rootText3" presStyleLbl="asst1" presStyleIdx="4" presStyleCnt="6">
        <dgm:presLayoutVars>
          <dgm:chPref val="3"/>
        </dgm:presLayoutVars>
      </dgm:prSet>
      <dgm:spPr/>
      <dgm:t>
        <a:bodyPr/>
        <a:lstStyle/>
        <a:p>
          <a:endParaRPr lang="fr-FR"/>
        </a:p>
      </dgm:t>
    </dgm:pt>
    <dgm:pt modelId="{DC8F9716-EDAE-4135-B878-6434429E37BE}" type="pres">
      <dgm:prSet presAssocID="{08442D47-B9AB-44B5-931F-32E7F2CC6DBF}" presName="rootConnector3" presStyleLbl="asst1" presStyleIdx="4" presStyleCnt="6"/>
      <dgm:spPr/>
      <dgm:t>
        <a:bodyPr/>
        <a:lstStyle/>
        <a:p>
          <a:endParaRPr lang="fr-FR"/>
        </a:p>
      </dgm:t>
    </dgm:pt>
    <dgm:pt modelId="{085D841C-51C7-4C63-AA57-9DF4DCDDF7AD}" type="pres">
      <dgm:prSet presAssocID="{08442D47-B9AB-44B5-931F-32E7F2CC6DBF}" presName="hierChild6" presStyleCnt="0"/>
      <dgm:spPr/>
    </dgm:pt>
    <dgm:pt modelId="{EF8527A8-B651-4B4D-AE1C-DEB80DDA8BD1}" type="pres">
      <dgm:prSet presAssocID="{08442D47-B9AB-44B5-931F-32E7F2CC6DBF}" presName="hierChild7" presStyleCnt="0"/>
      <dgm:spPr/>
    </dgm:pt>
    <dgm:pt modelId="{CF052E1D-09A6-4002-9BEE-78C56441E48C}" type="pres">
      <dgm:prSet presAssocID="{EEF4B92D-BBDA-46ED-9108-CBB0FA98A10B}" presName="Name111" presStyleLbl="parChTrans1D2" presStyleIdx="9" presStyleCnt="10"/>
      <dgm:spPr/>
      <dgm:t>
        <a:bodyPr/>
        <a:lstStyle/>
        <a:p>
          <a:endParaRPr lang="fr-FR"/>
        </a:p>
      </dgm:t>
    </dgm:pt>
    <dgm:pt modelId="{4337959E-0165-4042-BACF-E2BEA7EC4470}" type="pres">
      <dgm:prSet presAssocID="{DEAFC1B9-D573-465B-8029-29A792D38A25}" presName="hierRoot3" presStyleCnt="0">
        <dgm:presLayoutVars>
          <dgm:hierBranch val="init"/>
        </dgm:presLayoutVars>
      </dgm:prSet>
      <dgm:spPr/>
    </dgm:pt>
    <dgm:pt modelId="{390A2EAD-2B58-4F66-96F8-0573E1C3B966}" type="pres">
      <dgm:prSet presAssocID="{DEAFC1B9-D573-465B-8029-29A792D38A25}" presName="rootComposite3" presStyleCnt="0"/>
      <dgm:spPr/>
    </dgm:pt>
    <dgm:pt modelId="{B4D1D39D-DD14-4BE4-B46B-00560B21CDFA}" type="pres">
      <dgm:prSet presAssocID="{DEAFC1B9-D573-465B-8029-29A792D38A25}" presName="rootText3" presStyleLbl="asst1" presStyleIdx="5" presStyleCnt="6">
        <dgm:presLayoutVars>
          <dgm:chPref val="3"/>
        </dgm:presLayoutVars>
      </dgm:prSet>
      <dgm:spPr/>
      <dgm:t>
        <a:bodyPr/>
        <a:lstStyle/>
        <a:p>
          <a:endParaRPr lang="fr-FR"/>
        </a:p>
      </dgm:t>
    </dgm:pt>
    <dgm:pt modelId="{5051C33F-9C6E-481B-8384-0736B49EA41D}" type="pres">
      <dgm:prSet presAssocID="{DEAFC1B9-D573-465B-8029-29A792D38A25}" presName="rootConnector3" presStyleLbl="asst1" presStyleIdx="5" presStyleCnt="6"/>
      <dgm:spPr/>
      <dgm:t>
        <a:bodyPr/>
        <a:lstStyle/>
        <a:p>
          <a:endParaRPr lang="fr-FR"/>
        </a:p>
      </dgm:t>
    </dgm:pt>
    <dgm:pt modelId="{5D55E210-0EF7-4169-A05D-5AF03DB98AD4}" type="pres">
      <dgm:prSet presAssocID="{DEAFC1B9-D573-465B-8029-29A792D38A25}" presName="hierChild6" presStyleCnt="0"/>
      <dgm:spPr/>
    </dgm:pt>
    <dgm:pt modelId="{0BB3E112-309C-4EFD-86F2-07A41F9BDBE3}" type="pres">
      <dgm:prSet presAssocID="{DEAFC1B9-D573-465B-8029-29A792D38A25}" presName="hierChild7" presStyleCnt="0"/>
      <dgm:spPr/>
    </dgm:pt>
  </dgm:ptLst>
  <dgm:cxnLst>
    <dgm:cxn modelId="{1159A9B9-FA42-405E-82B5-AF453FC1C33A}" type="presOf" srcId="{DEAFC1B9-D573-465B-8029-29A792D38A25}" destId="{B4D1D39D-DD14-4BE4-B46B-00560B21CDFA}" srcOrd="0" destOrd="0" presId="urn:microsoft.com/office/officeart/2005/8/layout/orgChart1"/>
    <dgm:cxn modelId="{54E59BCE-C7C8-410F-8B43-FB520F007CD1}" type="presOf" srcId="{31642C91-5CAC-4302-AF28-FFF3FBE67E1D}" destId="{C4180BBB-3300-418F-BE93-1234A59552A6}" srcOrd="0" destOrd="0" presId="urn:microsoft.com/office/officeart/2005/8/layout/orgChart1"/>
    <dgm:cxn modelId="{17FB61AB-4C90-481E-84ED-698282F3686A}" type="presOf" srcId="{EEF4B92D-BBDA-46ED-9108-CBB0FA98A10B}" destId="{CF052E1D-09A6-4002-9BEE-78C56441E48C}" srcOrd="0" destOrd="0" presId="urn:microsoft.com/office/officeart/2005/8/layout/orgChart1"/>
    <dgm:cxn modelId="{CDC6C25C-8838-4826-986E-A0C5995B806A}" type="presOf" srcId="{70BA61E2-EB33-46CD-8E40-48127DBB1201}" destId="{C65E22B1-AA45-4BE0-BF17-8910533F6C78}" srcOrd="1" destOrd="0" presId="urn:microsoft.com/office/officeart/2005/8/layout/orgChart1"/>
    <dgm:cxn modelId="{4FEE01BA-FF9F-4756-8061-B51800D38D17}" type="presOf" srcId="{D567D640-8BF7-4893-8212-A523B3F4FF78}" destId="{7AFA82F7-8D2D-4D7D-AE3B-613D72396D18}" srcOrd="0" destOrd="0" presId="urn:microsoft.com/office/officeart/2005/8/layout/orgChart1"/>
    <dgm:cxn modelId="{0B792BDD-B05F-4503-9EF1-81F173941A93}" type="presOf" srcId="{938D2A34-23C2-4831-A8D2-75E00BFA0B99}" destId="{4C531B0E-D295-4561-8339-EF6FF6B816E4}" srcOrd="1" destOrd="0" presId="urn:microsoft.com/office/officeart/2005/8/layout/orgChart1"/>
    <dgm:cxn modelId="{8B46AF92-5B5E-4E5E-ABD5-B178A799366C}" type="presOf" srcId="{B50C7B49-58A0-4F69-9719-47C512C374E7}" destId="{45CAC743-E0F6-4261-86C8-E35BBC8C19BC}" srcOrd="0" destOrd="0" presId="urn:microsoft.com/office/officeart/2005/8/layout/orgChart1"/>
    <dgm:cxn modelId="{C2611862-2DAE-444C-AAD6-34E78D245CE0}" srcId="{FA54F7AB-74B8-4B17-B772-391565A13C52}" destId="{70BA61E2-EB33-46CD-8E40-48127DBB1201}" srcOrd="3" destOrd="0" parTransId="{B5F111D1-ACC7-40DE-9841-B2A71F977030}" sibTransId="{1876C64E-98A9-4555-A52E-B96394B890F8}"/>
    <dgm:cxn modelId="{FA61C49D-64C4-470E-8A29-512D3D191635}" type="presOf" srcId="{7A7BC32D-077A-4A16-B477-FAB6A1D4410D}" destId="{77E89702-204D-4C3F-A73F-CF95388529F9}" srcOrd="0" destOrd="0" presId="urn:microsoft.com/office/officeart/2005/8/layout/orgChart1"/>
    <dgm:cxn modelId="{BD3063E2-6B90-489D-87D7-A711077745B9}" type="presOf" srcId="{08442D47-B9AB-44B5-931F-32E7F2CC6DBF}" destId="{902AD5BD-A4EC-43C3-88AC-CA19CF7BF488}" srcOrd="0" destOrd="0" presId="urn:microsoft.com/office/officeart/2005/8/layout/orgChart1"/>
    <dgm:cxn modelId="{B4BBD998-9076-4C3F-8137-1635694B7CF1}" type="presOf" srcId="{FA54F7AB-74B8-4B17-B772-391565A13C52}" destId="{6FD6D5B0-C7F8-4CB1-8F46-5970874F21C6}" srcOrd="1" destOrd="0" presId="urn:microsoft.com/office/officeart/2005/8/layout/orgChart1"/>
    <dgm:cxn modelId="{A265DEAC-B453-4A2C-B56C-AD06235F4E51}" type="presOf" srcId="{9E1EC928-F66A-4626-A97F-F7688C1AA77A}" destId="{9F5F58D5-6FB1-48DF-BF6F-4B13E8FBCA02}" srcOrd="0" destOrd="0" presId="urn:microsoft.com/office/officeart/2005/8/layout/orgChart1"/>
    <dgm:cxn modelId="{21A68A03-295D-45AA-8EFF-7C698BB9EA72}" type="presOf" srcId="{B39B65CA-E528-4953-B56F-DEAB1285B093}" destId="{EE5070FA-F66A-4EDF-B1E7-85B4801B33BB}" srcOrd="1" destOrd="0" presId="urn:microsoft.com/office/officeart/2005/8/layout/orgChart1"/>
    <dgm:cxn modelId="{08609D13-40EC-466A-A832-C6A485ACF158}" type="presOf" srcId="{3EF6A330-6A07-4C4E-AA47-5141B3411228}" destId="{9899B08A-D123-4881-AA13-11676E38113C}" srcOrd="1" destOrd="0" presId="urn:microsoft.com/office/officeart/2005/8/layout/orgChart1"/>
    <dgm:cxn modelId="{2D7EB921-1E60-4FCE-9648-BED5FCF148DF}" type="presOf" srcId="{9E1EC928-F66A-4626-A97F-F7688C1AA77A}" destId="{9D52007E-7993-4917-82DF-1887823321DC}" srcOrd="1" destOrd="0" presId="urn:microsoft.com/office/officeart/2005/8/layout/orgChart1"/>
    <dgm:cxn modelId="{79025013-CA00-470A-B6D6-F19FEDB59E2D}" srcId="{FA54F7AB-74B8-4B17-B772-391565A13C52}" destId="{3EF6A330-6A07-4C4E-AA47-5141B3411228}" srcOrd="1" destOrd="0" parTransId="{CCC93074-9E41-4C37-9CC9-0AF133912A00}" sibTransId="{2B655D1B-6232-4392-B14D-AEA3E1728ADF}"/>
    <dgm:cxn modelId="{820DD33B-0CDA-4D82-9F7C-E6E7EA7B7639}" srcId="{FA54F7AB-74B8-4B17-B772-391565A13C52}" destId="{31642C91-5CAC-4302-AF28-FFF3FBE67E1D}" srcOrd="6" destOrd="0" parTransId="{D567D640-8BF7-4893-8212-A523B3F4FF78}" sibTransId="{9FF044C0-45E6-476D-8960-BCDEACDB39EE}"/>
    <dgm:cxn modelId="{42A029FA-492A-47A0-9F78-4557C23CD0A1}" type="presOf" srcId="{FA54F7AB-74B8-4B17-B772-391565A13C52}" destId="{F2716EFF-6DD5-42F8-9998-56B1E2B1D26E}" srcOrd="0" destOrd="0" presId="urn:microsoft.com/office/officeart/2005/8/layout/orgChart1"/>
    <dgm:cxn modelId="{8ADE6E5C-DA7C-4BDD-B6B7-7337CFA0A3B6}" type="presOf" srcId="{08442D47-B9AB-44B5-931F-32E7F2CC6DBF}" destId="{DC8F9716-EDAE-4135-B878-6434429E37BE}" srcOrd="1" destOrd="0" presId="urn:microsoft.com/office/officeart/2005/8/layout/orgChart1"/>
    <dgm:cxn modelId="{C8DBA0F2-4948-448B-A249-1C46514681E6}" type="presOf" srcId="{CCC93074-9E41-4C37-9CC9-0AF133912A00}" destId="{401C0672-DF36-43D8-8B34-5429409D6FDE}" srcOrd="0" destOrd="0" presId="urn:microsoft.com/office/officeart/2005/8/layout/orgChart1"/>
    <dgm:cxn modelId="{83F74870-F98D-4613-A668-FD1482414098}" type="presOf" srcId="{F48DCC3A-A967-4DEE-BD34-1B6C3EAD7A6B}" destId="{B5719A06-86D7-4083-9E6E-97A0F9AD03F1}" srcOrd="0" destOrd="0" presId="urn:microsoft.com/office/officeart/2005/8/layout/orgChart1"/>
    <dgm:cxn modelId="{A9AF6BE1-C2CA-4904-AABD-792AE9F55FB9}" srcId="{FA54F7AB-74B8-4B17-B772-391565A13C52}" destId="{882FAB9D-27AE-41BE-82E1-D8E0C6AD4ACE}" srcOrd="9" destOrd="0" parTransId="{720172AE-F439-43F6-8E6F-CA8D319F9E45}" sibTransId="{E80D0278-BCF3-4D3D-A69A-03B9035996E7}"/>
    <dgm:cxn modelId="{FD73181A-F1C2-4CA2-B8D7-F8D7DA537F40}" type="presOf" srcId="{3EF6A330-6A07-4C4E-AA47-5141B3411228}" destId="{52B4EB4A-5BE5-421D-9C14-D9D2CE713246}" srcOrd="0" destOrd="0" presId="urn:microsoft.com/office/officeart/2005/8/layout/orgChart1"/>
    <dgm:cxn modelId="{B13B8ABF-51E9-469C-B82E-D7A7B3887A25}" type="presOf" srcId="{882FAB9D-27AE-41BE-82E1-D8E0C6AD4ACE}" destId="{5D097847-D4EF-4534-8948-BC1E2723462B}" srcOrd="0" destOrd="0" presId="urn:microsoft.com/office/officeart/2005/8/layout/orgChart1"/>
    <dgm:cxn modelId="{9AD50443-CDAD-4039-AF24-C90E951286E5}" srcId="{FA54F7AB-74B8-4B17-B772-391565A13C52}" destId="{08442D47-B9AB-44B5-931F-32E7F2CC6DBF}" srcOrd="7" destOrd="0" parTransId="{B50C7B49-58A0-4F69-9719-47C512C374E7}" sibTransId="{A83E0132-3CC8-4CA1-A851-CCB639F2CBC8}"/>
    <dgm:cxn modelId="{B8EAF5EF-8435-466A-9540-1072EBD22BF0}" srcId="{FA54F7AB-74B8-4B17-B772-391565A13C52}" destId="{9E1EC928-F66A-4626-A97F-F7688C1AA77A}" srcOrd="4" destOrd="0" parTransId="{6B44CC9E-B757-4069-AD8F-B151B9D6BE23}" sibTransId="{9BA52CD8-13AA-42F1-BA7F-C9D31107E5D7}"/>
    <dgm:cxn modelId="{7F974D79-7313-43EA-B5E0-EDA8A893EB7B}" srcId="{FA54F7AB-74B8-4B17-B772-391565A13C52}" destId="{A0B68447-CFA2-44C7-97DA-82C82B8EC586}" srcOrd="2" destOrd="0" parTransId="{F557DFAD-4E45-42D1-9BCD-81E9BD6AFC59}" sibTransId="{10C7C1E3-3184-4E70-AF46-6900238AD13B}"/>
    <dgm:cxn modelId="{99E8BACA-F23A-4B8B-9209-13E533CC9CC9}" srcId="{FA54F7AB-74B8-4B17-B772-391565A13C52}" destId="{938D2A34-23C2-4831-A8D2-75E00BFA0B99}" srcOrd="5" destOrd="0" parTransId="{F48DCC3A-A967-4DEE-BD34-1B6C3EAD7A6B}" sibTransId="{F324B9A8-E358-476E-B8C1-48EF7ED06D45}"/>
    <dgm:cxn modelId="{D2015771-FBBC-46DA-A6EA-C520B477CA61}" type="presOf" srcId="{A0B68447-CFA2-44C7-97DA-82C82B8EC586}" destId="{CF2ABD32-5E07-4393-9D5C-9C5A5004B012}" srcOrd="1" destOrd="0" presId="urn:microsoft.com/office/officeart/2005/8/layout/orgChart1"/>
    <dgm:cxn modelId="{C9A990CA-F9D7-479C-9A75-545E678A61C7}" type="presOf" srcId="{DEAFC1B9-D573-465B-8029-29A792D38A25}" destId="{5051C33F-9C6E-481B-8384-0736B49EA41D}" srcOrd="1" destOrd="0" presId="urn:microsoft.com/office/officeart/2005/8/layout/orgChart1"/>
    <dgm:cxn modelId="{EDC5915B-F344-4140-8750-06C39AF5367E}" srcId="{FA54F7AB-74B8-4B17-B772-391565A13C52}" destId="{B39B65CA-E528-4953-B56F-DEAB1285B093}" srcOrd="0" destOrd="0" parTransId="{83DC2716-C838-4D1D-9018-C896BD0B40E5}" sibTransId="{503DBA6C-0845-4EE7-82DA-871366BE2B59}"/>
    <dgm:cxn modelId="{8C245840-C2E4-4E56-B691-64217BABC0C3}" type="presOf" srcId="{F557DFAD-4E45-42D1-9BCD-81E9BD6AFC59}" destId="{D4276139-34B5-4726-9381-6CE12B03B2DC}" srcOrd="0" destOrd="0" presId="urn:microsoft.com/office/officeart/2005/8/layout/orgChart1"/>
    <dgm:cxn modelId="{EF12D7DA-8DF2-495A-B7A5-84069D012DE4}" srcId="{FA54F7AB-74B8-4B17-B772-391565A13C52}" destId="{DEAFC1B9-D573-465B-8029-29A792D38A25}" srcOrd="8" destOrd="0" parTransId="{EEF4B92D-BBDA-46ED-9108-CBB0FA98A10B}" sibTransId="{402A6154-AD32-40D7-83DB-44DBE5CE0687}"/>
    <dgm:cxn modelId="{352F3B83-23A4-4548-852F-7F05BBCEE799}" type="presOf" srcId="{83DC2716-C838-4D1D-9018-C896BD0B40E5}" destId="{77683818-11D0-4E28-8F9E-7993571540BB}" srcOrd="0" destOrd="0" presId="urn:microsoft.com/office/officeart/2005/8/layout/orgChart1"/>
    <dgm:cxn modelId="{9CB425FB-390F-44F4-9EF3-4BBC4CF82287}" srcId="{7A7BC32D-077A-4A16-B477-FAB6A1D4410D}" destId="{FA54F7AB-74B8-4B17-B772-391565A13C52}" srcOrd="0" destOrd="0" parTransId="{EBCFCABA-17BB-48C8-86B7-5A6ED64C8C86}" sibTransId="{29174A64-9986-4668-9CC8-F335F90BAD40}"/>
    <dgm:cxn modelId="{82C2556F-6125-433D-A890-B9596C00B884}" type="presOf" srcId="{882FAB9D-27AE-41BE-82E1-D8E0C6AD4ACE}" destId="{4496538F-DFEB-47C0-B1AC-1B6B22A6287C}" srcOrd="1" destOrd="0" presId="urn:microsoft.com/office/officeart/2005/8/layout/orgChart1"/>
    <dgm:cxn modelId="{36FF0CC6-1EFC-4A37-8C27-F79D3EFC955D}" type="presOf" srcId="{B39B65CA-E528-4953-B56F-DEAB1285B093}" destId="{274136BA-7A80-4BDB-97A3-6071FA0D227F}" srcOrd="0" destOrd="0" presId="urn:microsoft.com/office/officeart/2005/8/layout/orgChart1"/>
    <dgm:cxn modelId="{4B6D9B86-E494-4B7A-9B3D-8E4A471C0924}" type="presOf" srcId="{70BA61E2-EB33-46CD-8E40-48127DBB1201}" destId="{44AFA4AA-404F-4A90-839E-5BD7DECEE76D}" srcOrd="0" destOrd="0" presId="urn:microsoft.com/office/officeart/2005/8/layout/orgChart1"/>
    <dgm:cxn modelId="{90CB162E-18C8-4276-ADD8-6036A7912CC6}" type="presOf" srcId="{6B44CC9E-B757-4069-AD8F-B151B9D6BE23}" destId="{4E440683-A74D-447B-8738-69A28CA93319}" srcOrd="0" destOrd="0" presId="urn:microsoft.com/office/officeart/2005/8/layout/orgChart1"/>
    <dgm:cxn modelId="{F5BDC506-9810-452B-8344-1C8A7D77FFA1}" type="presOf" srcId="{31642C91-5CAC-4302-AF28-FFF3FBE67E1D}" destId="{43E0D9FD-44D9-43E1-8A4B-1A2CF5982D37}" srcOrd="1" destOrd="0" presId="urn:microsoft.com/office/officeart/2005/8/layout/orgChart1"/>
    <dgm:cxn modelId="{6A58EA24-B969-4B9A-9DCA-9313F44377C3}" type="presOf" srcId="{720172AE-F439-43F6-8E6F-CA8D319F9E45}" destId="{F68C536E-8FC4-4499-9BEC-74DDECEB465F}" srcOrd="0" destOrd="0" presId="urn:microsoft.com/office/officeart/2005/8/layout/orgChart1"/>
    <dgm:cxn modelId="{A1DE9DB9-EBF1-41C4-A7BD-EB528A4D8C51}" type="presOf" srcId="{938D2A34-23C2-4831-A8D2-75E00BFA0B99}" destId="{E87A623A-9404-4097-B541-D04C53BAAF78}" srcOrd="0" destOrd="0" presId="urn:microsoft.com/office/officeart/2005/8/layout/orgChart1"/>
    <dgm:cxn modelId="{D2FDC445-BBCC-49E5-AAA7-A75F61094A10}" type="presOf" srcId="{A0B68447-CFA2-44C7-97DA-82C82B8EC586}" destId="{871F556F-B16D-4446-BA2B-5F2E8CBCFF09}" srcOrd="0" destOrd="0" presId="urn:microsoft.com/office/officeart/2005/8/layout/orgChart1"/>
    <dgm:cxn modelId="{1EAE029F-FD48-40E8-81EF-347D3BD3DF38}" type="presOf" srcId="{B5F111D1-ACC7-40DE-9841-B2A71F977030}" destId="{49A78C3C-32D0-48C3-B51D-C281AAB9F9E9}" srcOrd="0" destOrd="0" presId="urn:microsoft.com/office/officeart/2005/8/layout/orgChart1"/>
    <dgm:cxn modelId="{13FD399D-C363-449F-8087-952E32E56EF1}" type="presParOf" srcId="{77E89702-204D-4C3F-A73F-CF95388529F9}" destId="{32B467DC-11C4-4D16-A351-E9567ED3C5B7}" srcOrd="0" destOrd="0" presId="urn:microsoft.com/office/officeart/2005/8/layout/orgChart1"/>
    <dgm:cxn modelId="{C8DAA149-109E-4124-B49D-C41439A612B0}" type="presParOf" srcId="{32B467DC-11C4-4D16-A351-E9567ED3C5B7}" destId="{F7B0DA4B-4211-4C3F-9252-7BB3833E0B2B}" srcOrd="0" destOrd="0" presId="urn:microsoft.com/office/officeart/2005/8/layout/orgChart1"/>
    <dgm:cxn modelId="{0ADD773B-1C1B-4718-B390-C52F4E2686B9}" type="presParOf" srcId="{F7B0DA4B-4211-4C3F-9252-7BB3833E0B2B}" destId="{F2716EFF-6DD5-42F8-9998-56B1E2B1D26E}" srcOrd="0" destOrd="0" presId="urn:microsoft.com/office/officeart/2005/8/layout/orgChart1"/>
    <dgm:cxn modelId="{64B1E0D3-7282-41ED-AD1A-BA6622236D51}" type="presParOf" srcId="{F7B0DA4B-4211-4C3F-9252-7BB3833E0B2B}" destId="{6FD6D5B0-C7F8-4CB1-8F46-5970874F21C6}" srcOrd="1" destOrd="0" presId="urn:microsoft.com/office/officeart/2005/8/layout/orgChart1"/>
    <dgm:cxn modelId="{E6AF858F-B4A2-4042-ACB0-E857C189C172}" type="presParOf" srcId="{32B467DC-11C4-4D16-A351-E9567ED3C5B7}" destId="{8C111991-1D51-482E-B460-95DA3EB0CAC4}" srcOrd="1" destOrd="0" presId="urn:microsoft.com/office/officeart/2005/8/layout/orgChart1"/>
    <dgm:cxn modelId="{4E40A889-B9D7-490E-97FC-235AC2BF4117}" type="presParOf" srcId="{8C111991-1D51-482E-B460-95DA3EB0CAC4}" destId="{401C0672-DF36-43D8-8B34-5429409D6FDE}" srcOrd="0" destOrd="0" presId="urn:microsoft.com/office/officeart/2005/8/layout/orgChart1"/>
    <dgm:cxn modelId="{4B0252E3-6F6E-4D51-B9AE-F8AEE1D65A42}" type="presParOf" srcId="{8C111991-1D51-482E-B460-95DA3EB0CAC4}" destId="{977EDC54-B85B-4884-8E70-55ADAC05B100}" srcOrd="1" destOrd="0" presId="urn:microsoft.com/office/officeart/2005/8/layout/orgChart1"/>
    <dgm:cxn modelId="{6B8DDD05-B6FE-44D9-83E7-27F94CD0BEF7}" type="presParOf" srcId="{977EDC54-B85B-4884-8E70-55ADAC05B100}" destId="{953674AC-F39D-4E80-A2B6-E22037A4C586}" srcOrd="0" destOrd="0" presId="urn:microsoft.com/office/officeart/2005/8/layout/orgChart1"/>
    <dgm:cxn modelId="{177C5BF8-5F66-4C31-BB89-D5C8F2B9BDC8}" type="presParOf" srcId="{953674AC-F39D-4E80-A2B6-E22037A4C586}" destId="{52B4EB4A-5BE5-421D-9C14-D9D2CE713246}" srcOrd="0" destOrd="0" presId="urn:microsoft.com/office/officeart/2005/8/layout/orgChart1"/>
    <dgm:cxn modelId="{0251D868-A7F5-40C0-9972-CDDFC610E26E}" type="presParOf" srcId="{953674AC-F39D-4E80-A2B6-E22037A4C586}" destId="{9899B08A-D123-4881-AA13-11676E38113C}" srcOrd="1" destOrd="0" presId="urn:microsoft.com/office/officeart/2005/8/layout/orgChart1"/>
    <dgm:cxn modelId="{F793F886-440B-451D-8CD7-C0A89DE3AC0E}" type="presParOf" srcId="{977EDC54-B85B-4884-8E70-55ADAC05B100}" destId="{2F1EC6A9-0AF1-4587-97C1-7C6E850A7026}" srcOrd="1" destOrd="0" presId="urn:microsoft.com/office/officeart/2005/8/layout/orgChart1"/>
    <dgm:cxn modelId="{7C0764D4-37C2-4563-95E7-37408DF117E0}" type="presParOf" srcId="{977EDC54-B85B-4884-8E70-55ADAC05B100}" destId="{F14B7E75-3174-40C9-8747-AF16D0ADCA77}" srcOrd="2" destOrd="0" presId="urn:microsoft.com/office/officeart/2005/8/layout/orgChart1"/>
    <dgm:cxn modelId="{14348500-1A0F-4F5B-B258-C1CBF27BA9ED}" type="presParOf" srcId="{8C111991-1D51-482E-B460-95DA3EB0CAC4}" destId="{D4276139-34B5-4726-9381-6CE12B03B2DC}" srcOrd="2" destOrd="0" presId="urn:microsoft.com/office/officeart/2005/8/layout/orgChart1"/>
    <dgm:cxn modelId="{EAD258C4-2F4B-4C4F-918A-3CFB047B9C5C}" type="presParOf" srcId="{8C111991-1D51-482E-B460-95DA3EB0CAC4}" destId="{4987C6A4-73E4-4377-9B6E-1A620FB24A81}" srcOrd="3" destOrd="0" presId="urn:microsoft.com/office/officeart/2005/8/layout/orgChart1"/>
    <dgm:cxn modelId="{E73751E5-721F-447F-8E2A-6076DB1CE344}" type="presParOf" srcId="{4987C6A4-73E4-4377-9B6E-1A620FB24A81}" destId="{72375777-FF6D-491C-BB73-602A6F9B68D6}" srcOrd="0" destOrd="0" presId="urn:microsoft.com/office/officeart/2005/8/layout/orgChart1"/>
    <dgm:cxn modelId="{ABA19B8B-2DAC-4926-9B9B-E66D75D48DA4}" type="presParOf" srcId="{72375777-FF6D-491C-BB73-602A6F9B68D6}" destId="{871F556F-B16D-4446-BA2B-5F2E8CBCFF09}" srcOrd="0" destOrd="0" presId="urn:microsoft.com/office/officeart/2005/8/layout/orgChart1"/>
    <dgm:cxn modelId="{152495E0-5AF1-4089-8EB4-0D2D8167BB2B}" type="presParOf" srcId="{72375777-FF6D-491C-BB73-602A6F9B68D6}" destId="{CF2ABD32-5E07-4393-9D5C-9C5A5004B012}" srcOrd="1" destOrd="0" presId="urn:microsoft.com/office/officeart/2005/8/layout/orgChart1"/>
    <dgm:cxn modelId="{D5464F82-618F-42A5-97C5-CC96DAF5855C}" type="presParOf" srcId="{4987C6A4-73E4-4377-9B6E-1A620FB24A81}" destId="{6D5DFF80-AA94-4446-881F-B64210F1BC15}" srcOrd="1" destOrd="0" presId="urn:microsoft.com/office/officeart/2005/8/layout/orgChart1"/>
    <dgm:cxn modelId="{C54361B0-92F7-42A4-B610-2A112D0B0D79}" type="presParOf" srcId="{4987C6A4-73E4-4377-9B6E-1A620FB24A81}" destId="{C0AAE97A-B8C9-4BD9-B866-F5C57F24A5B3}" srcOrd="2" destOrd="0" presId="urn:microsoft.com/office/officeart/2005/8/layout/orgChart1"/>
    <dgm:cxn modelId="{5AAD2377-4F5E-47C4-B14D-CA2C97E6DF39}" type="presParOf" srcId="{8C111991-1D51-482E-B460-95DA3EB0CAC4}" destId="{49A78C3C-32D0-48C3-B51D-C281AAB9F9E9}" srcOrd="4" destOrd="0" presId="urn:microsoft.com/office/officeart/2005/8/layout/orgChart1"/>
    <dgm:cxn modelId="{734DA370-B235-4E7B-B3D9-7E58E3A3EB87}" type="presParOf" srcId="{8C111991-1D51-482E-B460-95DA3EB0CAC4}" destId="{439C03E7-62FD-4379-B9CA-3EF9CA3BEC98}" srcOrd="5" destOrd="0" presId="urn:microsoft.com/office/officeart/2005/8/layout/orgChart1"/>
    <dgm:cxn modelId="{24440697-0B5C-4E8E-B810-2E9B22261BBC}" type="presParOf" srcId="{439C03E7-62FD-4379-B9CA-3EF9CA3BEC98}" destId="{B7AC726D-83B6-48B2-8552-B57169A1AC42}" srcOrd="0" destOrd="0" presId="urn:microsoft.com/office/officeart/2005/8/layout/orgChart1"/>
    <dgm:cxn modelId="{2E166003-C848-42AC-8E17-0837A670676C}" type="presParOf" srcId="{B7AC726D-83B6-48B2-8552-B57169A1AC42}" destId="{44AFA4AA-404F-4A90-839E-5BD7DECEE76D}" srcOrd="0" destOrd="0" presId="urn:microsoft.com/office/officeart/2005/8/layout/orgChart1"/>
    <dgm:cxn modelId="{2103E943-DBB8-4CC3-B841-9569BECD90EF}" type="presParOf" srcId="{B7AC726D-83B6-48B2-8552-B57169A1AC42}" destId="{C65E22B1-AA45-4BE0-BF17-8910533F6C78}" srcOrd="1" destOrd="0" presId="urn:microsoft.com/office/officeart/2005/8/layout/orgChart1"/>
    <dgm:cxn modelId="{B0989E8D-F6EA-41A1-AE7D-B1C300402EF5}" type="presParOf" srcId="{439C03E7-62FD-4379-B9CA-3EF9CA3BEC98}" destId="{EE48B355-0139-4649-963A-26FDF6FDC0E6}" srcOrd="1" destOrd="0" presId="urn:microsoft.com/office/officeart/2005/8/layout/orgChart1"/>
    <dgm:cxn modelId="{F46ABB8C-AD1E-4212-9143-29879850AB3C}" type="presParOf" srcId="{439C03E7-62FD-4379-B9CA-3EF9CA3BEC98}" destId="{37BEF4FA-0E23-4321-ADF6-D74B437F1CA9}" srcOrd="2" destOrd="0" presId="urn:microsoft.com/office/officeart/2005/8/layout/orgChart1"/>
    <dgm:cxn modelId="{2DF3B9BB-EA19-432A-9AEB-0A254D631A05}" type="presParOf" srcId="{8C111991-1D51-482E-B460-95DA3EB0CAC4}" destId="{F68C536E-8FC4-4499-9BEC-74DDECEB465F}" srcOrd="6" destOrd="0" presId="urn:microsoft.com/office/officeart/2005/8/layout/orgChart1"/>
    <dgm:cxn modelId="{E36984B6-7466-41FC-8D91-1ACF26C0B08D}" type="presParOf" srcId="{8C111991-1D51-482E-B460-95DA3EB0CAC4}" destId="{1C079474-20ED-49D8-86C7-8ACE6DCCF8E5}" srcOrd="7" destOrd="0" presId="urn:microsoft.com/office/officeart/2005/8/layout/orgChart1"/>
    <dgm:cxn modelId="{E29254D2-092E-4A8B-9C08-288F6131E4C6}" type="presParOf" srcId="{1C079474-20ED-49D8-86C7-8ACE6DCCF8E5}" destId="{F59EBB4D-5B8A-4A4A-99C2-15D4B927AFB3}" srcOrd="0" destOrd="0" presId="urn:microsoft.com/office/officeart/2005/8/layout/orgChart1"/>
    <dgm:cxn modelId="{A285DBE6-BD55-417B-BFE2-60873FCD3DDF}" type="presParOf" srcId="{F59EBB4D-5B8A-4A4A-99C2-15D4B927AFB3}" destId="{5D097847-D4EF-4534-8948-BC1E2723462B}" srcOrd="0" destOrd="0" presId="urn:microsoft.com/office/officeart/2005/8/layout/orgChart1"/>
    <dgm:cxn modelId="{6C4E5DDA-594B-4128-9DB7-FE1FF7FB64CB}" type="presParOf" srcId="{F59EBB4D-5B8A-4A4A-99C2-15D4B927AFB3}" destId="{4496538F-DFEB-47C0-B1AC-1B6B22A6287C}" srcOrd="1" destOrd="0" presId="urn:microsoft.com/office/officeart/2005/8/layout/orgChart1"/>
    <dgm:cxn modelId="{BED64CA1-C0BA-4A85-82E6-8F39CC9CE0D5}" type="presParOf" srcId="{1C079474-20ED-49D8-86C7-8ACE6DCCF8E5}" destId="{03D84131-F191-4838-87ED-A5BA53A222EB}" srcOrd="1" destOrd="0" presId="urn:microsoft.com/office/officeart/2005/8/layout/orgChart1"/>
    <dgm:cxn modelId="{BB9EEBD1-0487-49FE-B5FA-388AC3B3BA23}" type="presParOf" srcId="{1C079474-20ED-49D8-86C7-8ACE6DCCF8E5}" destId="{9252D09A-B6AC-418F-BB89-6B5B7909242F}" srcOrd="2" destOrd="0" presId="urn:microsoft.com/office/officeart/2005/8/layout/orgChart1"/>
    <dgm:cxn modelId="{B969464F-4D35-458F-8D50-36FCE4C8EC9A}" type="presParOf" srcId="{32B467DC-11C4-4D16-A351-E9567ED3C5B7}" destId="{A47799F2-4EE5-4E9B-A2AD-5DF5EBF5A7CB}" srcOrd="2" destOrd="0" presId="urn:microsoft.com/office/officeart/2005/8/layout/orgChart1"/>
    <dgm:cxn modelId="{E1AAF831-A276-454D-8BAF-9F1CC759A029}" type="presParOf" srcId="{A47799F2-4EE5-4E9B-A2AD-5DF5EBF5A7CB}" destId="{77683818-11D0-4E28-8F9E-7993571540BB}" srcOrd="0" destOrd="0" presId="urn:microsoft.com/office/officeart/2005/8/layout/orgChart1"/>
    <dgm:cxn modelId="{C705C1C2-1809-4E78-9018-60443F443597}" type="presParOf" srcId="{A47799F2-4EE5-4E9B-A2AD-5DF5EBF5A7CB}" destId="{9EC3AD79-EBE7-4532-96CC-31067B9A500C}" srcOrd="1" destOrd="0" presId="urn:microsoft.com/office/officeart/2005/8/layout/orgChart1"/>
    <dgm:cxn modelId="{C67097D9-F409-4B61-A80F-05BB872DF1C7}" type="presParOf" srcId="{9EC3AD79-EBE7-4532-96CC-31067B9A500C}" destId="{FA416338-2C25-4E22-80FE-D817EAA54777}" srcOrd="0" destOrd="0" presId="urn:microsoft.com/office/officeart/2005/8/layout/orgChart1"/>
    <dgm:cxn modelId="{2981F039-B7B5-45FA-A040-95A3B13C7082}" type="presParOf" srcId="{FA416338-2C25-4E22-80FE-D817EAA54777}" destId="{274136BA-7A80-4BDB-97A3-6071FA0D227F}" srcOrd="0" destOrd="0" presId="urn:microsoft.com/office/officeart/2005/8/layout/orgChart1"/>
    <dgm:cxn modelId="{D2680404-BB5D-45C2-89F0-792686666A8A}" type="presParOf" srcId="{FA416338-2C25-4E22-80FE-D817EAA54777}" destId="{EE5070FA-F66A-4EDF-B1E7-85B4801B33BB}" srcOrd="1" destOrd="0" presId="urn:microsoft.com/office/officeart/2005/8/layout/orgChart1"/>
    <dgm:cxn modelId="{A3DE5613-3E30-4C24-A892-6A390C0A1BBE}" type="presParOf" srcId="{9EC3AD79-EBE7-4532-96CC-31067B9A500C}" destId="{3F00123E-ACC9-4852-B29F-07AB9EBCE733}" srcOrd="1" destOrd="0" presId="urn:microsoft.com/office/officeart/2005/8/layout/orgChart1"/>
    <dgm:cxn modelId="{8CE5ABB0-4E42-46EE-89CD-534C092A10C2}" type="presParOf" srcId="{9EC3AD79-EBE7-4532-96CC-31067B9A500C}" destId="{6FBEDB32-CFF2-45C3-8753-45333FACB93A}" srcOrd="2" destOrd="0" presId="urn:microsoft.com/office/officeart/2005/8/layout/orgChart1"/>
    <dgm:cxn modelId="{4D38585F-3187-424C-8AD9-35AAB47B8FFC}" type="presParOf" srcId="{A47799F2-4EE5-4E9B-A2AD-5DF5EBF5A7CB}" destId="{4E440683-A74D-447B-8738-69A28CA93319}" srcOrd="2" destOrd="0" presId="urn:microsoft.com/office/officeart/2005/8/layout/orgChart1"/>
    <dgm:cxn modelId="{880531E0-21CF-462A-B8EA-445E51DAE98C}" type="presParOf" srcId="{A47799F2-4EE5-4E9B-A2AD-5DF5EBF5A7CB}" destId="{73CDFD57-AC82-4E7F-85AF-F9889522F48D}" srcOrd="3" destOrd="0" presId="urn:microsoft.com/office/officeart/2005/8/layout/orgChart1"/>
    <dgm:cxn modelId="{346CC017-2652-4681-9772-01A7EB7D53CE}" type="presParOf" srcId="{73CDFD57-AC82-4E7F-85AF-F9889522F48D}" destId="{99F2358D-441C-40F5-90B5-F1FC0A128A4F}" srcOrd="0" destOrd="0" presId="urn:microsoft.com/office/officeart/2005/8/layout/orgChart1"/>
    <dgm:cxn modelId="{EA59D0CE-340F-47D1-BAB0-6B1AE801204D}" type="presParOf" srcId="{99F2358D-441C-40F5-90B5-F1FC0A128A4F}" destId="{9F5F58D5-6FB1-48DF-BF6F-4B13E8FBCA02}" srcOrd="0" destOrd="0" presId="urn:microsoft.com/office/officeart/2005/8/layout/orgChart1"/>
    <dgm:cxn modelId="{0B5191A4-FD8B-4B21-B70F-252C2E07D40D}" type="presParOf" srcId="{99F2358D-441C-40F5-90B5-F1FC0A128A4F}" destId="{9D52007E-7993-4917-82DF-1887823321DC}" srcOrd="1" destOrd="0" presId="urn:microsoft.com/office/officeart/2005/8/layout/orgChart1"/>
    <dgm:cxn modelId="{7A4E7400-CF9A-4538-A8D0-C6B0CA92C6C6}" type="presParOf" srcId="{73CDFD57-AC82-4E7F-85AF-F9889522F48D}" destId="{60D87483-6690-4CFD-AF03-77D492A65D25}" srcOrd="1" destOrd="0" presId="urn:microsoft.com/office/officeart/2005/8/layout/orgChart1"/>
    <dgm:cxn modelId="{5F48BBCF-EBE6-4883-8827-56FA88EEBCB1}" type="presParOf" srcId="{73CDFD57-AC82-4E7F-85AF-F9889522F48D}" destId="{3B4959D9-0123-4BF6-BAFF-6861EABE550A}" srcOrd="2" destOrd="0" presId="urn:microsoft.com/office/officeart/2005/8/layout/orgChart1"/>
    <dgm:cxn modelId="{52E92935-5EFD-4939-B9C5-4AD746325323}" type="presParOf" srcId="{A47799F2-4EE5-4E9B-A2AD-5DF5EBF5A7CB}" destId="{B5719A06-86D7-4083-9E6E-97A0F9AD03F1}" srcOrd="4" destOrd="0" presId="urn:microsoft.com/office/officeart/2005/8/layout/orgChart1"/>
    <dgm:cxn modelId="{A33697A0-A408-4B9A-97CB-566D3C7B85F7}" type="presParOf" srcId="{A47799F2-4EE5-4E9B-A2AD-5DF5EBF5A7CB}" destId="{09CF1FEE-C2E7-4ADD-8671-247E1F5EC44D}" srcOrd="5" destOrd="0" presId="urn:microsoft.com/office/officeart/2005/8/layout/orgChart1"/>
    <dgm:cxn modelId="{9EFD9C2E-2D17-4B32-AD02-9AB8AE1B9A13}" type="presParOf" srcId="{09CF1FEE-C2E7-4ADD-8671-247E1F5EC44D}" destId="{B2E46733-6495-4372-B9A9-51066B91BD61}" srcOrd="0" destOrd="0" presId="urn:microsoft.com/office/officeart/2005/8/layout/orgChart1"/>
    <dgm:cxn modelId="{BBBFDBA5-B9AF-4F4B-82E2-5233D12D1113}" type="presParOf" srcId="{B2E46733-6495-4372-B9A9-51066B91BD61}" destId="{E87A623A-9404-4097-B541-D04C53BAAF78}" srcOrd="0" destOrd="0" presId="urn:microsoft.com/office/officeart/2005/8/layout/orgChart1"/>
    <dgm:cxn modelId="{4B9D4786-D30F-4AFE-B135-DAEC784CF201}" type="presParOf" srcId="{B2E46733-6495-4372-B9A9-51066B91BD61}" destId="{4C531B0E-D295-4561-8339-EF6FF6B816E4}" srcOrd="1" destOrd="0" presId="urn:microsoft.com/office/officeart/2005/8/layout/orgChart1"/>
    <dgm:cxn modelId="{C0F9C258-E87B-4E19-89C9-3C489F02CACA}" type="presParOf" srcId="{09CF1FEE-C2E7-4ADD-8671-247E1F5EC44D}" destId="{5CD42F35-FA58-4E36-B3F8-E3B99DB5EDF2}" srcOrd="1" destOrd="0" presId="urn:microsoft.com/office/officeart/2005/8/layout/orgChart1"/>
    <dgm:cxn modelId="{67980543-A6F7-4F05-84C3-6FC211CFEF82}" type="presParOf" srcId="{09CF1FEE-C2E7-4ADD-8671-247E1F5EC44D}" destId="{61AF4411-8B77-4EBB-8889-F47DF8319AFA}" srcOrd="2" destOrd="0" presId="urn:microsoft.com/office/officeart/2005/8/layout/orgChart1"/>
    <dgm:cxn modelId="{8E4AD823-E747-4B42-8591-737DA57D4D6C}" type="presParOf" srcId="{A47799F2-4EE5-4E9B-A2AD-5DF5EBF5A7CB}" destId="{7AFA82F7-8D2D-4D7D-AE3B-613D72396D18}" srcOrd="6" destOrd="0" presId="urn:microsoft.com/office/officeart/2005/8/layout/orgChart1"/>
    <dgm:cxn modelId="{5FDA53FB-5B87-4828-8597-C02C216A32BA}" type="presParOf" srcId="{A47799F2-4EE5-4E9B-A2AD-5DF5EBF5A7CB}" destId="{D10084BB-05AF-4CE1-A557-1A219AD5D81A}" srcOrd="7" destOrd="0" presId="urn:microsoft.com/office/officeart/2005/8/layout/orgChart1"/>
    <dgm:cxn modelId="{F33F81C2-B36F-49B8-B2B1-06D5C95C3911}" type="presParOf" srcId="{D10084BB-05AF-4CE1-A557-1A219AD5D81A}" destId="{49595296-9651-487A-A9F8-A9374A1E9688}" srcOrd="0" destOrd="0" presId="urn:microsoft.com/office/officeart/2005/8/layout/orgChart1"/>
    <dgm:cxn modelId="{CAB80976-0EE1-4ADF-B44A-0F5B1D249048}" type="presParOf" srcId="{49595296-9651-487A-A9F8-A9374A1E9688}" destId="{C4180BBB-3300-418F-BE93-1234A59552A6}" srcOrd="0" destOrd="0" presId="urn:microsoft.com/office/officeart/2005/8/layout/orgChart1"/>
    <dgm:cxn modelId="{A716FDCD-2623-4B06-B961-68F9EE2F2413}" type="presParOf" srcId="{49595296-9651-487A-A9F8-A9374A1E9688}" destId="{43E0D9FD-44D9-43E1-8A4B-1A2CF5982D37}" srcOrd="1" destOrd="0" presId="urn:microsoft.com/office/officeart/2005/8/layout/orgChart1"/>
    <dgm:cxn modelId="{EECB47E2-04BA-434C-BAE8-AF98157830DC}" type="presParOf" srcId="{D10084BB-05AF-4CE1-A557-1A219AD5D81A}" destId="{B99A81B7-7A7F-46C6-896C-8741D23C0CED}" srcOrd="1" destOrd="0" presId="urn:microsoft.com/office/officeart/2005/8/layout/orgChart1"/>
    <dgm:cxn modelId="{11F48DB4-9453-4AD8-91DB-C21A40BDD68A}" type="presParOf" srcId="{D10084BB-05AF-4CE1-A557-1A219AD5D81A}" destId="{72A48E41-D5D2-4F25-BB66-B679F3721856}" srcOrd="2" destOrd="0" presId="urn:microsoft.com/office/officeart/2005/8/layout/orgChart1"/>
    <dgm:cxn modelId="{F617C7CD-032B-40C8-B9B0-848033B2B89F}" type="presParOf" srcId="{A47799F2-4EE5-4E9B-A2AD-5DF5EBF5A7CB}" destId="{45CAC743-E0F6-4261-86C8-E35BBC8C19BC}" srcOrd="8" destOrd="0" presId="urn:microsoft.com/office/officeart/2005/8/layout/orgChart1"/>
    <dgm:cxn modelId="{79D157D3-2BB2-4BFC-BD6A-4144AFC986BD}" type="presParOf" srcId="{A47799F2-4EE5-4E9B-A2AD-5DF5EBF5A7CB}" destId="{6A41EA2E-9BBD-4C8C-8945-F4BED39DFA75}" srcOrd="9" destOrd="0" presId="urn:microsoft.com/office/officeart/2005/8/layout/orgChart1"/>
    <dgm:cxn modelId="{B9330DBC-AAE3-47AA-A0D5-535385A9C544}" type="presParOf" srcId="{6A41EA2E-9BBD-4C8C-8945-F4BED39DFA75}" destId="{AADAF2BB-06AC-43AE-927F-A51D592B546C}" srcOrd="0" destOrd="0" presId="urn:microsoft.com/office/officeart/2005/8/layout/orgChart1"/>
    <dgm:cxn modelId="{6B44B6C3-4A8A-4865-B262-21E2972B1936}" type="presParOf" srcId="{AADAF2BB-06AC-43AE-927F-A51D592B546C}" destId="{902AD5BD-A4EC-43C3-88AC-CA19CF7BF488}" srcOrd="0" destOrd="0" presId="urn:microsoft.com/office/officeart/2005/8/layout/orgChart1"/>
    <dgm:cxn modelId="{38A1F49F-01E8-4378-8121-518B7365D0BA}" type="presParOf" srcId="{AADAF2BB-06AC-43AE-927F-A51D592B546C}" destId="{DC8F9716-EDAE-4135-B878-6434429E37BE}" srcOrd="1" destOrd="0" presId="urn:microsoft.com/office/officeart/2005/8/layout/orgChart1"/>
    <dgm:cxn modelId="{0489DE3F-6E3B-49FB-8A17-C13EF40F16CA}" type="presParOf" srcId="{6A41EA2E-9BBD-4C8C-8945-F4BED39DFA75}" destId="{085D841C-51C7-4C63-AA57-9DF4DCDDF7AD}" srcOrd="1" destOrd="0" presId="urn:microsoft.com/office/officeart/2005/8/layout/orgChart1"/>
    <dgm:cxn modelId="{59B5283D-606A-408D-B1D6-4D9E5D49FD64}" type="presParOf" srcId="{6A41EA2E-9BBD-4C8C-8945-F4BED39DFA75}" destId="{EF8527A8-B651-4B4D-AE1C-DEB80DDA8BD1}" srcOrd="2" destOrd="0" presId="urn:microsoft.com/office/officeart/2005/8/layout/orgChart1"/>
    <dgm:cxn modelId="{B9C64C44-C7C7-4134-BA58-6B711CC913D6}" type="presParOf" srcId="{A47799F2-4EE5-4E9B-A2AD-5DF5EBF5A7CB}" destId="{CF052E1D-09A6-4002-9BEE-78C56441E48C}" srcOrd="10" destOrd="0" presId="urn:microsoft.com/office/officeart/2005/8/layout/orgChart1"/>
    <dgm:cxn modelId="{144F270D-102D-4812-A96E-BFA4C7B3E75F}" type="presParOf" srcId="{A47799F2-4EE5-4E9B-A2AD-5DF5EBF5A7CB}" destId="{4337959E-0165-4042-BACF-E2BEA7EC4470}" srcOrd="11" destOrd="0" presId="urn:microsoft.com/office/officeart/2005/8/layout/orgChart1"/>
    <dgm:cxn modelId="{F0DBE7EF-D222-4538-A7D9-E5C63B4045B3}" type="presParOf" srcId="{4337959E-0165-4042-BACF-E2BEA7EC4470}" destId="{390A2EAD-2B58-4F66-96F8-0573E1C3B966}" srcOrd="0" destOrd="0" presId="urn:microsoft.com/office/officeart/2005/8/layout/orgChart1"/>
    <dgm:cxn modelId="{30A2C21E-C26B-4812-BF4C-7BE691D180E2}" type="presParOf" srcId="{390A2EAD-2B58-4F66-96F8-0573E1C3B966}" destId="{B4D1D39D-DD14-4BE4-B46B-00560B21CDFA}" srcOrd="0" destOrd="0" presId="urn:microsoft.com/office/officeart/2005/8/layout/orgChart1"/>
    <dgm:cxn modelId="{AC33BFCF-7CF2-4057-8568-72647CFAE3E7}" type="presParOf" srcId="{390A2EAD-2B58-4F66-96F8-0573E1C3B966}" destId="{5051C33F-9C6E-481B-8384-0736B49EA41D}" srcOrd="1" destOrd="0" presId="urn:microsoft.com/office/officeart/2005/8/layout/orgChart1"/>
    <dgm:cxn modelId="{6EE2D0B2-4C96-4EA9-9A20-9580C432F236}" type="presParOf" srcId="{4337959E-0165-4042-BACF-E2BEA7EC4470}" destId="{5D55E210-0EF7-4169-A05D-5AF03DB98AD4}" srcOrd="1" destOrd="0" presId="urn:microsoft.com/office/officeart/2005/8/layout/orgChart1"/>
    <dgm:cxn modelId="{3426E711-0174-495F-8393-A5A75B95DBBE}" type="presParOf" srcId="{4337959E-0165-4042-BACF-E2BEA7EC4470}" destId="{0BB3E112-309C-4EFD-86F2-07A41F9BDBE3}" srcOrd="2" destOrd="0" presId="urn:microsoft.com/office/officeart/2005/8/layout/orgChart1"/>
  </dgm:cxnLst>
  <dgm:bg/>
  <dgm:whole/>
  <dgm:extLst>
    <a:ext uri="http://schemas.microsoft.com/office/drawing/2008/diagram">
      <dsp:dataModelExt xmlns:dsp="http://schemas.microsoft.com/office/drawing/2008/diagram" relId="rId28"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54D841B8-DD2D-4EF1-8321-5511489D1ED2}" type="doc">
      <dgm:prSet loTypeId="urn:microsoft.com/office/officeart/2005/8/layout/orgChart1" loCatId="hierarchy" qsTypeId="urn:microsoft.com/office/officeart/2005/8/quickstyle/simple1" qsCatId="simple" csTypeId="urn:microsoft.com/office/officeart/2005/8/colors/accent5_1" csCatId="accent5" phldr="1"/>
      <dgm:spPr/>
      <dgm:t>
        <a:bodyPr/>
        <a:lstStyle/>
        <a:p>
          <a:endParaRPr lang="x-none"/>
        </a:p>
      </dgm:t>
    </dgm:pt>
    <dgm:pt modelId="{F0D9E78E-DCDA-41AB-A8A9-E976D778BF0E}">
      <dgm:prSet phldrT="[Texte]" custT="1">
        <dgm:style>
          <a:lnRef idx="2">
            <a:schemeClr val="accent5"/>
          </a:lnRef>
          <a:fillRef idx="1">
            <a:schemeClr val="lt1"/>
          </a:fillRef>
          <a:effectRef idx="0">
            <a:schemeClr val="accent5"/>
          </a:effectRef>
          <a:fontRef idx="minor">
            <a:schemeClr val="dk1"/>
          </a:fontRef>
        </dgm:style>
      </dgm:prSet>
      <dgm:spPr>
        <a:solidFill>
          <a:schemeClr val="accent1">
            <a:lumMod val="60000"/>
            <a:lumOff val="40000"/>
          </a:schemeClr>
        </a:solidFill>
        <a:ln w="38100">
          <a:solidFill>
            <a:schemeClr val="accent1"/>
          </a:solidFill>
        </a:ln>
      </dgm:spPr>
      <dgm:t>
        <a:bodyPr/>
        <a:lstStyle/>
        <a:p>
          <a:pPr algn="ctr"/>
          <a:r>
            <a:rPr lang="fr-FR" sz="1600" b="1">
              <a:latin typeface="Times New Roman" panose="02020603050405020304" pitchFamily="18" charset="0"/>
              <a:cs typeface="Times New Roman" panose="02020603050405020304" pitchFamily="18" charset="0"/>
            </a:rPr>
            <a:t>Directeur Opérationnel</a:t>
          </a:r>
          <a:endParaRPr lang="x-none" sz="1600" b="1">
            <a:latin typeface="Times New Roman" panose="02020603050405020304" pitchFamily="18" charset="0"/>
            <a:cs typeface="Times New Roman" panose="02020603050405020304" pitchFamily="18" charset="0"/>
          </a:endParaRPr>
        </a:p>
      </dgm:t>
    </dgm:pt>
    <dgm:pt modelId="{50CC2D2F-82CC-4E92-BBC7-603EB0076DBA}" type="parTrans" cxnId="{609C7EB7-15CC-445F-A878-164F5E8199CA}">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225ED662-95E4-487A-91B0-044C286E7A79}" type="sibTrans" cxnId="{609C7EB7-15CC-445F-A878-164F5E8199CA}">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2EA719B2-5ABC-48AE-9E3E-D58A7482A1CC}">
      <dgm:prSet phldrT="[Texte]" custT="1">
        <dgm:style>
          <a:lnRef idx="2">
            <a:schemeClr val="accent5"/>
          </a:lnRef>
          <a:fillRef idx="1">
            <a:schemeClr val="lt1"/>
          </a:fillRef>
          <a:effectRef idx="0">
            <a:schemeClr val="accent5"/>
          </a:effectRef>
          <a:fontRef idx="minor">
            <a:schemeClr val="dk1"/>
          </a:fontRef>
        </dgm:style>
      </dgm:prSet>
      <dgm:spPr>
        <a:solidFill>
          <a:schemeClr val="accent1">
            <a:lumMod val="20000"/>
            <a:lumOff val="80000"/>
          </a:schemeClr>
        </a:solidFill>
        <a:ln w="28575">
          <a:solidFill>
            <a:schemeClr val="accent1"/>
          </a:solidFill>
        </a:ln>
      </dgm:spPr>
      <dgm:t>
        <a:bodyPr/>
        <a:lstStyle/>
        <a:p>
          <a:pPr algn="ctr"/>
          <a:r>
            <a:rPr lang="fr-FR" sz="1600" b="1">
              <a:latin typeface="Times New Roman" panose="02020603050405020304" pitchFamily="18" charset="0"/>
              <a:cs typeface="Times New Roman" panose="02020603050405020304" pitchFamily="18" charset="0"/>
            </a:rPr>
            <a:t>S/D Technique</a:t>
          </a:r>
          <a:endParaRPr lang="x-none" sz="1600" b="1">
            <a:latin typeface="Times New Roman" panose="02020603050405020304" pitchFamily="18" charset="0"/>
            <a:cs typeface="Times New Roman" panose="02020603050405020304" pitchFamily="18" charset="0"/>
          </a:endParaRPr>
        </a:p>
      </dgm:t>
    </dgm:pt>
    <dgm:pt modelId="{808B8F25-7AA1-4811-A3FE-CBDC36987868}" type="parTrans" cxnId="{66FC73DA-A97A-435F-8786-B0B95DEE65C0}">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885D30AC-0EE2-4AC0-9864-5098F157CD61}" type="sibTrans" cxnId="{66FC73DA-A97A-435F-8786-B0B95DEE65C0}">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D557D77F-D6D9-4B84-8513-55C25DA53B9B}">
      <dgm:prSet phldrT="[Texte]" custT="1"/>
      <dgm:spPr/>
      <dgm:t>
        <a:bodyPr/>
        <a:lstStyle/>
        <a:p>
          <a:pPr algn="ctr"/>
          <a:r>
            <a:rPr lang="fr-FR" sz="1200" b="0">
              <a:latin typeface="Times New Roman" panose="02020603050405020304" pitchFamily="18" charset="0"/>
              <a:cs typeface="Times New Roman" panose="02020603050405020304" pitchFamily="18" charset="0"/>
            </a:rPr>
            <a:t>Département Planification et suivi</a:t>
          </a:r>
          <a:endParaRPr lang="x-none" sz="1200" b="0">
            <a:latin typeface="Times New Roman" panose="02020603050405020304" pitchFamily="18" charset="0"/>
            <a:cs typeface="Times New Roman" panose="02020603050405020304" pitchFamily="18" charset="0"/>
          </a:endParaRPr>
        </a:p>
      </dgm:t>
    </dgm:pt>
    <dgm:pt modelId="{2451ECAE-2110-4C2D-91AD-12907560BF09}" type="parTrans" cxnId="{8047F05A-8A40-49AD-9AA7-4E6331224F15}">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01BB8232-34BB-4731-B6F2-81DB3EC1E5C4}" type="sibTrans" cxnId="{8047F05A-8A40-49AD-9AA7-4E6331224F15}">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6CB5E88E-DDA6-4306-900B-9FB6E2F324C3}">
      <dgm:prSet phldrT="[Texte]" custT="1"/>
      <dgm:spPr/>
      <dgm:t>
        <a:bodyPr/>
        <a:lstStyle/>
        <a:p>
          <a:pPr algn="ctr"/>
          <a:r>
            <a:rPr lang="fr-FR" sz="1200" b="0">
              <a:latin typeface="Times New Roman" panose="02020603050405020304" pitchFamily="18" charset="0"/>
              <a:cs typeface="Times New Roman" panose="02020603050405020304" pitchFamily="18" charset="0"/>
            </a:rPr>
            <a:t>Département Achat et Logistique</a:t>
          </a:r>
          <a:endParaRPr lang="x-none" sz="1200" b="0">
            <a:latin typeface="Times New Roman" panose="02020603050405020304" pitchFamily="18" charset="0"/>
            <a:cs typeface="Times New Roman" panose="02020603050405020304" pitchFamily="18" charset="0"/>
          </a:endParaRPr>
        </a:p>
      </dgm:t>
    </dgm:pt>
    <dgm:pt modelId="{EC0D739D-B372-4FBA-8F85-82F9AB802BF1}" type="parTrans" cxnId="{DAE2E98D-8068-4233-9E60-77D0015C83B8}">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2572E30E-1A73-49EB-9B48-040103ABDCA9}" type="sibTrans" cxnId="{DAE2E98D-8068-4233-9E60-77D0015C83B8}">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AF715EBB-E16D-44DA-B3B0-88F5F525232B}">
      <dgm:prSet custT="1">
        <dgm:style>
          <a:lnRef idx="2">
            <a:schemeClr val="accent5"/>
          </a:lnRef>
          <a:fillRef idx="1">
            <a:schemeClr val="lt1"/>
          </a:fillRef>
          <a:effectRef idx="0">
            <a:schemeClr val="accent5"/>
          </a:effectRef>
          <a:fontRef idx="minor">
            <a:schemeClr val="dk1"/>
          </a:fontRef>
        </dgm:style>
      </dgm:prSet>
      <dgm:spPr>
        <a:solidFill>
          <a:schemeClr val="accent1">
            <a:lumMod val="20000"/>
            <a:lumOff val="80000"/>
          </a:schemeClr>
        </a:solidFill>
        <a:ln w="28575">
          <a:solidFill>
            <a:schemeClr val="accent1"/>
          </a:solidFill>
        </a:ln>
      </dgm:spPr>
      <dgm:t>
        <a:bodyPr/>
        <a:lstStyle/>
        <a:p>
          <a:pPr algn="ctr"/>
          <a:r>
            <a:rPr lang="fr-FR" sz="1600" b="1">
              <a:latin typeface="Times New Roman" panose="02020603050405020304" pitchFamily="18" charset="0"/>
              <a:cs typeface="Times New Roman" panose="02020603050405020304" pitchFamily="18" charset="0"/>
            </a:rPr>
            <a:t>S/D Fonctions</a:t>
          </a:r>
          <a:endParaRPr lang="x-none" sz="1600" b="1">
            <a:latin typeface="Times New Roman" panose="02020603050405020304" pitchFamily="18" charset="0"/>
            <a:cs typeface="Times New Roman" panose="02020603050405020304" pitchFamily="18" charset="0"/>
          </a:endParaRPr>
        </a:p>
      </dgm:t>
    </dgm:pt>
    <dgm:pt modelId="{0561BB6B-22B3-4510-814B-822CDBFCD40C}" type="parTrans" cxnId="{E13F0037-DDFF-458E-8C97-941522F50F3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267DDD83-8C17-445C-B00A-9FB802C7E96A}" type="sibTrans" cxnId="{E13F0037-DDFF-458E-8C97-941522F50F3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0CD07BD0-F0FB-4D00-B9B6-0A1B77F9F77C}">
      <dgm:prSet custT="1">
        <dgm:style>
          <a:lnRef idx="2">
            <a:schemeClr val="accent5"/>
          </a:lnRef>
          <a:fillRef idx="1">
            <a:schemeClr val="lt1"/>
          </a:fillRef>
          <a:effectRef idx="0">
            <a:schemeClr val="accent5"/>
          </a:effectRef>
          <a:fontRef idx="minor">
            <a:schemeClr val="dk1"/>
          </a:fontRef>
        </dgm:style>
      </dgm:prSet>
      <dgm:spPr>
        <a:solidFill>
          <a:schemeClr val="accent1">
            <a:lumMod val="20000"/>
            <a:lumOff val="80000"/>
          </a:schemeClr>
        </a:solidFill>
        <a:ln w="28575">
          <a:solidFill>
            <a:schemeClr val="accent1"/>
          </a:solidFill>
        </a:ln>
      </dgm:spPr>
      <dgm:t>
        <a:bodyPr/>
        <a:lstStyle/>
        <a:p>
          <a:pPr algn="ctr"/>
          <a:r>
            <a:rPr lang="fr-FR" sz="1600" b="1">
              <a:latin typeface="Times New Roman" panose="02020603050405020304" pitchFamily="18" charset="0"/>
              <a:cs typeface="Times New Roman" panose="02020603050405020304" pitchFamily="18" charset="0"/>
            </a:rPr>
            <a:t>S/D Commerciale</a:t>
          </a:r>
          <a:endParaRPr lang="x-none" sz="1600" b="1">
            <a:latin typeface="Times New Roman" panose="02020603050405020304" pitchFamily="18" charset="0"/>
            <a:cs typeface="Times New Roman" panose="02020603050405020304" pitchFamily="18" charset="0"/>
          </a:endParaRPr>
        </a:p>
      </dgm:t>
    </dgm:pt>
    <dgm:pt modelId="{B26C98F9-3654-4DD5-B859-F73A1CAE40C3}" type="parTrans" cxnId="{BE0756F7-B59A-4D7B-BEF4-4271A21CF7C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A52366E4-DB2C-4EA6-AF85-9166095DC7E4}" type="sibTrans" cxnId="{BE0756F7-B59A-4D7B-BEF4-4271A21CF7C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5A787CAC-84B7-45C5-A5A4-669E887E10E9}">
      <dgm:prSet custT="1"/>
      <dgm:spPr/>
      <dgm:t>
        <a:bodyPr/>
        <a:lstStyle/>
        <a:p>
          <a:pPr algn="ctr"/>
          <a:r>
            <a:rPr lang="fr-FR" sz="1200" b="0">
              <a:latin typeface="Times New Roman" panose="02020603050405020304" pitchFamily="18" charset="0"/>
              <a:cs typeface="Times New Roman" panose="02020603050405020304" pitchFamily="18" charset="0"/>
            </a:rPr>
            <a:t>Département Vente GP</a:t>
          </a:r>
          <a:endParaRPr lang="x-none" sz="1200" b="0">
            <a:latin typeface="Times New Roman" panose="02020603050405020304" pitchFamily="18" charset="0"/>
            <a:cs typeface="Times New Roman" panose="02020603050405020304" pitchFamily="18" charset="0"/>
          </a:endParaRPr>
        </a:p>
      </dgm:t>
    </dgm:pt>
    <dgm:pt modelId="{CA02F8AC-1F1A-4163-A794-D6E057C8B5C2}" type="parTrans" cxnId="{A02A1AA3-43B1-4DB4-88CE-A3830A551CFA}">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00445EBB-117B-4E00-8E0C-A7BFD34C8902}" type="sibTrans" cxnId="{A02A1AA3-43B1-4DB4-88CE-A3830A551CFA}">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B020D623-0DB8-421C-8ADA-DB0B582AB8E9}">
      <dgm:prSet custT="1"/>
      <dgm:spPr/>
      <dgm:t>
        <a:bodyPr/>
        <a:lstStyle/>
        <a:p>
          <a:pPr algn="ctr"/>
          <a:r>
            <a:rPr lang="fr-FR" sz="1200" b="0">
              <a:latin typeface="Times New Roman" panose="02020603050405020304" pitchFamily="18" charset="0"/>
              <a:cs typeface="Times New Roman" panose="02020603050405020304" pitchFamily="18" charset="0"/>
            </a:rPr>
            <a:t>Département Corporate</a:t>
          </a:r>
          <a:endParaRPr lang="x-none" sz="1200" b="0">
            <a:latin typeface="Times New Roman" panose="02020603050405020304" pitchFamily="18" charset="0"/>
            <a:cs typeface="Times New Roman" panose="02020603050405020304" pitchFamily="18" charset="0"/>
          </a:endParaRPr>
        </a:p>
      </dgm:t>
    </dgm:pt>
    <dgm:pt modelId="{96559341-16C1-48AF-A41A-00AAC6A2683A}" type="parTrans" cxnId="{3C14DB8B-3579-4E51-85A6-F89155A4C33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B06BE4D3-5ED5-44B4-B448-06B20C4F6BD4}" type="sibTrans" cxnId="{3C14DB8B-3579-4E51-85A6-F89155A4C33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CC19506C-9BDF-4040-AB48-B0A65ADD50BA}">
      <dgm:prSet custT="1"/>
      <dgm:spPr/>
      <dgm:t>
        <a:bodyPr/>
        <a:lstStyle/>
        <a:p>
          <a:pPr algn="ctr"/>
          <a:r>
            <a:rPr lang="fr-FR" sz="1200" b="0">
              <a:latin typeface="Times New Roman" panose="02020603050405020304" pitchFamily="18" charset="0"/>
              <a:cs typeface="Times New Roman" panose="02020603050405020304" pitchFamily="18" charset="0"/>
            </a:rPr>
            <a:t>Département Sopport Commercial</a:t>
          </a:r>
          <a:endParaRPr lang="x-none" sz="1200" b="0">
            <a:latin typeface="Times New Roman" panose="02020603050405020304" pitchFamily="18" charset="0"/>
            <a:cs typeface="Times New Roman" panose="02020603050405020304" pitchFamily="18" charset="0"/>
          </a:endParaRPr>
        </a:p>
      </dgm:t>
    </dgm:pt>
    <dgm:pt modelId="{98D3A430-05E8-46B6-BAAE-2BD311DE440A}" type="parTrans" cxnId="{67CBA3E9-C327-40D9-9C1A-DA4F58AB8636}">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43726CF0-491C-4B77-B885-F67F21F36117}" type="sibTrans" cxnId="{67CBA3E9-C327-40D9-9C1A-DA4F58AB8636}">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ED97B0B5-0C99-40C5-9334-3AB12914DF1C}">
      <dgm:prSet custT="1"/>
      <dgm:spPr/>
      <dgm:t>
        <a:bodyPr/>
        <a:lstStyle/>
        <a:p>
          <a:pPr algn="ctr"/>
          <a:r>
            <a:rPr lang="fr-FR" sz="1200" b="0">
              <a:latin typeface="Times New Roman" panose="02020603050405020304" pitchFamily="18" charset="0"/>
              <a:cs typeface="Times New Roman" panose="02020603050405020304" pitchFamily="18" charset="0"/>
            </a:rPr>
            <a:t>Département Planification et Suivi</a:t>
          </a:r>
          <a:endParaRPr lang="x-none" sz="1200" b="0">
            <a:latin typeface="Times New Roman" panose="02020603050405020304" pitchFamily="18" charset="0"/>
            <a:cs typeface="Times New Roman" panose="02020603050405020304" pitchFamily="18" charset="0"/>
          </a:endParaRPr>
        </a:p>
      </dgm:t>
    </dgm:pt>
    <dgm:pt modelId="{60C2F51E-92EC-4A20-9252-68A949692D04}" type="parTrans" cxnId="{D5BC6CC9-98F1-4620-A435-A41353AB310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BF74C2A5-7AA7-42C2-B6BE-DC6EACF793C4}" type="sibTrans" cxnId="{D5BC6CC9-98F1-4620-A435-A41353AB310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311ED6F7-8818-4C23-9355-35B8680F349D}">
      <dgm:prSet custT="1"/>
      <dgm:spPr/>
      <dgm:t>
        <a:bodyPr/>
        <a:lstStyle/>
        <a:p>
          <a:pPr algn="ctr"/>
          <a:r>
            <a:rPr lang="fr-FR" sz="1200" b="0">
              <a:latin typeface="Times New Roman" panose="02020603050405020304" pitchFamily="18" charset="0"/>
              <a:cs typeface="Times New Roman" panose="02020603050405020304" pitchFamily="18" charset="0"/>
            </a:rPr>
            <a:t>Département Reseau d'acces</a:t>
          </a:r>
          <a:endParaRPr lang="x-none" sz="1200" b="0">
            <a:latin typeface="Times New Roman" panose="02020603050405020304" pitchFamily="18" charset="0"/>
            <a:cs typeface="Times New Roman" panose="02020603050405020304" pitchFamily="18" charset="0"/>
          </a:endParaRPr>
        </a:p>
      </dgm:t>
    </dgm:pt>
    <dgm:pt modelId="{87C2AFE6-B647-4F78-AB39-395F4E7B98C7}" type="parTrans" cxnId="{2B003FC2-A299-4718-A352-EECDF6AEAE4C}">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9AFE8357-B166-46FB-AF32-9B4CF4336603}" type="sibTrans" cxnId="{2B003FC2-A299-4718-A352-EECDF6AEAE4C}">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BDF07B03-3DEF-4025-9A1A-E46494AE8BD9}">
      <dgm:prSet custT="1"/>
      <dgm:spPr/>
      <dgm:t>
        <a:bodyPr/>
        <a:lstStyle/>
        <a:p>
          <a:pPr algn="ctr"/>
          <a:r>
            <a:rPr lang="fr-FR" sz="1200" b="0">
              <a:latin typeface="Times New Roman" panose="02020603050405020304" pitchFamily="18" charset="0"/>
              <a:cs typeface="Times New Roman" panose="02020603050405020304" pitchFamily="18" charset="0"/>
            </a:rPr>
            <a:t>Département Reseau de transport</a:t>
          </a:r>
          <a:endParaRPr lang="x-none" sz="1200" b="0">
            <a:latin typeface="Times New Roman" panose="02020603050405020304" pitchFamily="18" charset="0"/>
            <a:cs typeface="Times New Roman" panose="02020603050405020304" pitchFamily="18" charset="0"/>
          </a:endParaRPr>
        </a:p>
      </dgm:t>
    </dgm:pt>
    <dgm:pt modelId="{B6A70F6E-A43A-4E94-8BFF-2661E66C98B5}" type="parTrans" cxnId="{0038C963-E04F-4FB9-9643-E3359903419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F4FF0C47-7FA1-4CAE-A307-2261A4AEFA91}" type="sibTrans" cxnId="{0038C963-E04F-4FB9-9643-E3359903419D}">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FE98E3B1-6B43-4255-8816-2AB9A2D18E97}">
      <dgm:prSet custT="1"/>
      <dgm:spPr/>
      <dgm:t>
        <a:bodyPr/>
        <a:lstStyle/>
        <a:p>
          <a:pPr algn="ctr"/>
          <a:r>
            <a:rPr lang="fr-FR" sz="1200" b="0">
              <a:latin typeface="Times New Roman" panose="02020603050405020304" pitchFamily="18" charset="0"/>
              <a:cs typeface="Times New Roman" panose="02020603050405020304" pitchFamily="18" charset="0"/>
            </a:rPr>
            <a:t>Département Finance et Comptabilite</a:t>
          </a:r>
          <a:endParaRPr lang="x-none" sz="1200" b="0">
            <a:latin typeface="Times New Roman" panose="02020603050405020304" pitchFamily="18" charset="0"/>
            <a:cs typeface="Times New Roman" panose="02020603050405020304" pitchFamily="18" charset="0"/>
          </a:endParaRPr>
        </a:p>
      </dgm:t>
    </dgm:pt>
    <dgm:pt modelId="{BB3FF997-9D3C-4FD2-99AC-ED3904922D6C}" type="parTrans" cxnId="{0D6F925C-612E-463F-BE4C-48073C324323}">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FF684037-1E86-4605-8421-81926B371A09}" type="sibTrans" cxnId="{0D6F925C-612E-463F-BE4C-48073C324323}">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B2BCB826-A72E-4291-9A84-3245266EDDBA}">
      <dgm:prSet custT="1"/>
      <dgm:spPr/>
      <dgm:t>
        <a:bodyPr/>
        <a:lstStyle/>
        <a:p>
          <a:pPr algn="ctr"/>
          <a:r>
            <a:rPr lang="fr-FR" sz="1200" b="0">
              <a:latin typeface="Times New Roman" panose="02020603050405020304" pitchFamily="18" charset="0"/>
              <a:cs typeface="Times New Roman" panose="02020603050405020304" pitchFamily="18" charset="0"/>
            </a:rPr>
            <a:t>Département RH</a:t>
          </a:r>
          <a:endParaRPr lang="x-none" sz="1200" b="0">
            <a:latin typeface="Times New Roman" panose="02020603050405020304" pitchFamily="18" charset="0"/>
            <a:cs typeface="Times New Roman" panose="02020603050405020304" pitchFamily="18" charset="0"/>
          </a:endParaRPr>
        </a:p>
      </dgm:t>
    </dgm:pt>
    <dgm:pt modelId="{70F0237E-236C-4B57-B472-3B0ADC2B434A}" type="parTrans" cxnId="{5981F3BE-8262-46D8-96BC-B8E1446A8679}">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6E0BE1F2-D83E-4CD4-8211-C89375A560B1}" type="sibTrans" cxnId="{5981F3BE-8262-46D8-96BC-B8E1446A8679}">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87094602-F06C-4CFB-A6CC-1A51C4A8F632}">
      <dgm:prSet custT="1"/>
      <dgm:spPr/>
      <dgm:t>
        <a:bodyPr/>
        <a:lstStyle/>
        <a:p>
          <a:pPr algn="ctr"/>
          <a:r>
            <a:rPr lang="fr-FR" sz="1200" b="0">
              <a:latin typeface="Times New Roman" panose="02020603050405020304" pitchFamily="18" charset="0"/>
              <a:cs typeface="Times New Roman" panose="02020603050405020304" pitchFamily="18" charset="0"/>
            </a:rPr>
            <a:t>Département Patrimoine et Moyens</a:t>
          </a:r>
          <a:endParaRPr lang="x-none" sz="1200" b="0">
            <a:latin typeface="Times New Roman" panose="02020603050405020304" pitchFamily="18" charset="0"/>
            <a:cs typeface="Times New Roman" panose="02020603050405020304" pitchFamily="18" charset="0"/>
          </a:endParaRPr>
        </a:p>
      </dgm:t>
    </dgm:pt>
    <dgm:pt modelId="{409B8487-C83A-481F-8703-3DF439A39399}" type="parTrans" cxnId="{8B3FEE9A-B642-4A35-9423-2C392B0BBAEC}">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5AB25B9E-F6DB-4474-AE15-5F32F2880D9D}" type="sibTrans" cxnId="{8B3FEE9A-B642-4A35-9423-2C392B0BBAEC}">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52F247F0-C09B-4CD0-8503-C9FC3F3198F2}">
      <dgm:prSet custT="1"/>
      <dgm:spPr/>
      <dgm:t>
        <a:bodyPr/>
        <a:lstStyle/>
        <a:p>
          <a:pPr algn="ctr"/>
          <a:r>
            <a:rPr lang="fr-FR" sz="1200" b="0">
              <a:latin typeface="Times New Roman" panose="02020603050405020304" pitchFamily="18" charset="0"/>
              <a:cs typeface="Times New Roman" panose="02020603050405020304" pitchFamily="18" charset="0"/>
            </a:rPr>
            <a:t>Service Juridique</a:t>
          </a:r>
          <a:endParaRPr lang="x-none" sz="1200" b="0">
            <a:latin typeface="Times New Roman" panose="02020603050405020304" pitchFamily="18" charset="0"/>
            <a:cs typeface="Times New Roman" panose="02020603050405020304" pitchFamily="18" charset="0"/>
          </a:endParaRPr>
        </a:p>
      </dgm:t>
    </dgm:pt>
    <dgm:pt modelId="{42FDFF7B-00A6-4270-9125-B686B44F7FFB}" type="parTrans" cxnId="{3D7F3E2B-8824-4ECD-B160-13D0CDB7BF89}">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C8D3DCA0-E585-462A-8326-4001ED03B34E}" type="sibTrans" cxnId="{3D7F3E2B-8824-4ECD-B160-13D0CDB7BF89}">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713F0F8A-7C57-4200-AD8A-DFE9A8151FD5}">
      <dgm:prSet custT="1"/>
      <dgm:spPr/>
      <dgm:t>
        <a:bodyPr/>
        <a:lstStyle/>
        <a:p>
          <a:pPr algn="ctr"/>
          <a:r>
            <a:rPr lang="fr-FR" sz="1200" b="0">
              <a:latin typeface="Times New Roman" panose="02020603050405020304" pitchFamily="18" charset="0"/>
              <a:cs typeface="Times New Roman" panose="02020603050405020304" pitchFamily="18" charset="0"/>
            </a:rPr>
            <a:t>Service Support SI</a:t>
          </a:r>
          <a:endParaRPr lang="x-none" sz="1200" b="0">
            <a:latin typeface="Times New Roman" panose="02020603050405020304" pitchFamily="18" charset="0"/>
            <a:cs typeface="Times New Roman" panose="02020603050405020304" pitchFamily="18" charset="0"/>
          </a:endParaRPr>
        </a:p>
      </dgm:t>
    </dgm:pt>
    <dgm:pt modelId="{7A54ACA2-25AC-4E12-B255-1F5B4765D6C3}" type="parTrans" cxnId="{732DF6F8-F428-44C2-BD65-A367F4F3C1FC}">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611496A6-FFB8-41A1-84FB-DDACAE7B7821}" type="sibTrans" cxnId="{732DF6F8-F428-44C2-BD65-A367F4F3C1FC}">
      <dgm:prSet/>
      <dgm:spPr/>
      <dgm:t>
        <a:bodyPr/>
        <a:lstStyle/>
        <a:p>
          <a:pPr algn="ctr"/>
          <a:endParaRPr lang="x-none" sz="1800">
            <a:latin typeface="Times New Roman" panose="02020603050405020304" pitchFamily="18" charset="0"/>
            <a:cs typeface="Times New Roman" panose="02020603050405020304" pitchFamily="18" charset="0"/>
          </a:endParaRPr>
        </a:p>
      </dgm:t>
    </dgm:pt>
    <dgm:pt modelId="{ED1DCC6D-AAE8-4661-9FB5-02407D6A4FAC}" type="pres">
      <dgm:prSet presAssocID="{54D841B8-DD2D-4EF1-8321-5511489D1ED2}" presName="hierChild1" presStyleCnt="0">
        <dgm:presLayoutVars>
          <dgm:orgChart val="1"/>
          <dgm:chPref val="1"/>
          <dgm:dir/>
          <dgm:animOne val="branch"/>
          <dgm:animLvl val="lvl"/>
          <dgm:resizeHandles/>
        </dgm:presLayoutVars>
      </dgm:prSet>
      <dgm:spPr/>
      <dgm:t>
        <a:bodyPr/>
        <a:lstStyle/>
        <a:p>
          <a:endParaRPr lang="fr-FR"/>
        </a:p>
      </dgm:t>
    </dgm:pt>
    <dgm:pt modelId="{DD33EDCB-1202-470E-B792-F9DF1032D868}" type="pres">
      <dgm:prSet presAssocID="{F0D9E78E-DCDA-41AB-A8A9-E976D778BF0E}" presName="hierRoot1" presStyleCnt="0">
        <dgm:presLayoutVars>
          <dgm:hierBranch val="init"/>
        </dgm:presLayoutVars>
      </dgm:prSet>
      <dgm:spPr/>
    </dgm:pt>
    <dgm:pt modelId="{4880C9B8-8FE7-468F-8A27-7F60E4AD1867}" type="pres">
      <dgm:prSet presAssocID="{F0D9E78E-DCDA-41AB-A8A9-E976D778BF0E}" presName="rootComposite1" presStyleCnt="0"/>
      <dgm:spPr/>
    </dgm:pt>
    <dgm:pt modelId="{53160F6A-0237-46BA-9EB2-78AD444F4EFB}" type="pres">
      <dgm:prSet presAssocID="{F0D9E78E-DCDA-41AB-A8A9-E976D778BF0E}" presName="rootText1" presStyleLbl="node0" presStyleIdx="0" presStyleCnt="1" custScaleX="165481" custScaleY="154781" custLinFactNeighborY="-5067">
        <dgm:presLayoutVars>
          <dgm:chPref val="3"/>
        </dgm:presLayoutVars>
      </dgm:prSet>
      <dgm:spPr/>
      <dgm:t>
        <a:bodyPr/>
        <a:lstStyle/>
        <a:p>
          <a:endParaRPr lang="fr-FR"/>
        </a:p>
      </dgm:t>
    </dgm:pt>
    <dgm:pt modelId="{6EF2382D-746C-4D8F-8E11-C8D072192369}" type="pres">
      <dgm:prSet presAssocID="{F0D9E78E-DCDA-41AB-A8A9-E976D778BF0E}" presName="rootConnector1" presStyleLbl="node1" presStyleIdx="0" presStyleCnt="0"/>
      <dgm:spPr/>
      <dgm:t>
        <a:bodyPr/>
        <a:lstStyle/>
        <a:p>
          <a:endParaRPr lang="fr-FR"/>
        </a:p>
      </dgm:t>
    </dgm:pt>
    <dgm:pt modelId="{A5090B8C-E51E-430D-95F1-DB9190EB10AF}" type="pres">
      <dgm:prSet presAssocID="{F0D9E78E-DCDA-41AB-A8A9-E976D778BF0E}" presName="hierChild2" presStyleCnt="0"/>
      <dgm:spPr/>
    </dgm:pt>
    <dgm:pt modelId="{0D439EEC-E7E9-4B8C-A4C7-438FFFC06D8B}" type="pres">
      <dgm:prSet presAssocID="{808B8F25-7AA1-4811-A3FE-CBDC36987868}" presName="Name37" presStyleLbl="parChTrans1D2" presStyleIdx="0" presStyleCnt="3"/>
      <dgm:spPr/>
      <dgm:t>
        <a:bodyPr/>
        <a:lstStyle/>
        <a:p>
          <a:endParaRPr lang="fr-FR"/>
        </a:p>
      </dgm:t>
    </dgm:pt>
    <dgm:pt modelId="{C5063F60-8150-478F-922F-264684C9F3FC}" type="pres">
      <dgm:prSet presAssocID="{2EA719B2-5ABC-48AE-9E3E-D58A7482A1CC}" presName="hierRoot2" presStyleCnt="0">
        <dgm:presLayoutVars>
          <dgm:hierBranch val="init"/>
        </dgm:presLayoutVars>
      </dgm:prSet>
      <dgm:spPr/>
    </dgm:pt>
    <dgm:pt modelId="{49E50283-FAD3-4CD4-BA89-E76B9CEFB49D}" type="pres">
      <dgm:prSet presAssocID="{2EA719B2-5ABC-48AE-9E3E-D58A7482A1CC}" presName="rootComposite" presStyleCnt="0"/>
      <dgm:spPr/>
    </dgm:pt>
    <dgm:pt modelId="{0F1937E2-75C3-4969-88D7-39AFC1A0642E}" type="pres">
      <dgm:prSet presAssocID="{2EA719B2-5ABC-48AE-9E3E-D58A7482A1CC}" presName="rootText" presStyleLbl="node2" presStyleIdx="0" presStyleCnt="3" custScaleX="165135" custLinFactNeighborY="0">
        <dgm:presLayoutVars>
          <dgm:chPref val="3"/>
        </dgm:presLayoutVars>
      </dgm:prSet>
      <dgm:spPr>
        <a:prstGeom prst="roundRect">
          <a:avLst/>
        </a:prstGeom>
      </dgm:spPr>
      <dgm:t>
        <a:bodyPr/>
        <a:lstStyle/>
        <a:p>
          <a:endParaRPr lang="fr-FR"/>
        </a:p>
      </dgm:t>
    </dgm:pt>
    <dgm:pt modelId="{75E159D2-CA32-4DDD-837E-3906D5D74C49}" type="pres">
      <dgm:prSet presAssocID="{2EA719B2-5ABC-48AE-9E3E-D58A7482A1CC}" presName="rootConnector" presStyleLbl="node2" presStyleIdx="0" presStyleCnt="3"/>
      <dgm:spPr/>
      <dgm:t>
        <a:bodyPr/>
        <a:lstStyle/>
        <a:p>
          <a:endParaRPr lang="fr-FR"/>
        </a:p>
      </dgm:t>
    </dgm:pt>
    <dgm:pt modelId="{E2B0875D-1409-4684-B76A-0F4F5B554C6A}" type="pres">
      <dgm:prSet presAssocID="{2EA719B2-5ABC-48AE-9E3E-D58A7482A1CC}" presName="hierChild4" presStyleCnt="0"/>
      <dgm:spPr/>
    </dgm:pt>
    <dgm:pt modelId="{D257E700-C059-4E70-88F9-018B2B37F46E}" type="pres">
      <dgm:prSet presAssocID="{60C2F51E-92EC-4A20-9252-68A949692D04}" presName="Name37" presStyleLbl="parChTrans1D3" presStyleIdx="0" presStyleCnt="13"/>
      <dgm:spPr/>
      <dgm:t>
        <a:bodyPr/>
        <a:lstStyle/>
        <a:p>
          <a:endParaRPr lang="fr-FR"/>
        </a:p>
      </dgm:t>
    </dgm:pt>
    <dgm:pt modelId="{C0D15DF4-FB2B-4FE6-B08D-9EE44F213EC3}" type="pres">
      <dgm:prSet presAssocID="{ED97B0B5-0C99-40C5-9334-3AB12914DF1C}" presName="hierRoot2" presStyleCnt="0">
        <dgm:presLayoutVars>
          <dgm:hierBranch val="init"/>
        </dgm:presLayoutVars>
      </dgm:prSet>
      <dgm:spPr/>
    </dgm:pt>
    <dgm:pt modelId="{B6D56906-C514-4BDA-BA7C-6979C7BB7737}" type="pres">
      <dgm:prSet presAssocID="{ED97B0B5-0C99-40C5-9334-3AB12914DF1C}" presName="rootComposite" presStyleCnt="0"/>
      <dgm:spPr/>
    </dgm:pt>
    <dgm:pt modelId="{B1F7DB22-AC3F-4BCC-B47D-D1724E4F713D}" type="pres">
      <dgm:prSet presAssocID="{ED97B0B5-0C99-40C5-9334-3AB12914DF1C}" presName="rootText" presStyleLbl="node3" presStyleIdx="0" presStyleCnt="13" custScaleX="147843">
        <dgm:presLayoutVars>
          <dgm:chPref val="3"/>
        </dgm:presLayoutVars>
      </dgm:prSet>
      <dgm:spPr/>
      <dgm:t>
        <a:bodyPr/>
        <a:lstStyle/>
        <a:p>
          <a:endParaRPr lang="fr-FR"/>
        </a:p>
      </dgm:t>
    </dgm:pt>
    <dgm:pt modelId="{B30BCB73-6E9C-44EB-B3AF-91C19C738411}" type="pres">
      <dgm:prSet presAssocID="{ED97B0B5-0C99-40C5-9334-3AB12914DF1C}" presName="rootConnector" presStyleLbl="node3" presStyleIdx="0" presStyleCnt="13"/>
      <dgm:spPr/>
      <dgm:t>
        <a:bodyPr/>
        <a:lstStyle/>
        <a:p>
          <a:endParaRPr lang="fr-FR"/>
        </a:p>
      </dgm:t>
    </dgm:pt>
    <dgm:pt modelId="{CCC5B123-6484-4357-93FB-7B671A90C619}" type="pres">
      <dgm:prSet presAssocID="{ED97B0B5-0C99-40C5-9334-3AB12914DF1C}" presName="hierChild4" presStyleCnt="0"/>
      <dgm:spPr/>
    </dgm:pt>
    <dgm:pt modelId="{A45A3D58-1AA0-4FAA-A4E7-B7178CA0EF3C}" type="pres">
      <dgm:prSet presAssocID="{ED97B0B5-0C99-40C5-9334-3AB12914DF1C}" presName="hierChild5" presStyleCnt="0"/>
      <dgm:spPr/>
    </dgm:pt>
    <dgm:pt modelId="{0143A633-1519-4E1D-AC2E-6A7879EBDE0C}" type="pres">
      <dgm:prSet presAssocID="{87C2AFE6-B647-4F78-AB39-395F4E7B98C7}" presName="Name37" presStyleLbl="parChTrans1D3" presStyleIdx="1" presStyleCnt="13"/>
      <dgm:spPr/>
      <dgm:t>
        <a:bodyPr/>
        <a:lstStyle/>
        <a:p>
          <a:endParaRPr lang="fr-FR"/>
        </a:p>
      </dgm:t>
    </dgm:pt>
    <dgm:pt modelId="{73800507-1C77-4194-936C-7C4B09AAA44C}" type="pres">
      <dgm:prSet presAssocID="{311ED6F7-8818-4C23-9355-35B8680F349D}" presName="hierRoot2" presStyleCnt="0">
        <dgm:presLayoutVars>
          <dgm:hierBranch val="init"/>
        </dgm:presLayoutVars>
      </dgm:prSet>
      <dgm:spPr/>
    </dgm:pt>
    <dgm:pt modelId="{116A9641-925C-43A1-BABE-692DD6D9292B}" type="pres">
      <dgm:prSet presAssocID="{311ED6F7-8818-4C23-9355-35B8680F349D}" presName="rootComposite" presStyleCnt="0"/>
      <dgm:spPr/>
    </dgm:pt>
    <dgm:pt modelId="{BC27F625-9512-407A-A3DF-C2A05091F322}" type="pres">
      <dgm:prSet presAssocID="{311ED6F7-8818-4C23-9355-35B8680F349D}" presName="rootText" presStyleLbl="node3" presStyleIdx="1" presStyleCnt="13" custScaleX="149132">
        <dgm:presLayoutVars>
          <dgm:chPref val="3"/>
        </dgm:presLayoutVars>
      </dgm:prSet>
      <dgm:spPr/>
      <dgm:t>
        <a:bodyPr/>
        <a:lstStyle/>
        <a:p>
          <a:endParaRPr lang="fr-FR"/>
        </a:p>
      </dgm:t>
    </dgm:pt>
    <dgm:pt modelId="{711D54B5-3CCE-453B-AFF2-6773C91342F3}" type="pres">
      <dgm:prSet presAssocID="{311ED6F7-8818-4C23-9355-35B8680F349D}" presName="rootConnector" presStyleLbl="node3" presStyleIdx="1" presStyleCnt="13"/>
      <dgm:spPr/>
      <dgm:t>
        <a:bodyPr/>
        <a:lstStyle/>
        <a:p>
          <a:endParaRPr lang="fr-FR"/>
        </a:p>
      </dgm:t>
    </dgm:pt>
    <dgm:pt modelId="{6BA62892-701A-4C0D-B9D0-1437C5E86A0A}" type="pres">
      <dgm:prSet presAssocID="{311ED6F7-8818-4C23-9355-35B8680F349D}" presName="hierChild4" presStyleCnt="0"/>
      <dgm:spPr/>
    </dgm:pt>
    <dgm:pt modelId="{48C1A2F8-294C-46A9-ACC7-1DAE2AC20157}" type="pres">
      <dgm:prSet presAssocID="{311ED6F7-8818-4C23-9355-35B8680F349D}" presName="hierChild5" presStyleCnt="0"/>
      <dgm:spPr/>
    </dgm:pt>
    <dgm:pt modelId="{79DF94C5-5B91-43AC-AC48-84FE0EE29A0D}" type="pres">
      <dgm:prSet presAssocID="{B6A70F6E-A43A-4E94-8BFF-2661E66C98B5}" presName="Name37" presStyleLbl="parChTrans1D3" presStyleIdx="2" presStyleCnt="13"/>
      <dgm:spPr/>
      <dgm:t>
        <a:bodyPr/>
        <a:lstStyle/>
        <a:p>
          <a:endParaRPr lang="fr-FR"/>
        </a:p>
      </dgm:t>
    </dgm:pt>
    <dgm:pt modelId="{EA56F49C-962A-4218-8A22-D12EF25FE21C}" type="pres">
      <dgm:prSet presAssocID="{BDF07B03-3DEF-4025-9A1A-E46494AE8BD9}" presName="hierRoot2" presStyleCnt="0">
        <dgm:presLayoutVars>
          <dgm:hierBranch val="init"/>
        </dgm:presLayoutVars>
      </dgm:prSet>
      <dgm:spPr/>
    </dgm:pt>
    <dgm:pt modelId="{BDA459E0-AE44-44E0-8044-B5F6FE92FC23}" type="pres">
      <dgm:prSet presAssocID="{BDF07B03-3DEF-4025-9A1A-E46494AE8BD9}" presName="rootComposite" presStyleCnt="0"/>
      <dgm:spPr/>
    </dgm:pt>
    <dgm:pt modelId="{44237484-D635-488D-B4FB-CAAE0BD692D2}" type="pres">
      <dgm:prSet presAssocID="{BDF07B03-3DEF-4025-9A1A-E46494AE8BD9}" presName="rootText" presStyleLbl="node3" presStyleIdx="2" presStyleCnt="13" custScaleX="149605">
        <dgm:presLayoutVars>
          <dgm:chPref val="3"/>
        </dgm:presLayoutVars>
      </dgm:prSet>
      <dgm:spPr/>
      <dgm:t>
        <a:bodyPr/>
        <a:lstStyle/>
        <a:p>
          <a:endParaRPr lang="fr-FR"/>
        </a:p>
      </dgm:t>
    </dgm:pt>
    <dgm:pt modelId="{0876D636-85AF-42EA-887C-A2C8E9F9DD18}" type="pres">
      <dgm:prSet presAssocID="{BDF07B03-3DEF-4025-9A1A-E46494AE8BD9}" presName="rootConnector" presStyleLbl="node3" presStyleIdx="2" presStyleCnt="13"/>
      <dgm:spPr/>
      <dgm:t>
        <a:bodyPr/>
        <a:lstStyle/>
        <a:p>
          <a:endParaRPr lang="fr-FR"/>
        </a:p>
      </dgm:t>
    </dgm:pt>
    <dgm:pt modelId="{22856462-8CC8-42E7-BFF5-2FC5943D7DEF}" type="pres">
      <dgm:prSet presAssocID="{BDF07B03-3DEF-4025-9A1A-E46494AE8BD9}" presName="hierChild4" presStyleCnt="0"/>
      <dgm:spPr/>
    </dgm:pt>
    <dgm:pt modelId="{D6594731-E917-41DB-898D-A74AC1ABB46C}" type="pres">
      <dgm:prSet presAssocID="{BDF07B03-3DEF-4025-9A1A-E46494AE8BD9}" presName="hierChild5" presStyleCnt="0"/>
      <dgm:spPr/>
    </dgm:pt>
    <dgm:pt modelId="{2B7DF580-EE6B-49DD-8F35-5FE8D36C7D3F}" type="pres">
      <dgm:prSet presAssocID="{2EA719B2-5ABC-48AE-9E3E-D58A7482A1CC}" presName="hierChild5" presStyleCnt="0"/>
      <dgm:spPr/>
    </dgm:pt>
    <dgm:pt modelId="{9E1DFFBC-6031-4CA4-B5D5-2B76A7C9402F}" type="pres">
      <dgm:prSet presAssocID="{B26C98F9-3654-4DD5-B859-F73A1CAE40C3}" presName="Name37" presStyleLbl="parChTrans1D2" presStyleIdx="1" presStyleCnt="3"/>
      <dgm:spPr/>
      <dgm:t>
        <a:bodyPr/>
        <a:lstStyle/>
        <a:p>
          <a:endParaRPr lang="fr-FR"/>
        </a:p>
      </dgm:t>
    </dgm:pt>
    <dgm:pt modelId="{013329C0-82EC-461D-A5A7-9E8263F488F8}" type="pres">
      <dgm:prSet presAssocID="{0CD07BD0-F0FB-4D00-B9B6-0A1B77F9F77C}" presName="hierRoot2" presStyleCnt="0">
        <dgm:presLayoutVars>
          <dgm:hierBranch val="init"/>
        </dgm:presLayoutVars>
      </dgm:prSet>
      <dgm:spPr/>
    </dgm:pt>
    <dgm:pt modelId="{B9ADEB8C-7D8B-43BA-9A7B-FCE696575661}" type="pres">
      <dgm:prSet presAssocID="{0CD07BD0-F0FB-4D00-B9B6-0A1B77F9F77C}" presName="rootComposite" presStyleCnt="0"/>
      <dgm:spPr/>
    </dgm:pt>
    <dgm:pt modelId="{F6AE1BFC-91CA-4626-81D2-81FF990BA723}" type="pres">
      <dgm:prSet presAssocID="{0CD07BD0-F0FB-4D00-B9B6-0A1B77F9F77C}" presName="rootText" presStyleLbl="node2" presStyleIdx="1" presStyleCnt="3" custScaleX="202977">
        <dgm:presLayoutVars>
          <dgm:chPref val="3"/>
        </dgm:presLayoutVars>
      </dgm:prSet>
      <dgm:spPr>
        <a:prstGeom prst="roundRect">
          <a:avLst/>
        </a:prstGeom>
      </dgm:spPr>
      <dgm:t>
        <a:bodyPr/>
        <a:lstStyle/>
        <a:p>
          <a:endParaRPr lang="fr-FR"/>
        </a:p>
      </dgm:t>
    </dgm:pt>
    <dgm:pt modelId="{B22CDF47-C509-4C7E-B755-9C5923D798FF}" type="pres">
      <dgm:prSet presAssocID="{0CD07BD0-F0FB-4D00-B9B6-0A1B77F9F77C}" presName="rootConnector" presStyleLbl="node2" presStyleIdx="1" presStyleCnt="3"/>
      <dgm:spPr/>
      <dgm:t>
        <a:bodyPr/>
        <a:lstStyle/>
        <a:p>
          <a:endParaRPr lang="fr-FR"/>
        </a:p>
      </dgm:t>
    </dgm:pt>
    <dgm:pt modelId="{7EC4F828-DC7D-4124-8EFF-08AC0823C296}" type="pres">
      <dgm:prSet presAssocID="{0CD07BD0-F0FB-4D00-B9B6-0A1B77F9F77C}" presName="hierChild4" presStyleCnt="0"/>
      <dgm:spPr/>
    </dgm:pt>
    <dgm:pt modelId="{376C3A99-B4C2-436A-AE9D-7BE9890D6543}" type="pres">
      <dgm:prSet presAssocID="{2451ECAE-2110-4C2D-91AD-12907560BF09}" presName="Name37" presStyleLbl="parChTrans1D3" presStyleIdx="3" presStyleCnt="13"/>
      <dgm:spPr/>
      <dgm:t>
        <a:bodyPr/>
        <a:lstStyle/>
        <a:p>
          <a:endParaRPr lang="fr-FR"/>
        </a:p>
      </dgm:t>
    </dgm:pt>
    <dgm:pt modelId="{D731A30F-646E-432D-B073-7313137F3C40}" type="pres">
      <dgm:prSet presAssocID="{D557D77F-D6D9-4B84-8513-55C25DA53B9B}" presName="hierRoot2" presStyleCnt="0">
        <dgm:presLayoutVars>
          <dgm:hierBranch val="init"/>
        </dgm:presLayoutVars>
      </dgm:prSet>
      <dgm:spPr/>
    </dgm:pt>
    <dgm:pt modelId="{205973BE-ECB7-418D-8B09-890993756501}" type="pres">
      <dgm:prSet presAssocID="{D557D77F-D6D9-4B84-8513-55C25DA53B9B}" presName="rootComposite" presStyleCnt="0"/>
      <dgm:spPr/>
    </dgm:pt>
    <dgm:pt modelId="{D7AEE126-0558-4F62-ABF6-CBAC86A1FB90}" type="pres">
      <dgm:prSet presAssocID="{D557D77F-D6D9-4B84-8513-55C25DA53B9B}" presName="rootText" presStyleLbl="node3" presStyleIdx="3" presStyleCnt="13" custScaleX="162268">
        <dgm:presLayoutVars>
          <dgm:chPref val="3"/>
        </dgm:presLayoutVars>
      </dgm:prSet>
      <dgm:spPr/>
      <dgm:t>
        <a:bodyPr/>
        <a:lstStyle/>
        <a:p>
          <a:endParaRPr lang="fr-FR"/>
        </a:p>
      </dgm:t>
    </dgm:pt>
    <dgm:pt modelId="{A74A1F62-D954-453E-810A-F0430B901168}" type="pres">
      <dgm:prSet presAssocID="{D557D77F-D6D9-4B84-8513-55C25DA53B9B}" presName="rootConnector" presStyleLbl="node3" presStyleIdx="3" presStyleCnt="13"/>
      <dgm:spPr/>
      <dgm:t>
        <a:bodyPr/>
        <a:lstStyle/>
        <a:p>
          <a:endParaRPr lang="fr-FR"/>
        </a:p>
      </dgm:t>
    </dgm:pt>
    <dgm:pt modelId="{2CF30E96-BB23-4CCF-8C8B-3011B8CCC87B}" type="pres">
      <dgm:prSet presAssocID="{D557D77F-D6D9-4B84-8513-55C25DA53B9B}" presName="hierChild4" presStyleCnt="0"/>
      <dgm:spPr/>
    </dgm:pt>
    <dgm:pt modelId="{E9D4EFDE-9DCF-4F57-90B8-C56AA040BEA1}" type="pres">
      <dgm:prSet presAssocID="{D557D77F-D6D9-4B84-8513-55C25DA53B9B}" presName="hierChild5" presStyleCnt="0"/>
      <dgm:spPr/>
    </dgm:pt>
    <dgm:pt modelId="{D28AB4F9-89D1-49A8-B017-CF9D0DC2E8C3}" type="pres">
      <dgm:prSet presAssocID="{CA02F8AC-1F1A-4163-A794-D6E057C8B5C2}" presName="Name37" presStyleLbl="parChTrans1D3" presStyleIdx="4" presStyleCnt="13"/>
      <dgm:spPr/>
      <dgm:t>
        <a:bodyPr/>
        <a:lstStyle/>
        <a:p>
          <a:endParaRPr lang="fr-FR"/>
        </a:p>
      </dgm:t>
    </dgm:pt>
    <dgm:pt modelId="{A0020E12-C871-41FE-82F7-71C953B2C420}" type="pres">
      <dgm:prSet presAssocID="{5A787CAC-84B7-45C5-A5A4-669E887E10E9}" presName="hierRoot2" presStyleCnt="0">
        <dgm:presLayoutVars>
          <dgm:hierBranch val="init"/>
        </dgm:presLayoutVars>
      </dgm:prSet>
      <dgm:spPr/>
    </dgm:pt>
    <dgm:pt modelId="{35905233-541C-4B72-AE81-A748D66A3123}" type="pres">
      <dgm:prSet presAssocID="{5A787CAC-84B7-45C5-A5A4-669E887E10E9}" presName="rootComposite" presStyleCnt="0"/>
      <dgm:spPr/>
    </dgm:pt>
    <dgm:pt modelId="{4443FFF8-DE61-40A6-A79F-46A0396DA217}" type="pres">
      <dgm:prSet presAssocID="{5A787CAC-84B7-45C5-A5A4-669E887E10E9}" presName="rootText" presStyleLbl="node3" presStyleIdx="4" presStyleCnt="13" custScaleX="161202">
        <dgm:presLayoutVars>
          <dgm:chPref val="3"/>
        </dgm:presLayoutVars>
      </dgm:prSet>
      <dgm:spPr/>
      <dgm:t>
        <a:bodyPr/>
        <a:lstStyle/>
        <a:p>
          <a:endParaRPr lang="fr-FR"/>
        </a:p>
      </dgm:t>
    </dgm:pt>
    <dgm:pt modelId="{6677EE14-EC89-4FDB-A3EA-6B0C6BD2B515}" type="pres">
      <dgm:prSet presAssocID="{5A787CAC-84B7-45C5-A5A4-669E887E10E9}" presName="rootConnector" presStyleLbl="node3" presStyleIdx="4" presStyleCnt="13"/>
      <dgm:spPr/>
      <dgm:t>
        <a:bodyPr/>
        <a:lstStyle/>
        <a:p>
          <a:endParaRPr lang="fr-FR"/>
        </a:p>
      </dgm:t>
    </dgm:pt>
    <dgm:pt modelId="{F678DDF3-4CA8-447B-8802-11E58BA64D99}" type="pres">
      <dgm:prSet presAssocID="{5A787CAC-84B7-45C5-A5A4-669E887E10E9}" presName="hierChild4" presStyleCnt="0"/>
      <dgm:spPr/>
    </dgm:pt>
    <dgm:pt modelId="{4D698386-9FB8-42DB-9476-890067F73EF7}" type="pres">
      <dgm:prSet presAssocID="{5A787CAC-84B7-45C5-A5A4-669E887E10E9}" presName="hierChild5" presStyleCnt="0"/>
      <dgm:spPr/>
    </dgm:pt>
    <dgm:pt modelId="{B2C739C8-8EAB-4525-A506-FEBC8E4BD2D7}" type="pres">
      <dgm:prSet presAssocID="{96559341-16C1-48AF-A41A-00AAC6A2683A}" presName="Name37" presStyleLbl="parChTrans1D3" presStyleIdx="5" presStyleCnt="13"/>
      <dgm:spPr/>
      <dgm:t>
        <a:bodyPr/>
        <a:lstStyle/>
        <a:p>
          <a:endParaRPr lang="fr-FR"/>
        </a:p>
      </dgm:t>
    </dgm:pt>
    <dgm:pt modelId="{F93B3C81-3F55-45B7-AF08-68BFD420873D}" type="pres">
      <dgm:prSet presAssocID="{B020D623-0DB8-421C-8ADA-DB0B582AB8E9}" presName="hierRoot2" presStyleCnt="0">
        <dgm:presLayoutVars>
          <dgm:hierBranch val="init"/>
        </dgm:presLayoutVars>
      </dgm:prSet>
      <dgm:spPr/>
    </dgm:pt>
    <dgm:pt modelId="{A10EAC3C-B971-4404-8993-FF0246495689}" type="pres">
      <dgm:prSet presAssocID="{B020D623-0DB8-421C-8ADA-DB0B582AB8E9}" presName="rootComposite" presStyleCnt="0"/>
      <dgm:spPr/>
    </dgm:pt>
    <dgm:pt modelId="{C7307DE0-C167-4D6A-A5C7-9D65AF46D19C}" type="pres">
      <dgm:prSet presAssocID="{B020D623-0DB8-421C-8ADA-DB0B582AB8E9}" presName="rootText" presStyleLbl="node3" presStyleIdx="5" presStyleCnt="13" custScaleX="162501">
        <dgm:presLayoutVars>
          <dgm:chPref val="3"/>
        </dgm:presLayoutVars>
      </dgm:prSet>
      <dgm:spPr/>
      <dgm:t>
        <a:bodyPr/>
        <a:lstStyle/>
        <a:p>
          <a:endParaRPr lang="fr-FR"/>
        </a:p>
      </dgm:t>
    </dgm:pt>
    <dgm:pt modelId="{54751244-F9EC-4391-B94A-61AED6A6DDDD}" type="pres">
      <dgm:prSet presAssocID="{B020D623-0DB8-421C-8ADA-DB0B582AB8E9}" presName="rootConnector" presStyleLbl="node3" presStyleIdx="5" presStyleCnt="13"/>
      <dgm:spPr/>
      <dgm:t>
        <a:bodyPr/>
        <a:lstStyle/>
        <a:p>
          <a:endParaRPr lang="fr-FR"/>
        </a:p>
      </dgm:t>
    </dgm:pt>
    <dgm:pt modelId="{B428A4E1-2C17-4C65-A3F1-05EDC2DB1422}" type="pres">
      <dgm:prSet presAssocID="{B020D623-0DB8-421C-8ADA-DB0B582AB8E9}" presName="hierChild4" presStyleCnt="0"/>
      <dgm:spPr/>
    </dgm:pt>
    <dgm:pt modelId="{DB4ACDAA-CB24-4BB8-BF4F-080560926666}" type="pres">
      <dgm:prSet presAssocID="{B020D623-0DB8-421C-8ADA-DB0B582AB8E9}" presName="hierChild5" presStyleCnt="0"/>
      <dgm:spPr/>
    </dgm:pt>
    <dgm:pt modelId="{C83AB98B-E86E-4D34-8225-624C872ABF1F}" type="pres">
      <dgm:prSet presAssocID="{98D3A430-05E8-46B6-BAAE-2BD311DE440A}" presName="Name37" presStyleLbl="parChTrans1D3" presStyleIdx="6" presStyleCnt="13"/>
      <dgm:spPr/>
      <dgm:t>
        <a:bodyPr/>
        <a:lstStyle/>
        <a:p>
          <a:endParaRPr lang="fr-FR"/>
        </a:p>
      </dgm:t>
    </dgm:pt>
    <dgm:pt modelId="{4CEBE9BA-DF55-438C-852E-2D44526894D3}" type="pres">
      <dgm:prSet presAssocID="{CC19506C-9BDF-4040-AB48-B0A65ADD50BA}" presName="hierRoot2" presStyleCnt="0">
        <dgm:presLayoutVars>
          <dgm:hierBranch val="init"/>
        </dgm:presLayoutVars>
      </dgm:prSet>
      <dgm:spPr/>
    </dgm:pt>
    <dgm:pt modelId="{76A5BABA-5105-4526-B1DE-192285145066}" type="pres">
      <dgm:prSet presAssocID="{CC19506C-9BDF-4040-AB48-B0A65ADD50BA}" presName="rootComposite" presStyleCnt="0"/>
      <dgm:spPr/>
    </dgm:pt>
    <dgm:pt modelId="{A0738BA1-D84C-4098-AFFF-528A184B20CE}" type="pres">
      <dgm:prSet presAssocID="{CC19506C-9BDF-4040-AB48-B0A65ADD50BA}" presName="rootText" presStyleLbl="node3" presStyleIdx="6" presStyleCnt="13" custScaleX="162703">
        <dgm:presLayoutVars>
          <dgm:chPref val="3"/>
        </dgm:presLayoutVars>
      </dgm:prSet>
      <dgm:spPr/>
      <dgm:t>
        <a:bodyPr/>
        <a:lstStyle/>
        <a:p>
          <a:endParaRPr lang="fr-FR"/>
        </a:p>
      </dgm:t>
    </dgm:pt>
    <dgm:pt modelId="{B070F437-C974-41B1-AC93-36F9208022A4}" type="pres">
      <dgm:prSet presAssocID="{CC19506C-9BDF-4040-AB48-B0A65ADD50BA}" presName="rootConnector" presStyleLbl="node3" presStyleIdx="6" presStyleCnt="13"/>
      <dgm:spPr/>
      <dgm:t>
        <a:bodyPr/>
        <a:lstStyle/>
        <a:p>
          <a:endParaRPr lang="fr-FR"/>
        </a:p>
      </dgm:t>
    </dgm:pt>
    <dgm:pt modelId="{727F8BDC-9968-4F34-A68D-40B5BDC24307}" type="pres">
      <dgm:prSet presAssocID="{CC19506C-9BDF-4040-AB48-B0A65ADD50BA}" presName="hierChild4" presStyleCnt="0"/>
      <dgm:spPr/>
    </dgm:pt>
    <dgm:pt modelId="{CDC87376-BFF2-4286-BE4F-A25F1E5F6DE3}" type="pres">
      <dgm:prSet presAssocID="{CC19506C-9BDF-4040-AB48-B0A65ADD50BA}" presName="hierChild5" presStyleCnt="0"/>
      <dgm:spPr/>
    </dgm:pt>
    <dgm:pt modelId="{869112CF-2357-4482-B323-D643220FB2CD}" type="pres">
      <dgm:prSet presAssocID="{0CD07BD0-F0FB-4D00-B9B6-0A1B77F9F77C}" presName="hierChild5" presStyleCnt="0"/>
      <dgm:spPr/>
    </dgm:pt>
    <dgm:pt modelId="{CAB22DC0-03E6-40B0-9493-B0521BC1AD46}" type="pres">
      <dgm:prSet presAssocID="{0561BB6B-22B3-4510-814B-822CDBFCD40C}" presName="Name37" presStyleLbl="parChTrans1D2" presStyleIdx="2" presStyleCnt="3"/>
      <dgm:spPr/>
      <dgm:t>
        <a:bodyPr/>
        <a:lstStyle/>
        <a:p>
          <a:endParaRPr lang="fr-FR"/>
        </a:p>
      </dgm:t>
    </dgm:pt>
    <dgm:pt modelId="{A45AE163-2DCC-434C-98D9-07AA8C6241E7}" type="pres">
      <dgm:prSet presAssocID="{AF715EBB-E16D-44DA-B3B0-88F5F525232B}" presName="hierRoot2" presStyleCnt="0">
        <dgm:presLayoutVars>
          <dgm:hierBranch val="init"/>
        </dgm:presLayoutVars>
      </dgm:prSet>
      <dgm:spPr/>
    </dgm:pt>
    <dgm:pt modelId="{84F7E96D-1209-4893-891C-87BF177C1362}" type="pres">
      <dgm:prSet presAssocID="{AF715EBB-E16D-44DA-B3B0-88F5F525232B}" presName="rootComposite" presStyleCnt="0"/>
      <dgm:spPr/>
    </dgm:pt>
    <dgm:pt modelId="{6096CA01-FC2D-4990-BE15-1B4198B7A3AE}" type="pres">
      <dgm:prSet presAssocID="{AF715EBB-E16D-44DA-B3B0-88F5F525232B}" presName="rootText" presStyleLbl="node2" presStyleIdx="2" presStyleCnt="3" custScaleX="165499" custLinFactNeighborY="0">
        <dgm:presLayoutVars>
          <dgm:chPref val="3"/>
        </dgm:presLayoutVars>
      </dgm:prSet>
      <dgm:spPr>
        <a:prstGeom prst="roundRect">
          <a:avLst/>
        </a:prstGeom>
      </dgm:spPr>
      <dgm:t>
        <a:bodyPr/>
        <a:lstStyle/>
        <a:p>
          <a:endParaRPr lang="fr-FR"/>
        </a:p>
      </dgm:t>
    </dgm:pt>
    <dgm:pt modelId="{C2C47779-7E31-4348-B912-C9F1E57B430A}" type="pres">
      <dgm:prSet presAssocID="{AF715EBB-E16D-44DA-B3B0-88F5F525232B}" presName="rootConnector" presStyleLbl="node2" presStyleIdx="2" presStyleCnt="3"/>
      <dgm:spPr/>
      <dgm:t>
        <a:bodyPr/>
        <a:lstStyle/>
        <a:p>
          <a:endParaRPr lang="fr-FR"/>
        </a:p>
      </dgm:t>
    </dgm:pt>
    <dgm:pt modelId="{C2834D67-1B59-4D84-811A-6C0F3E18BFAA}" type="pres">
      <dgm:prSet presAssocID="{AF715EBB-E16D-44DA-B3B0-88F5F525232B}" presName="hierChild4" presStyleCnt="0"/>
      <dgm:spPr/>
    </dgm:pt>
    <dgm:pt modelId="{887FA5BD-2BBA-450E-BB86-135D2B966DD5}" type="pres">
      <dgm:prSet presAssocID="{EC0D739D-B372-4FBA-8F85-82F9AB802BF1}" presName="Name37" presStyleLbl="parChTrans1D3" presStyleIdx="7" presStyleCnt="13"/>
      <dgm:spPr/>
      <dgm:t>
        <a:bodyPr/>
        <a:lstStyle/>
        <a:p>
          <a:endParaRPr lang="fr-FR"/>
        </a:p>
      </dgm:t>
    </dgm:pt>
    <dgm:pt modelId="{CF98506A-545A-4D9A-B423-8E1E449836A3}" type="pres">
      <dgm:prSet presAssocID="{6CB5E88E-DDA6-4306-900B-9FB6E2F324C3}" presName="hierRoot2" presStyleCnt="0">
        <dgm:presLayoutVars>
          <dgm:hierBranch val="init"/>
        </dgm:presLayoutVars>
      </dgm:prSet>
      <dgm:spPr/>
    </dgm:pt>
    <dgm:pt modelId="{2009BB75-828C-4D05-84ED-6F4CBF76F42B}" type="pres">
      <dgm:prSet presAssocID="{6CB5E88E-DDA6-4306-900B-9FB6E2F324C3}" presName="rootComposite" presStyleCnt="0"/>
      <dgm:spPr/>
    </dgm:pt>
    <dgm:pt modelId="{9199FDB6-4D91-4C80-9A84-916118230F5A}" type="pres">
      <dgm:prSet presAssocID="{6CB5E88E-DDA6-4306-900B-9FB6E2F324C3}" presName="rootText" presStyleLbl="node3" presStyleIdx="7" presStyleCnt="13" custScaleX="169346">
        <dgm:presLayoutVars>
          <dgm:chPref val="3"/>
        </dgm:presLayoutVars>
      </dgm:prSet>
      <dgm:spPr/>
      <dgm:t>
        <a:bodyPr/>
        <a:lstStyle/>
        <a:p>
          <a:endParaRPr lang="fr-FR"/>
        </a:p>
      </dgm:t>
    </dgm:pt>
    <dgm:pt modelId="{BC977905-CF10-4182-8D45-ADD394C0FC6F}" type="pres">
      <dgm:prSet presAssocID="{6CB5E88E-DDA6-4306-900B-9FB6E2F324C3}" presName="rootConnector" presStyleLbl="node3" presStyleIdx="7" presStyleCnt="13"/>
      <dgm:spPr/>
      <dgm:t>
        <a:bodyPr/>
        <a:lstStyle/>
        <a:p>
          <a:endParaRPr lang="fr-FR"/>
        </a:p>
      </dgm:t>
    </dgm:pt>
    <dgm:pt modelId="{75FD8978-6732-4D3C-873E-ECF4D19F96FA}" type="pres">
      <dgm:prSet presAssocID="{6CB5E88E-DDA6-4306-900B-9FB6E2F324C3}" presName="hierChild4" presStyleCnt="0"/>
      <dgm:spPr/>
    </dgm:pt>
    <dgm:pt modelId="{56618519-1197-485F-A9F0-5D3CC99AFF9A}" type="pres">
      <dgm:prSet presAssocID="{6CB5E88E-DDA6-4306-900B-9FB6E2F324C3}" presName="hierChild5" presStyleCnt="0"/>
      <dgm:spPr/>
    </dgm:pt>
    <dgm:pt modelId="{5A9F66B0-B6D2-4DB2-B04C-20FEAA8A94D5}" type="pres">
      <dgm:prSet presAssocID="{BB3FF997-9D3C-4FD2-99AC-ED3904922D6C}" presName="Name37" presStyleLbl="parChTrans1D3" presStyleIdx="8" presStyleCnt="13"/>
      <dgm:spPr/>
      <dgm:t>
        <a:bodyPr/>
        <a:lstStyle/>
        <a:p>
          <a:endParaRPr lang="fr-FR"/>
        </a:p>
      </dgm:t>
    </dgm:pt>
    <dgm:pt modelId="{A0AA08C1-9F7D-4021-B2B8-A934221F17CB}" type="pres">
      <dgm:prSet presAssocID="{FE98E3B1-6B43-4255-8816-2AB9A2D18E97}" presName="hierRoot2" presStyleCnt="0">
        <dgm:presLayoutVars>
          <dgm:hierBranch val="init"/>
        </dgm:presLayoutVars>
      </dgm:prSet>
      <dgm:spPr/>
    </dgm:pt>
    <dgm:pt modelId="{AFE8C44B-0EF0-4C04-B05E-8D188EAFF23B}" type="pres">
      <dgm:prSet presAssocID="{FE98E3B1-6B43-4255-8816-2AB9A2D18E97}" presName="rootComposite" presStyleCnt="0"/>
      <dgm:spPr/>
    </dgm:pt>
    <dgm:pt modelId="{9B72ACE0-2282-4214-BF36-F033C2E1B8AB}" type="pres">
      <dgm:prSet presAssocID="{FE98E3B1-6B43-4255-8816-2AB9A2D18E97}" presName="rootText" presStyleLbl="node3" presStyleIdx="8" presStyleCnt="13" custScaleX="168164">
        <dgm:presLayoutVars>
          <dgm:chPref val="3"/>
        </dgm:presLayoutVars>
      </dgm:prSet>
      <dgm:spPr/>
      <dgm:t>
        <a:bodyPr/>
        <a:lstStyle/>
        <a:p>
          <a:endParaRPr lang="fr-FR"/>
        </a:p>
      </dgm:t>
    </dgm:pt>
    <dgm:pt modelId="{35AC125B-6374-4831-A31B-CBBBDA2F1426}" type="pres">
      <dgm:prSet presAssocID="{FE98E3B1-6B43-4255-8816-2AB9A2D18E97}" presName="rootConnector" presStyleLbl="node3" presStyleIdx="8" presStyleCnt="13"/>
      <dgm:spPr/>
      <dgm:t>
        <a:bodyPr/>
        <a:lstStyle/>
        <a:p>
          <a:endParaRPr lang="fr-FR"/>
        </a:p>
      </dgm:t>
    </dgm:pt>
    <dgm:pt modelId="{CEDD010D-D61F-48D7-9A51-DA2DDE6B5CEB}" type="pres">
      <dgm:prSet presAssocID="{FE98E3B1-6B43-4255-8816-2AB9A2D18E97}" presName="hierChild4" presStyleCnt="0"/>
      <dgm:spPr/>
    </dgm:pt>
    <dgm:pt modelId="{387C5376-D13D-455A-B398-DA072541CAD5}" type="pres">
      <dgm:prSet presAssocID="{FE98E3B1-6B43-4255-8816-2AB9A2D18E97}" presName="hierChild5" presStyleCnt="0"/>
      <dgm:spPr/>
    </dgm:pt>
    <dgm:pt modelId="{940CF2FC-4ECA-4363-926A-DA40120E01D1}" type="pres">
      <dgm:prSet presAssocID="{70F0237E-236C-4B57-B472-3B0ADC2B434A}" presName="Name37" presStyleLbl="parChTrans1D3" presStyleIdx="9" presStyleCnt="13"/>
      <dgm:spPr/>
      <dgm:t>
        <a:bodyPr/>
        <a:lstStyle/>
        <a:p>
          <a:endParaRPr lang="fr-FR"/>
        </a:p>
      </dgm:t>
    </dgm:pt>
    <dgm:pt modelId="{61A99037-0A64-4D7B-8D47-CB56B8403738}" type="pres">
      <dgm:prSet presAssocID="{B2BCB826-A72E-4291-9A84-3245266EDDBA}" presName="hierRoot2" presStyleCnt="0">
        <dgm:presLayoutVars>
          <dgm:hierBranch val="init"/>
        </dgm:presLayoutVars>
      </dgm:prSet>
      <dgm:spPr/>
    </dgm:pt>
    <dgm:pt modelId="{2D815E15-3F35-44C8-9CBB-2D2710E4DEEF}" type="pres">
      <dgm:prSet presAssocID="{B2BCB826-A72E-4291-9A84-3245266EDDBA}" presName="rootComposite" presStyleCnt="0"/>
      <dgm:spPr/>
    </dgm:pt>
    <dgm:pt modelId="{C96766B7-F547-456F-9E62-D20CEFCD833B}" type="pres">
      <dgm:prSet presAssocID="{B2BCB826-A72E-4291-9A84-3245266EDDBA}" presName="rootText" presStyleLbl="node3" presStyleIdx="9" presStyleCnt="13" custScaleX="170060">
        <dgm:presLayoutVars>
          <dgm:chPref val="3"/>
        </dgm:presLayoutVars>
      </dgm:prSet>
      <dgm:spPr/>
      <dgm:t>
        <a:bodyPr/>
        <a:lstStyle/>
        <a:p>
          <a:endParaRPr lang="fr-FR"/>
        </a:p>
      </dgm:t>
    </dgm:pt>
    <dgm:pt modelId="{D9E7E0F6-F893-4111-91B0-93E9699CA423}" type="pres">
      <dgm:prSet presAssocID="{B2BCB826-A72E-4291-9A84-3245266EDDBA}" presName="rootConnector" presStyleLbl="node3" presStyleIdx="9" presStyleCnt="13"/>
      <dgm:spPr/>
      <dgm:t>
        <a:bodyPr/>
        <a:lstStyle/>
        <a:p>
          <a:endParaRPr lang="fr-FR"/>
        </a:p>
      </dgm:t>
    </dgm:pt>
    <dgm:pt modelId="{381A82B9-4118-48E5-A74B-E144AE1A2540}" type="pres">
      <dgm:prSet presAssocID="{B2BCB826-A72E-4291-9A84-3245266EDDBA}" presName="hierChild4" presStyleCnt="0"/>
      <dgm:spPr/>
    </dgm:pt>
    <dgm:pt modelId="{329CBD86-7CB0-4B36-BA7B-CF80619BDB4B}" type="pres">
      <dgm:prSet presAssocID="{B2BCB826-A72E-4291-9A84-3245266EDDBA}" presName="hierChild5" presStyleCnt="0"/>
      <dgm:spPr/>
    </dgm:pt>
    <dgm:pt modelId="{35E478AA-18B8-4CA9-84BA-FA5987F1AE98}" type="pres">
      <dgm:prSet presAssocID="{409B8487-C83A-481F-8703-3DF439A39399}" presName="Name37" presStyleLbl="parChTrans1D3" presStyleIdx="10" presStyleCnt="13"/>
      <dgm:spPr/>
      <dgm:t>
        <a:bodyPr/>
        <a:lstStyle/>
        <a:p>
          <a:endParaRPr lang="fr-FR"/>
        </a:p>
      </dgm:t>
    </dgm:pt>
    <dgm:pt modelId="{0831DE57-5938-458C-884B-5DFC6DE82AD3}" type="pres">
      <dgm:prSet presAssocID="{87094602-F06C-4CFB-A6CC-1A51C4A8F632}" presName="hierRoot2" presStyleCnt="0">
        <dgm:presLayoutVars>
          <dgm:hierBranch val="init"/>
        </dgm:presLayoutVars>
      </dgm:prSet>
      <dgm:spPr/>
    </dgm:pt>
    <dgm:pt modelId="{9628F08A-0A7F-4C2C-A11E-E8D008B6419D}" type="pres">
      <dgm:prSet presAssocID="{87094602-F06C-4CFB-A6CC-1A51C4A8F632}" presName="rootComposite" presStyleCnt="0"/>
      <dgm:spPr/>
    </dgm:pt>
    <dgm:pt modelId="{73B18786-CC77-4B94-A7AB-B64F48D0EDC7}" type="pres">
      <dgm:prSet presAssocID="{87094602-F06C-4CFB-A6CC-1A51C4A8F632}" presName="rootText" presStyleLbl="node3" presStyleIdx="10" presStyleCnt="13" custScaleX="170126">
        <dgm:presLayoutVars>
          <dgm:chPref val="3"/>
        </dgm:presLayoutVars>
      </dgm:prSet>
      <dgm:spPr/>
      <dgm:t>
        <a:bodyPr/>
        <a:lstStyle/>
        <a:p>
          <a:endParaRPr lang="fr-FR"/>
        </a:p>
      </dgm:t>
    </dgm:pt>
    <dgm:pt modelId="{B3760C83-E9D5-4F73-8CB7-197D9BC2E076}" type="pres">
      <dgm:prSet presAssocID="{87094602-F06C-4CFB-A6CC-1A51C4A8F632}" presName="rootConnector" presStyleLbl="node3" presStyleIdx="10" presStyleCnt="13"/>
      <dgm:spPr/>
      <dgm:t>
        <a:bodyPr/>
        <a:lstStyle/>
        <a:p>
          <a:endParaRPr lang="fr-FR"/>
        </a:p>
      </dgm:t>
    </dgm:pt>
    <dgm:pt modelId="{98C3E8AA-C740-4AD9-B6D8-6197030ED737}" type="pres">
      <dgm:prSet presAssocID="{87094602-F06C-4CFB-A6CC-1A51C4A8F632}" presName="hierChild4" presStyleCnt="0"/>
      <dgm:spPr/>
    </dgm:pt>
    <dgm:pt modelId="{84765EA5-BC46-4245-9D83-39B0AD1533E5}" type="pres">
      <dgm:prSet presAssocID="{87094602-F06C-4CFB-A6CC-1A51C4A8F632}" presName="hierChild5" presStyleCnt="0"/>
      <dgm:spPr/>
    </dgm:pt>
    <dgm:pt modelId="{C43911D3-8527-4AD2-BDB0-275B12FD30C2}" type="pres">
      <dgm:prSet presAssocID="{42FDFF7B-00A6-4270-9125-B686B44F7FFB}" presName="Name37" presStyleLbl="parChTrans1D3" presStyleIdx="11" presStyleCnt="13"/>
      <dgm:spPr/>
      <dgm:t>
        <a:bodyPr/>
        <a:lstStyle/>
        <a:p>
          <a:endParaRPr lang="fr-FR"/>
        </a:p>
      </dgm:t>
    </dgm:pt>
    <dgm:pt modelId="{E2CDF11D-FCE7-4033-AAEE-8290F9DECFB4}" type="pres">
      <dgm:prSet presAssocID="{52F247F0-C09B-4CD0-8503-C9FC3F3198F2}" presName="hierRoot2" presStyleCnt="0">
        <dgm:presLayoutVars>
          <dgm:hierBranch val="init"/>
        </dgm:presLayoutVars>
      </dgm:prSet>
      <dgm:spPr/>
    </dgm:pt>
    <dgm:pt modelId="{05388DE6-7DFC-42A4-A350-B8AE1E4D7F19}" type="pres">
      <dgm:prSet presAssocID="{52F247F0-C09B-4CD0-8503-C9FC3F3198F2}" presName="rootComposite" presStyleCnt="0"/>
      <dgm:spPr/>
    </dgm:pt>
    <dgm:pt modelId="{FFE9500E-0F98-4C57-841E-0D542BF9D259}" type="pres">
      <dgm:prSet presAssocID="{52F247F0-C09B-4CD0-8503-C9FC3F3198F2}" presName="rootText" presStyleLbl="node3" presStyleIdx="11" presStyleCnt="13" custScaleX="168991">
        <dgm:presLayoutVars>
          <dgm:chPref val="3"/>
        </dgm:presLayoutVars>
      </dgm:prSet>
      <dgm:spPr/>
      <dgm:t>
        <a:bodyPr/>
        <a:lstStyle/>
        <a:p>
          <a:endParaRPr lang="fr-FR"/>
        </a:p>
      </dgm:t>
    </dgm:pt>
    <dgm:pt modelId="{A35D8901-F6FF-48CB-B14B-0EB8FAFC1C4D}" type="pres">
      <dgm:prSet presAssocID="{52F247F0-C09B-4CD0-8503-C9FC3F3198F2}" presName="rootConnector" presStyleLbl="node3" presStyleIdx="11" presStyleCnt="13"/>
      <dgm:spPr/>
      <dgm:t>
        <a:bodyPr/>
        <a:lstStyle/>
        <a:p>
          <a:endParaRPr lang="fr-FR"/>
        </a:p>
      </dgm:t>
    </dgm:pt>
    <dgm:pt modelId="{4A3069C6-A16D-4723-8E4E-9A81E0E30B59}" type="pres">
      <dgm:prSet presAssocID="{52F247F0-C09B-4CD0-8503-C9FC3F3198F2}" presName="hierChild4" presStyleCnt="0"/>
      <dgm:spPr/>
    </dgm:pt>
    <dgm:pt modelId="{13611196-161A-4799-823E-1EE2F7858E8B}" type="pres">
      <dgm:prSet presAssocID="{52F247F0-C09B-4CD0-8503-C9FC3F3198F2}" presName="hierChild5" presStyleCnt="0"/>
      <dgm:spPr/>
    </dgm:pt>
    <dgm:pt modelId="{92AF555F-0BF7-4799-96DD-B37FFAE245DF}" type="pres">
      <dgm:prSet presAssocID="{7A54ACA2-25AC-4E12-B255-1F5B4765D6C3}" presName="Name37" presStyleLbl="parChTrans1D3" presStyleIdx="12" presStyleCnt="13"/>
      <dgm:spPr/>
      <dgm:t>
        <a:bodyPr/>
        <a:lstStyle/>
        <a:p>
          <a:endParaRPr lang="fr-FR"/>
        </a:p>
      </dgm:t>
    </dgm:pt>
    <dgm:pt modelId="{F8F7D9DC-D0A3-4C8B-ADC9-A124DB62C5DF}" type="pres">
      <dgm:prSet presAssocID="{713F0F8A-7C57-4200-AD8A-DFE9A8151FD5}" presName="hierRoot2" presStyleCnt="0">
        <dgm:presLayoutVars>
          <dgm:hierBranch val="init"/>
        </dgm:presLayoutVars>
      </dgm:prSet>
      <dgm:spPr/>
    </dgm:pt>
    <dgm:pt modelId="{744A1299-CFE8-4E64-9387-C1EE53BAC8E2}" type="pres">
      <dgm:prSet presAssocID="{713F0F8A-7C57-4200-AD8A-DFE9A8151FD5}" presName="rootComposite" presStyleCnt="0"/>
      <dgm:spPr/>
    </dgm:pt>
    <dgm:pt modelId="{B96D23AE-E7BD-45CD-963E-3B8C790822F2}" type="pres">
      <dgm:prSet presAssocID="{713F0F8A-7C57-4200-AD8A-DFE9A8151FD5}" presName="rootText" presStyleLbl="node3" presStyleIdx="12" presStyleCnt="13" custScaleX="167763">
        <dgm:presLayoutVars>
          <dgm:chPref val="3"/>
        </dgm:presLayoutVars>
      </dgm:prSet>
      <dgm:spPr/>
      <dgm:t>
        <a:bodyPr/>
        <a:lstStyle/>
        <a:p>
          <a:endParaRPr lang="fr-FR"/>
        </a:p>
      </dgm:t>
    </dgm:pt>
    <dgm:pt modelId="{4357D7F3-2E2D-4FBC-82A5-7D8BF15C43AA}" type="pres">
      <dgm:prSet presAssocID="{713F0F8A-7C57-4200-AD8A-DFE9A8151FD5}" presName="rootConnector" presStyleLbl="node3" presStyleIdx="12" presStyleCnt="13"/>
      <dgm:spPr/>
      <dgm:t>
        <a:bodyPr/>
        <a:lstStyle/>
        <a:p>
          <a:endParaRPr lang="fr-FR"/>
        </a:p>
      </dgm:t>
    </dgm:pt>
    <dgm:pt modelId="{41BE6FFF-F68B-4CFA-8752-7101DB1907C3}" type="pres">
      <dgm:prSet presAssocID="{713F0F8A-7C57-4200-AD8A-DFE9A8151FD5}" presName="hierChild4" presStyleCnt="0"/>
      <dgm:spPr/>
    </dgm:pt>
    <dgm:pt modelId="{A8170EDE-56CC-4C21-8CC4-E101CC3C6DEB}" type="pres">
      <dgm:prSet presAssocID="{713F0F8A-7C57-4200-AD8A-DFE9A8151FD5}" presName="hierChild5" presStyleCnt="0"/>
      <dgm:spPr/>
    </dgm:pt>
    <dgm:pt modelId="{034A81BF-8AAB-412B-9E40-A214E752385C}" type="pres">
      <dgm:prSet presAssocID="{AF715EBB-E16D-44DA-B3B0-88F5F525232B}" presName="hierChild5" presStyleCnt="0"/>
      <dgm:spPr/>
    </dgm:pt>
    <dgm:pt modelId="{415616F2-41FD-479C-BBD5-41D1505D1481}" type="pres">
      <dgm:prSet presAssocID="{F0D9E78E-DCDA-41AB-A8A9-E976D778BF0E}" presName="hierChild3" presStyleCnt="0"/>
      <dgm:spPr/>
    </dgm:pt>
  </dgm:ptLst>
  <dgm:cxnLst>
    <dgm:cxn modelId="{DAE2E98D-8068-4233-9E60-77D0015C83B8}" srcId="{AF715EBB-E16D-44DA-B3B0-88F5F525232B}" destId="{6CB5E88E-DDA6-4306-900B-9FB6E2F324C3}" srcOrd="0" destOrd="0" parTransId="{EC0D739D-B372-4FBA-8F85-82F9AB802BF1}" sibTransId="{2572E30E-1A73-49EB-9B48-040103ABDCA9}"/>
    <dgm:cxn modelId="{930ADB55-B312-4E3D-ADC0-EE61C5732171}" type="presOf" srcId="{70F0237E-236C-4B57-B472-3B0ADC2B434A}" destId="{940CF2FC-4ECA-4363-926A-DA40120E01D1}" srcOrd="0" destOrd="0" presId="urn:microsoft.com/office/officeart/2005/8/layout/orgChart1"/>
    <dgm:cxn modelId="{0D6F925C-612E-463F-BE4C-48073C324323}" srcId="{AF715EBB-E16D-44DA-B3B0-88F5F525232B}" destId="{FE98E3B1-6B43-4255-8816-2AB9A2D18E97}" srcOrd="1" destOrd="0" parTransId="{BB3FF997-9D3C-4FD2-99AC-ED3904922D6C}" sibTransId="{FF684037-1E86-4605-8421-81926B371A09}"/>
    <dgm:cxn modelId="{B19B8C5F-ADD6-4F23-B22C-55644FE40E16}" type="presOf" srcId="{0CD07BD0-F0FB-4D00-B9B6-0A1B77F9F77C}" destId="{B22CDF47-C509-4C7E-B755-9C5923D798FF}" srcOrd="1" destOrd="0" presId="urn:microsoft.com/office/officeart/2005/8/layout/orgChart1"/>
    <dgm:cxn modelId="{9A697651-9C81-4FEF-B19D-D9F0BA7B3DE5}" type="presOf" srcId="{98D3A430-05E8-46B6-BAAE-2BD311DE440A}" destId="{C83AB98B-E86E-4D34-8225-624C872ABF1F}" srcOrd="0" destOrd="0" presId="urn:microsoft.com/office/officeart/2005/8/layout/orgChart1"/>
    <dgm:cxn modelId="{A02A1AA3-43B1-4DB4-88CE-A3830A551CFA}" srcId="{0CD07BD0-F0FB-4D00-B9B6-0A1B77F9F77C}" destId="{5A787CAC-84B7-45C5-A5A4-669E887E10E9}" srcOrd="1" destOrd="0" parTransId="{CA02F8AC-1F1A-4163-A794-D6E057C8B5C2}" sibTransId="{00445EBB-117B-4E00-8E0C-A7BFD34C8902}"/>
    <dgm:cxn modelId="{607BFAB3-1F5C-4FF0-BF7B-E0D7C63B4C49}" type="presOf" srcId="{409B8487-C83A-481F-8703-3DF439A39399}" destId="{35E478AA-18B8-4CA9-84BA-FA5987F1AE98}" srcOrd="0" destOrd="0" presId="urn:microsoft.com/office/officeart/2005/8/layout/orgChart1"/>
    <dgm:cxn modelId="{135A6BC5-3D05-491E-98D3-B2205D895169}" type="presOf" srcId="{FE98E3B1-6B43-4255-8816-2AB9A2D18E97}" destId="{9B72ACE0-2282-4214-BF36-F033C2E1B8AB}" srcOrd="0" destOrd="0" presId="urn:microsoft.com/office/officeart/2005/8/layout/orgChart1"/>
    <dgm:cxn modelId="{8D22AB42-58B2-46F6-8CF8-8B74A8442F68}" type="presOf" srcId="{B2BCB826-A72E-4291-9A84-3245266EDDBA}" destId="{D9E7E0F6-F893-4111-91B0-93E9699CA423}" srcOrd="1" destOrd="0" presId="urn:microsoft.com/office/officeart/2005/8/layout/orgChart1"/>
    <dgm:cxn modelId="{7CD85938-D6C3-45A9-BA8C-8A20B97A7B56}" type="presOf" srcId="{5A787CAC-84B7-45C5-A5A4-669E887E10E9}" destId="{4443FFF8-DE61-40A6-A79F-46A0396DA217}" srcOrd="0" destOrd="0" presId="urn:microsoft.com/office/officeart/2005/8/layout/orgChart1"/>
    <dgm:cxn modelId="{8047F05A-8A40-49AD-9AA7-4E6331224F15}" srcId="{0CD07BD0-F0FB-4D00-B9B6-0A1B77F9F77C}" destId="{D557D77F-D6D9-4B84-8513-55C25DA53B9B}" srcOrd="0" destOrd="0" parTransId="{2451ECAE-2110-4C2D-91AD-12907560BF09}" sibTransId="{01BB8232-34BB-4731-B6F2-81DB3EC1E5C4}"/>
    <dgm:cxn modelId="{319AFEEB-40DB-47BF-B506-CB24C90FA437}" type="presOf" srcId="{87094602-F06C-4CFB-A6CC-1A51C4A8F632}" destId="{73B18786-CC77-4B94-A7AB-B64F48D0EDC7}" srcOrd="0" destOrd="0" presId="urn:microsoft.com/office/officeart/2005/8/layout/orgChart1"/>
    <dgm:cxn modelId="{F7832009-8B80-4FDE-85CB-99F52B6FEE11}" type="presOf" srcId="{2EA719B2-5ABC-48AE-9E3E-D58A7482A1CC}" destId="{75E159D2-CA32-4DDD-837E-3906D5D74C49}" srcOrd="1" destOrd="0" presId="urn:microsoft.com/office/officeart/2005/8/layout/orgChart1"/>
    <dgm:cxn modelId="{66FC73DA-A97A-435F-8786-B0B95DEE65C0}" srcId="{F0D9E78E-DCDA-41AB-A8A9-E976D778BF0E}" destId="{2EA719B2-5ABC-48AE-9E3E-D58A7482A1CC}" srcOrd="0" destOrd="0" parTransId="{808B8F25-7AA1-4811-A3FE-CBDC36987868}" sibTransId="{885D30AC-0EE2-4AC0-9864-5098F157CD61}"/>
    <dgm:cxn modelId="{F1D07715-2E7E-46E1-8D05-D3C8B055C296}" type="presOf" srcId="{0561BB6B-22B3-4510-814B-822CDBFCD40C}" destId="{CAB22DC0-03E6-40B0-9493-B0521BC1AD46}" srcOrd="0" destOrd="0" presId="urn:microsoft.com/office/officeart/2005/8/layout/orgChart1"/>
    <dgm:cxn modelId="{983DB390-47F6-444C-A296-4186B2A2B9DD}" type="presOf" srcId="{EC0D739D-B372-4FBA-8F85-82F9AB802BF1}" destId="{887FA5BD-2BBA-450E-BB86-135D2B966DD5}" srcOrd="0" destOrd="0" presId="urn:microsoft.com/office/officeart/2005/8/layout/orgChart1"/>
    <dgm:cxn modelId="{67CBA3E9-C327-40D9-9C1A-DA4F58AB8636}" srcId="{0CD07BD0-F0FB-4D00-B9B6-0A1B77F9F77C}" destId="{CC19506C-9BDF-4040-AB48-B0A65ADD50BA}" srcOrd="3" destOrd="0" parTransId="{98D3A430-05E8-46B6-BAAE-2BD311DE440A}" sibTransId="{43726CF0-491C-4B77-B885-F67F21F36117}"/>
    <dgm:cxn modelId="{0A4DCF05-31D1-4E00-8772-B3A51AEDB903}" type="presOf" srcId="{7A54ACA2-25AC-4E12-B255-1F5B4765D6C3}" destId="{92AF555F-0BF7-4799-96DD-B37FFAE245DF}" srcOrd="0" destOrd="0" presId="urn:microsoft.com/office/officeart/2005/8/layout/orgChart1"/>
    <dgm:cxn modelId="{E13F0037-DDFF-458E-8C97-941522F50F3D}" srcId="{F0D9E78E-DCDA-41AB-A8A9-E976D778BF0E}" destId="{AF715EBB-E16D-44DA-B3B0-88F5F525232B}" srcOrd="2" destOrd="0" parTransId="{0561BB6B-22B3-4510-814B-822CDBFCD40C}" sibTransId="{267DDD83-8C17-445C-B00A-9FB802C7E96A}"/>
    <dgm:cxn modelId="{EB172B9E-D46A-425C-AC32-E72D26953FC1}" type="presOf" srcId="{ED97B0B5-0C99-40C5-9334-3AB12914DF1C}" destId="{B1F7DB22-AC3F-4BCC-B47D-D1724E4F713D}" srcOrd="0" destOrd="0" presId="urn:microsoft.com/office/officeart/2005/8/layout/orgChart1"/>
    <dgm:cxn modelId="{18C9CD95-8938-44CA-B261-9576452E9475}" type="presOf" srcId="{713F0F8A-7C57-4200-AD8A-DFE9A8151FD5}" destId="{4357D7F3-2E2D-4FBC-82A5-7D8BF15C43AA}" srcOrd="1" destOrd="0" presId="urn:microsoft.com/office/officeart/2005/8/layout/orgChart1"/>
    <dgm:cxn modelId="{D2621C72-022F-4C49-AFFE-783D7EFAA42B}" type="presOf" srcId="{B6A70F6E-A43A-4E94-8BFF-2661E66C98B5}" destId="{79DF94C5-5B91-43AC-AC48-84FE0EE29A0D}" srcOrd="0" destOrd="0" presId="urn:microsoft.com/office/officeart/2005/8/layout/orgChart1"/>
    <dgm:cxn modelId="{33894D0B-19BE-46F2-82F0-6FEDDFBC1E7D}" type="presOf" srcId="{713F0F8A-7C57-4200-AD8A-DFE9A8151FD5}" destId="{B96D23AE-E7BD-45CD-963E-3B8C790822F2}" srcOrd="0" destOrd="0" presId="urn:microsoft.com/office/officeart/2005/8/layout/orgChart1"/>
    <dgm:cxn modelId="{E91A0885-8D06-4E97-BCA2-2C08DA5A3499}" type="presOf" srcId="{CA02F8AC-1F1A-4163-A794-D6E057C8B5C2}" destId="{D28AB4F9-89D1-49A8-B017-CF9D0DC2E8C3}" srcOrd="0" destOrd="0" presId="urn:microsoft.com/office/officeart/2005/8/layout/orgChart1"/>
    <dgm:cxn modelId="{F6842BB8-E862-4801-BFF1-6CFC03F8F154}" type="presOf" srcId="{52F247F0-C09B-4CD0-8503-C9FC3F3198F2}" destId="{FFE9500E-0F98-4C57-841E-0D542BF9D259}" srcOrd="0" destOrd="0" presId="urn:microsoft.com/office/officeart/2005/8/layout/orgChart1"/>
    <dgm:cxn modelId="{1E766739-AA47-46D3-97EB-58F5A19EF472}" type="presOf" srcId="{5A787CAC-84B7-45C5-A5A4-669E887E10E9}" destId="{6677EE14-EC89-4FDB-A3EA-6B0C6BD2B515}" srcOrd="1" destOrd="0" presId="urn:microsoft.com/office/officeart/2005/8/layout/orgChart1"/>
    <dgm:cxn modelId="{AF4F6865-4A82-42DE-9597-8D940B2203BD}" type="presOf" srcId="{87094602-F06C-4CFB-A6CC-1A51C4A8F632}" destId="{B3760C83-E9D5-4F73-8CB7-197D9BC2E076}" srcOrd="1" destOrd="0" presId="urn:microsoft.com/office/officeart/2005/8/layout/orgChart1"/>
    <dgm:cxn modelId="{734F14E7-7F63-470F-9D4C-6DE21EE42FAC}" type="presOf" srcId="{87C2AFE6-B647-4F78-AB39-395F4E7B98C7}" destId="{0143A633-1519-4E1D-AC2E-6A7879EBDE0C}" srcOrd="0" destOrd="0" presId="urn:microsoft.com/office/officeart/2005/8/layout/orgChart1"/>
    <dgm:cxn modelId="{5981F3BE-8262-46D8-96BC-B8E1446A8679}" srcId="{AF715EBB-E16D-44DA-B3B0-88F5F525232B}" destId="{B2BCB826-A72E-4291-9A84-3245266EDDBA}" srcOrd="2" destOrd="0" parTransId="{70F0237E-236C-4B57-B472-3B0ADC2B434A}" sibTransId="{6E0BE1F2-D83E-4CD4-8211-C89375A560B1}"/>
    <dgm:cxn modelId="{27D8D272-BDBF-4D50-A480-D80A45C98145}" type="presOf" srcId="{B26C98F9-3654-4DD5-B859-F73A1CAE40C3}" destId="{9E1DFFBC-6031-4CA4-B5D5-2B76A7C9402F}" srcOrd="0" destOrd="0" presId="urn:microsoft.com/office/officeart/2005/8/layout/orgChart1"/>
    <dgm:cxn modelId="{1235A1D9-35D5-4CAD-A18D-81281CF04C60}" type="presOf" srcId="{F0D9E78E-DCDA-41AB-A8A9-E976D778BF0E}" destId="{53160F6A-0237-46BA-9EB2-78AD444F4EFB}" srcOrd="0" destOrd="0" presId="urn:microsoft.com/office/officeart/2005/8/layout/orgChart1"/>
    <dgm:cxn modelId="{B26624B1-75F5-469A-BFB4-EFA432FC29E2}" type="presOf" srcId="{6CB5E88E-DDA6-4306-900B-9FB6E2F324C3}" destId="{BC977905-CF10-4182-8D45-ADD394C0FC6F}" srcOrd="1" destOrd="0" presId="urn:microsoft.com/office/officeart/2005/8/layout/orgChart1"/>
    <dgm:cxn modelId="{18790972-7376-4B72-9444-119162F982D5}" type="presOf" srcId="{AF715EBB-E16D-44DA-B3B0-88F5F525232B}" destId="{6096CA01-FC2D-4990-BE15-1B4198B7A3AE}" srcOrd="0" destOrd="0" presId="urn:microsoft.com/office/officeart/2005/8/layout/orgChart1"/>
    <dgm:cxn modelId="{D5BC6CC9-98F1-4620-A435-A41353AB310D}" srcId="{2EA719B2-5ABC-48AE-9E3E-D58A7482A1CC}" destId="{ED97B0B5-0C99-40C5-9334-3AB12914DF1C}" srcOrd="0" destOrd="0" parTransId="{60C2F51E-92EC-4A20-9252-68A949692D04}" sibTransId="{BF74C2A5-7AA7-42C2-B6BE-DC6EACF793C4}"/>
    <dgm:cxn modelId="{4E08A7B8-3AEF-45F5-B75C-86FBF5614A14}" type="presOf" srcId="{6CB5E88E-DDA6-4306-900B-9FB6E2F324C3}" destId="{9199FDB6-4D91-4C80-9A84-916118230F5A}" srcOrd="0" destOrd="0" presId="urn:microsoft.com/office/officeart/2005/8/layout/orgChart1"/>
    <dgm:cxn modelId="{6F2EEEA1-8A43-47A6-8B7A-EFEED95FD634}" type="presOf" srcId="{B2BCB826-A72E-4291-9A84-3245266EDDBA}" destId="{C96766B7-F547-456F-9E62-D20CEFCD833B}" srcOrd="0" destOrd="0" presId="urn:microsoft.com/office/officeart/2005/8/layout/orgChart1"/>
    <dgm:cxn modelId="{83CC900E-9CB1-444A-A462-3BCDB0EC65CB}" type="presOf" srcId="{BDF07B03-3DEF-4025-9A1A-E46494AE8BD9}" destId="{0876D636-85AF-42EA-887C-A2C8E9F9DD18}" srcOrd="1" destOrd="0" presId="urn:microsoft.com/office/officeart/2005/8/layout/orgChart1"/>
    <dgm:cxn modelId="{BDFA6339-3B08-42B3-AFD2-E4A5749BED0A}" type="presOf" srcId="{D557D77F-D6D9-4B84-8513-55C25DA53B9B}" destId="{D7AEE126-0558-4F62-ABF6-CBAC86A1FB90}" srcOrd="0" destOrd="0" presId="urn:microsoft.com/office/officeart/2005/8/layout/orgChart1"/>
    <dgm:cxn modelId="{6C74F47B-43C9-4D48-9A24-70B59764EDD8}" type="presOf" srcId="{808B8F25-7AA1-4811-A3FE-CBDC36987868}" destId="{0D439EEC-E7E9-4B8C-A4C7-438FFFC06D8B}" srcOrd="0" destOrd="0" presId="urn:microsoft.com/office/officeart/2005/8/layout/orgChart1"/>
    <dgm:cxn modelId="{0038C963-E04F-4FB9-9643-E3359903419D}" srcId="{2EA719B2-5ABC-48AE-9E3E-D58A7482A1CC}" destId="{BDF07B03-3DEF-4025-9A1A-E46494AE8BD9}" srcOrd="2" destOrd="0" parTransId="{B6A70F6E-A43A-4E94-8BFF-2661E66C98B5}" sibTransId="{F4FF0C47-7FA1-4CAE-A307-2261A4AEFA91}"/>
    <dgm:cxn modelId="{44B8F3B3-7E89-414F-B862-6B18A2CA3A9A}" type="presOf" srcId="{CC19506C-9BDF-4040-AB48-B0A65ADD50BA}" destId="{B070F437-C974-41B1-AC93-36F9208022A4}" srcOrd="1" destOrd="0" presId="urn:microsoft.com/office/officeart/2005/8/layout/orgChart1"/>
    <dgm:cxn modelId="{E5DE4565-5931-405B-BBCD-CEE86E1F62DF}" type="presOf" srcId="{BB3FF997-9D3C-4FD2-99AC-ED3904922D6C}" destId="{5A9F66B0-B6D2-4DB2-B04C-20FEAA8A94D5}" srcOrd="0" destOrd="0" presId="urn:microsoft.com/office/officeart/2005/8/layout/orgChart1"/>
    <dgm:cxn modelId="{87828745-E0B0-48E6-A0CD-7145D4512FDA}" type="presOf" srcId="{311ED6F7-8818-4C23-9355-35B8680F349D}" destId="{711D54B5-3CCE-453B-AFF2-6773C91342F3}" srcOrd="1" destOrd="0" presId="urn:microsoft.com/office/officeart/2005/8/layout/orgChart1"/>
    <dgm:cxn modelId="{09384674-5BEA-4DA6-9961-F4B7C593CA30}" type="presOf" srcId="{B020D623-0DB8-421C-8ADA-DB0B582AB8E9}" destId="{C7307DE0-C167-4D6A-A5C7-9D65AF46D19C}" srcOrd="0" destOrd="0" presId="urn:microsoft.com/office/officeart/2005/8/layout/orgChart1"/>
    <dgm:cxn modelId="{8AC15AC4-9607-4A67-A0E1-0BFC9477FBDE}" type="presOf" srcId="{D557D77F-D6D9-4B84-8513-55C25DA53B9B}" destId="{A74A1F62-D954-453E-810A-F0430B901168}" srcOrd="1" destOrd="0" presId="urn:microsoft.com/office/officeart/2005/8/layout/orgChart1"/>
    <dgm:cxn modelId="{890DAE8B-9FF6-40DB-92C7-A72F3379B77F}" type="presOf" srcId="{311ED6F7-8818-4C23-9355-35B8680F349D}" destId="{BC27F625-9512-407A-A3DF-C2A05091F322}" srcOrd="0" destOrd="0" presId="urn:microsoft.com/office/officeart/2005/8/layout/orgChart1"/>
    <dgm:cxn modelId="{2B003FC2-A299-4718-A352-EECDF6AEAE4C}" srcId="{2EA719B2-5ABC-48AE-9E3E-D58A7482A1CC}" destId="{311ED6F7-8818-4C23-9355-35B8680F349D}" srcOrd="1" destOrd="0" parTransId="{87C2AFE6-B647-4F78-AB39-395F4E7B98C7}" sibTransId="{9AFE8357-B166-46FB-AF32-9B4CF4336603}"/>
    <dgm:cxn modelId="{8B3FEE9A-B642-4A35-9423-2C392B0BBAEC}" srcId="{AF715EBB-E16D-44DA-B3B0-88F5F525232B}" destId="{87094602-F06C-4CFB-A6CC-1A51C4A8F632}" srcOrd="3" destOrd="0" parTransId="{409B8487-C83A-481F-8703-3DF439A39399}" sibTransId="{5AB25B9E-F6DB-4474-AE15-5F32F2880D9D}"/>
    <dgm:cxn modelId="{037F90B3-9D4A-41B4-95FE-953336783731}" type="presOf" srcId="{54D841B8-DD2D-4EF1-8321-5511489D1ED2}" destId="{ED1DCC6D-AAE8-4661-9FB5-02407D6A4FAC}" srcOrd="0" destOrd="0" presId="urn:microsoft.com/office/officeart/2005/8/layout/orgChart1"/>
    <dgm:cxn modelId="{8CF271CB-3FEC-40EA-8F85-2CA3B3474E9D}" type="presOf" srcId="{96559341-16C1-48AF-A41A-00AAC6A2683A}" destId="{B2C739C8-8EAB-4525-A506-FEBC8E4BD2D7}" srcOrd="0" destOrd="0" presId="urn:microsoft.com/office/officeart/2005/8/layout/orgChart1"/>
    <dgm:cxn modelId="{3E6FED2D-D2CA-48F6-992A-8F555DD41020}" type="presOf" srcId="{CC19506C-9BDF-4040-AB48-B0A65ADD50BA}" destId="{A0738BA1-D84C-4098-AFFF-528A184B20CE}" srcOrd="0" destOrd="0" presId="urn:microsoft.com/office/officeart/2005/8/layout/orgChart1"/>
    <dgm:cxn modelId="{732DF6F8-F428-44C2-BD65-A367F4F3C1FC}" srcId="{AF715EBB-E16D-44DA-B3B0-88F5F525232B}" destId="{713F0F8A-7C57-4200-AD8A-DFE9A8151FD5}" srcOrd="5" destOrd="0" parTransId="{7A54ACA2-25AC-4E12-B255-1F5B4765D6C3}" sibTransId="{611496A6-FFB8-41A1-84FB-DDACAE7B7821}"/>
    <dgm:cxn modelId="{9B7E027E-861C-47D8-8D0E-81E94C87463A}" type="presOf" srcId="{42FDFF7B-00A6-4270-9125-B686B44F7FFB}" destId="{C43911D3-8527-4AD2-BDB0-275B12FD30C2}" srcOrd="0" destOrd="0" presId="urn:microsoft.com/office/officeart/2005/8/layout/orgChart1"/>
    <dgm:cxn modelId="{2EB76449-779F-4E1A-8BAC-83B393C9102F}" type="presOf" srcId="{2451ECAE-2110-4C2D-91AD-12907560BF09}" destId="{376C3A99-B4C2-436A-AE9D-7BE9890D6543}" srcOrd="0" destOrd="0" presId="urn:microsoft.com/office/officeart/2005/8/layout/orgChart1"/>
    <dgm:cxn modelId="{EEE94C69-728A-4FEC-86D0-849FE22C74E2}" type="presOf" srcId="{AF715EBB-E16D-44DA-B3B0-88F5F525232B}" destId="{C2C47779-7E31-4348-B912-C9F1E57B430A}" srcOrd="1" destOrd="0" presId="urn:microsoft.com/office/officeart/2005/8/layout/orgChart1"/>
    <dgm:cxn modelId="{67E24D15-1D8B-41D5-9174-68C00BB662FE}" type="presOf" srcId="{0CD07BD0-F0FB-4D00-B9B6-0A1B77F9F77C}" destId="{F6AE1BFC-91CA-4626-81D2-81FF990BA723}" srcOrd="0" destOrd="0" presId="urn:microsoft.com/office/officeart/2005/8/layout/orgChart1"/>
    <dgm:cxn modelId="{3C14DB8B-3579-4E51-85A6-F89155A4C33D}" srcId="{0CD07BD0-F0FB-4D00-B9B6-0A1B77F9F77C}" destId="{B020D623-0DB8-421C-8ADA-DB0B582AB8E9}" srcOrd="2" destOrd="0" parTransId="{96559341-16C1-48AF-A41A-00AAC6A2683A}" sibTransId="{B06BE4D3-5ED5-44B4-B448-06B20C4F6BD4}"/>
    <dgm:cxn modelId="{3D7F3E2B-8824-4ECD-B160-13D0CDB7BF89}" srcId="{AF715EBB-E16D-44DA-B3B0-88F5F525232B}" destId="{52F247F0-C09B-4CD0-8503-C9FC3F3198F2}" srcOrd="4" destOrd="0" parTransId="{42FDFF7B-00A6-4270-9125-B686B44F7FFB}" sibTransId="{C8D3DCA0-E585-462A-8326-4001ED03B34E}"/>
    <dgm:cxn modelId="{01855830-87FC-4CA9-8D6A-716842175F8D}" type="presOf" srcId="{60C2F51E-92EC-4A20-9252-68A949692D04}" destId="{D257E700-C059-4E70-88F9-018B2B37F46E}" srcOrd="0" destOrd="0" presId="urn:microsoft.com/office/officeart/2005/8/layout/orgChart1"/>
    <dgm:cxn modelId="{013299D2-5386-4FFF-9BCC-FD55D9732E4D}" type="presOf" srcId="{52F247F0-C09B-4CD0-8503-C9FC3F3198F2}" destId="{A35D8901-F6FF-48CB-B14B-0EB8FAFC1C4D}" srcOrd="1" destOrd="0" presId="urn:microsoft.com/office/officeart/2005/8/layout/orgChart1"/>
    <dgm:cxn modelId="{609C7EB7-15CC-445F-A878-164F5E8199CA}" srcId="{54D841B8-DD2D-4EF1-8321-5511489D1ED2}" destId="{F0D9E78E-DCDA-41AB-A8A9-E976D778BF0E}" srcOrd="0" destOrd="0" parTransId="{50CC2D2F-82CC-4E92-BBC7-603EB0076DBA}" sibTransId="{225ED662-95E4-487A-91B0-044C286E7A79}"/>
    <dgm:cxn modelId="{81279A05-BA94-4E39-BEE7-D77E3B2F222B}" type="presOf" srcId="{BDF07B03-3DEF-4025-9A1A-E46494AE8BD9}" destId="{44237484-D635-488D-B4FB-CAAE0BD692D2}" srcOrd="0" destOrd="0" presId="urn:microsoft.com/office/officeart/2005/8/layout/orgChart1"/>
    <dgm:cxn modelId="{4F155BC3-6B1F-4965-8CEE-55221080E846}" type="presOf" srcId="{ED97B0B5-0C99-40C5-9334-3AB12914DF1C}" destId="{B30BCB73-6E9C-44EB-B3AF-91C19C738411}" srcOrd="1" destOrd="0" presId="urn:microsoft.com/office/officeart/2005/8/layout/orgChart1"/>
    <dgm:cxn modelId="{450AD50F-B8E3-4CF4-A2C9-B115E6AE12A5}" type="presOf" srcId="{F0D9E78E-DCDA-41AB-A8A9-E976D778BF0E}" destId="{6EF2382D-746C-4D8F-8E11-C8D072192369}" srcOrd="1" destOrd="0" presId="urn:microsoft.com/office/officeart/2005/8/layout/orgChart1"/>
    <dgm:cxn modelId="{EC75BA14-8E25-4040-8C20-044F0343F5CA}" type="presOf" srcId="{B020D623-0DB8-421C-8ADA-DB0B582AB8E9}" destId="{54751244-F9EC-4391-B94A-61AED6A6DDDD}" srcOrd="1" destOrd="0" presId="urn:microsoft.com/office/officeart/2005/8/layout/orgChart1"/>
    <dgm:cxn modelId="{2302C75C-83E5-4D0F-8CFD-E4119680DA22}" type="presOf" srcId="{2EA719B2-5ABC-48AE-9E3E-D58A7482A1CC}" destId="{0F1937E2-75C3-4969-88D7-39AFC1A0642E}" srcOrd="0" destOrd="0" presId="urn:microsoft.com/office/officeart/2005/8/layout/orgChart1"/>
    <dgm:cxn modelId="{F125EE48-D44C-4108-B7CC-FBB9A39FEB8D}" type="presOf" srcId="{FE98E3B1-6B43-4255-8816-2AB9A2D18E97}" destId="{35AC125B-6374-4831-A31B-CBBBDA2F1426}" srcOrd="1" destOrd="0" presId="urn:microsoft.com/office/officeart/2005/8/layout/orgChart1"/>
    <dgm:cxn modelId="{BE0756F7-B59A-4D7B-BEF4-4271A21CF7CD}" srcId="{F0D9E78E-DCDA-41AB-A8A9-E976D778BF0E}" destId="{0CD07BD0-F0FB-4D00-B9B6-0A1B77F9F77C}" srcOrd="1" destOrd="0" parTransId="{B26C98F9-3654-4DD5-B859-F73A1CAE40C3}" sibTransId="{A52366E4-DB2C-4EA6-AF85-9166095DC7E4}"/>
    <dgm:cxn modelId="{FDF7E242-27BB-479B-83C0-71E4AB930948}" type="presParOf" srcId="{ED1DCC6D-AAE8-4661-9FB5-02407D6A4FAC}" destId="{DD33EDCB-1202-470E-B792-F9DF1032D868}" srcOrd="0" destOrd="0" presId="urn:microsoft.com/office/officeart/2005/8/layout/orgChart1"/>
    <dgm:cxn modelId="{BD9010F7-B9DC-4E59-8E23-F7D92E5FEFEA}" type="presParOf" srcId="{DD33EDCB-1202-470E-B792-F9DF1032D868}" destId="{4880C9B8-8FE7-468F-8A27-7F60E4AD1867}" srcOrd="0" destOrd="0" presId="urn:microsoft.com/office/officeart/2005/8/layout/orgChart1"/>
    <dgm:cxn modelId="{5A972A54-00A7-499E-B25F-2EAD877C83BA}" type="presParOf" srcId="{4880C9B8-8FE7-468F-8A27-7F60E4AD1867}" destId="{53160F6A-0237-46BA-9EB2-78AD444F4EFB}" srcOrd="0" destOrd="0" presId="urn:microsoft.com/office/officeart/2005/8/layout/orgChart1"/>
    <dgm:cxn modelId="{F9676B8A-A8DC-4CD8-9268-0566B50A1142}" type="presParOf" srcId="{4880C9B8-8FE7-468F-8A27-7F60E4AD1867}" destId="{6EF2382D-746C-4D8F-8E11-C8D072192369}" srcOrd="1" destOrd="0" presId="urn:microsoft.com/office/officeart/2005/8/layout/orgChart1"/>
    <dgm:cxn modelId="{92DE74CC-BBBE-4AAD-A097-13E905C883E4}" type="presParOf" srcId="{DD33EDCB-1202-470E-B792-F9DF1032D868}" destId="{A5090B8C-E51E-430D-95F1-DB9190EB10AF}" srcOrd="1" destOrd="0" presId="urn:microsoft.com/office/officeart/2005/8/layout/orgChart1"/>
    <dgm:cxn modelId="{7DA9E0D1-A90B-4177-848E-8A366906C80A}" type="presParOf" srcId="{A5090B8C-E51E-430D-95F1-DB9190EB10AF}" destId="{0D439EEC-E7E9-4B8C-A4C7-438FFFC06D8B}" srcOrd="0" destOrd="0" presId="urn:microsoft.com/office/officeart/2005/8/layout/orgChart1"/>
    <dgm:cxn modelId="{26FAD921-EB90-41C0-ABE7-FC22D38BA18C}" type="presParOf" srcId="{A5090B8C-E51E-430D-95F1-DB9190EB10AF}" destId="{C5063F60-8150-478F-922F-264684C9F3FC}" srcOrd="1" destOrd="0" presId="urn:microsoft.com/office/officeart/2005/8/layout/orgChart1"/>
    <dgm:cxn modelId="{38C822BE-216B-485B-9CF6-C9D40F15ADBC}" type="presParOf" srcId="{C5063F60-8150-478F-922F-264684C9F3FC}" destId="{49E50283-FAD3-4CD4-BA89-E76B9CEFB49D}" srcOrd="0" destOrd="0" presId="urn:microsoft.com/office/officeart/2005/8/layout/orgChart1"/>
    <dgm:cxn modelId="{9247D70D-93AE-44E6-AB44-C63AE61B3C26}" type="presParOf" srcId="{49E50283-FAD3-4CD4-BA89-E76B9CEFB49D}" destId="{0F1937E2-75C3-4969-88D7-39AFC1A0642E}" srcOrd="0" destOrd="0" presId="urn:microsoft.com/office/officeart/2005/8/layout/orgChart1"/>
    <dgm:cxn modelId="{FFF9B4F0-BDFB-45AE-B39D-AB3D867E6768}" type="presParOf" srcId="{49E50283-FAD3-4CD4-BA89-E76B9CEFB49D}" destId="{75E159D2-CA32-4DDD-837E-3906D5D74C49}" srcOrd="1" destOrd="0" presId="urn:microsoft.com/office/officeart/2005/8/layout/orgChart1"/>
    <dgm:cxn modelId="{FA007A16-1E71-41C6-9517-1381B061B60D}" type="presParOf" srcId="{C5063F60-8150-478F-922F-264684C9F3FC}" destId="{E2B0875D-1409-4684-B76A-0F4F5B554C6A}" srcOrd="1" destOrd="0" presId="urn:microsoft.com/office/officeart/2005/8/layout/orgChart1"/>
    <dgm:cxn modelId="{8B976D0A-F01E-43DE-80B3-FF0DE2086900}" type="presParOf" srcId="{E2B0875D-1409-4684-B76A-0F4F5B554C6A}" destId="{D257E700-C059-4E70-88F9-018B2B37F46E}" srcOrd="0" destOrd="0" presId="urn:microsoft.com/office/officeart/2005/8/layout/orgChart1"/>
    <dgm:cxn modelId="{CB4EE34D-CFB6-47AE-A9F5-40D46ECACED3}" type="presParOf" srcId="{E2B0875D-1409-4684-B76A-0F4F5B554C6A}" destId="{C0D15DF4-FB2B-4FE6-B08D-9EE44F213EC3}" srcOrd="1" destOrd="0" presId="urn:microsoft.com/office/officeart/2005/8/layout/orgChart1"/>
    <dgm:cxn modelId="{54ACDD4E-244D-4070-AAD6-8F90F6F14C8D}" type="presParOf" srcId="{C0D15DF4-FB2B-4FE6-B08D-9EE44F213EC3}" destId="{B6D56906-C514-4BDA-BA7C-6979C7BB7737}" srcOrd="0" destOrd="0" presId="urn:microsoft.com/office/officeart/2005/8/layout/orgChart1"/>
    <dgm:cxn modelId="{806F9443-5DCB-415F-984C-A6969173EEBC}" type="presParOf" srcId="{B6D56906-C514-4BDA-BA7C-6979C7BB7737}" destId="{B1F7DB22-AC3F-4BCC-B47D-D1724E4F713D}" srcOrd="0" destOrd="0" presId="urn:microsoft.com/office/officeart/2005/8/layout/orgChart1"/>
    <dgm:cxn modelId="{81FF9BCD-B019-4C5F-9DCD-AD4B6AF647C3}" type="presParOf" srcId="{B6D56906-C514-4BDA-BA7C-6979C7BB7737}" destId="{B30BCB73-6E9C-44EB-B3AF-91C19C738411}" srcOrd="1" destOrd="0" presId="urn:microsoft.com/office/officeart/2005/8/layout/orgChart1"/>
    <dgm:cxn modelId="{CE78AF63-6DAC-486C-9126-B5393C8E601D}" type="presParOf" srcId="{C0D15DF4-FB2B-4FE6-B08D-9EE44F213EC3}" destId="{CCC5B123-6484-4357-93FB-7B671A90C619}" srcOrd="1" destOrd="0" presId="urn:microsoft.com/office/officeart/2005/8/layout/orgChart1"/>
    <dgm:cxn modelId="{F9D78F50-F8F8-44D1-8ADC-33DE4754B006}" type="presParOf" srcId="{C0D15DF4-FB2B-4FE6-B08D-9EE44F213EC3}" destId="{A45A3D58-1AA0-4FAA-A4E7-B7178CA0EF3C}" srcOrd="2" destOrd="0" presId="urn:microsoft.com/office/officeart/2005/8/layout/orgChart1"/>
    <dgm:cxn modelId="{A3460622-9E7D-49B6-B8C9-5AECAA5982FC}" type="presParOf" srcId="{E2B0875D-1409-4684-B76A-0F4F5B554C6A}" destId="{0143A633-1519-4E1D-AC2E-6A7879EBDE0C}" srcOrd="2" destOrd="0" presId="urn:microsoft.com/office/officeart/2005/8/layout/orgChart1"/>
    <dgm:cxn modelId="{D4B98760-FF09-4E6F-AD60-890DC372B98E}" type="presParOf" srcId="{E2B0875D-1409-4684-B76A-0F4F5B554C6A}" destId="{73800507-1C77-4194-936C-7C4B09AAA44C}" srcOrd="3" destOrd="0" presId="urn:microsoft.com/office/officeart/2005/8/layout/orgChart1"/>
    <dgm:cxn modelId="{0DBED0C2-7695-4C92-98C3-E887A350871E}" type="presParOf" srcId="{73800507-1C77-4194-936C-7C4B09AAA44C}" destId="{116A9641-925C-43A1-BABE-692DD6D9292B}" srcOrd="0" destOrd="0" presId="urn:microsoft.com/office/officeart/2005/8/layout/orgChart1"/>
    <dgm:cxn modelId="{0697297A-89A2-4DD1-B615-F1D96A80D1BF}" type="presParOf" srcId="{116A9641-925C-43A1-BABE-692DD6D9292B}" destId="{BC27F625-9512-407A-A3DF-C2A05091F322}" srcOrd="0" destOrd="0" presId="urn:microsoft.com/office/officeart/2005/8/layout/orgChart1"/>
    <dgm:cxn modelId="{4EB5C9DA-B352-40FD-82C5-52E94C000BBD}" type="presParOf" srcId="{116A9641-925C-43A1-BABE-692DD6D9292B}" destId="{711D54B5-3CCE-453B-AFF2-6773C91342F3}" srcOrd="1" destOrd="0" presId="urn:microsoft.com/office/officeart/2005/8/layout/orgChart1"/>
    <dgm:cxn modelId="{10B36FD5-01A8-4C41-A64E-A1594A223777}" type="presParOf" srcId="{73800507-1C77-4194-936C-7C4B09AAA44C}" destId="{6BA62892-701A-4C0D-B9D0-1437C5E86A0A}" srcOrd="1" destOrd="0" presId="urn:microsoft.com/office/officeart/2005/8/layout/orgChart1"/>
    <dgm:cxn modelId="{A162A26D-47DA-46A3-8D88-FAB21BFD79EA}" type="presParOf" srcId="{73800507-1C77-4194-936C-7C4B09AAA44C}" destId="{48C1A2F8-294C-46A9-ACC7-1DAE2AC20157}" srcOrd="2" destOrd="0" presId="urn:microsoft.com/office/officeart/2005/8/layout/orgChart1"/>
    <dgm:cxn modelId="{104446D2-6E69-4B3E-B75A-933BF7A832D3}" type="presParOf" srcId="{E2B0875D-1409-4684-B76A-0F4F5B554C6A}" destId="{79DF94C5-5B91-43AC-AC48-84FE0EE29A0D}" srcOrd="4" destOrd="0" presId="urn:microsoft.com/office/officeart/2005/8/layout/orgChart1"/>
    <dgm:cxn modelId="{1772B12F-6DC7-4CB5-9271-2A4D68594590}" type="presParOf" srcId="{E2B0875D-1409-4684-B76A-0F4F5B554C6A}" destId="{EA56F49C-962A-4218-8A22-D12EF25FE21C}" srcOrd="5" destOrd="0" presId="urn:microsoft.com/office/officeart/2005/8/layout/orgChart1"/>
    <dgm:cxn modelId="{A1647B7A-2416-49B7-94D6-BA434311253D}" type="presParOf" srcId="{EA56F49C-962A-4218-8A22-D12EF25FE21C}" destId="{BDA459E0-AE44-44E0-8044-B5F6FE92FC23}" srcOrd="0" destOrd="0" presId="urn:microsoft.com/office/officeart/2005/8/layout/orgChart1"/>
    <dgm:cxn modelId="{9787F6FE-6652-4186-A62C-99B27346E30F}" type="presParOf" srcId="{BDA459E0-AE44-44E0-8044-B5F6FE92FC23}" destId="{44237484-D635-488D-B4FB-CAAE0BD692D2}" srcOrd="0" destOrd="0" presId="urn:microsoft.com/office/officeart/2005/8/layout/orgChart1"/>
    <dgm:cxn modelId="{4CB90EE5-C5F0-4F8C-949D-A2250AABB24A}" type="presParOf" srcId="{BDA459E0-AE44-44E0-8044-B5F6FE92FC23}" destId="{0876D636-85AF-42EA-887C-A2C8E9F9DD18}" srcOrd="1" destOrd="0" presId="urn:microsoft.com/office/officeart/2005/8/layout/orgChart1"/>
    <dgm:cxn modelId="{E6297574-B5DA-4DBF-B7D9-4FFE6A149F15}" type="presParOf" srcId="{EA56F49C-962A-4218-8A22-D12EF25FE21C}" destId="{22856462-8CC8-42E7-BFF5-2FC5943D7DEF}" srcOrd="1" destOrd="0" presId="urn:microsoft.com/office/officeart/2005/8/layout/orgChart1"/>
    <dgm:cxn modelId="{0749CE6F-FC5D-433B-AB83-2E499BA72BEC}" type="presParOf" srcId="{EA56F49C-962A-4218-8A22-D12EF25FE21C}" destId="{D6594731-E917-41DB-898D-A74AC1ABB46C}" srcOrd="2" destOrd="0" presId="urn:microsoft.com/office/officeart/2005/8/layout/orgChart1"/>
    <dgm:cxn modelId="{0C11037A-BE3F-4924-BD70-7672BBCC707B}" type="presParOf" srcId="{C5063F60-8150-478F-922F-264684C9F3FC}" destId="{2B7DF580-EE6B-49DD-8F35-5FE8D36C7D3F}" srcOrd="2" destOrd="0" presId="urn:microsoft.com/office/officeart/2005/8/layout/orgChart1"/>
    <dgm:cxn modelId="{6F2C349A-495B-4442-B0F4-B3BCA067FE8B}" type="presParOf" srcId="{A5090B8C-E51E-430D-95F1-DB9190EB10AF}" destId="{9E1DFFBC-6031-4CA4-B5D5-2B76A7C9402F}" srcOrd="2" destOrd="0" presId="urn:microsoft.com/office/officeart/2005/8/layout/orgChart1"/>
    <dgm:cxn modelId="{AE64B15A-7B74-4D70-9BEC-552C65285198}" type="presParOf" srcId="{A5090B8C-E51E-430D-95F1-DB9190EB10AF}" destId="{013329C0-82EC-461D-A5A7-9E8263F488F8}" srcOrd="3" destOrd="0" presId="urn:microsoft.com/office/officeart/2005/8/layout/orgChart1"/>
    <dgm:cxn modelId="{647717C1-809E-425F-83A0-C16F3B148D82}" type="presParOf" srcId="{013329C0-82EC-461D-A5A7-9E8263F488F8}" destId="{B9ADEB8C-7D8B-43BA-9A7B-FCE696575661}" srcOrd="0" destOrd="0" presId="urn:microsoft.com/office/officeart/2005/8/layout/orgChart1"/>
    <dgm:cxn modelId="{0B5C4D77-5E79-467F-89C7-E93EE315BE4C}" type="presParOf" srcId="{B9ADEB8C-7D8B-43BA-9A7B-FCE696575661}" destId="{F6AE1BFC-91CA-4626-81D2-81FF990BA723}" srcOrd="0" destOrd="0" presId="urn:microsoft.com/office/officeart/2005/8/layout/orgChart1"/>
    <dgm:cxn modelId="{F3DA0731-583C-4CC3-8B6C-E521F5F95205}" type="presParOf" srcId="{B9ADEB8C-7D8B-43BA-9A7B-FCE696575661}" destId="{B22CDF47-C509-4C7E-B755-9C5923D798FF}" srcOrd="1" destOrd="0" presId="urn:microsoft.com/office/officeart/2005/8/layout/orgChart1"/>
    <dgm:cxn modelId="{0C31C3A7-0A64-438E-9121-356E66927C06}" type="presParOf" srcId="{013329C0-82EC-461D-A5A7-9E8263F488F8}" destId="{7EC4F828-DC7D-4124-8EFF-08AC0823C296}" srcOrd="1" destOrd="0" presId="urn:microsoft.com/office/officeart/2005/8/layout/orgChart1"/>
    <dgm:cxn modelId="{7BAF4F36-2833-48F8-AA46-38A7AD5910F1}" type="presParOf" srcId="{7EC4F828-DC7D-4124-8EFF-08AC0823C296}" destId="{376C3A99-B4C2-436A-AE9D-7BE9890D6543}" srcOrd="0" destOrd="0" presId="urn:microsoft.com/office/officeart/2005/8/layout/orgChart1"/>
    <dgm:cxn modelId="{1173B323-6DC3-4811-9C09-B3B9B69B381F}" type="presParOf" srcId="{7EC4F828-DC7D-4124-8EFF-08AC0823C296}" destId="{D731A30F-646E-432D-B073-7313137F3C40}" srcOrd="1" destOrd="0" presId="urn:microsoft.com/office/officeart/2005/8/layout/orgChart1"/>
    <dgm:cxn modelId="{35A279CB-5A8C-4C38-BB60-945A05A178A2}" type="presParOf" srcId="{D731A30F-646E-432D-B073-7313137F3C40}" destId="{205973BE-ECB7-418D-8B09-890993756501}" srcOrd="0" destOrd="0" presId="urn:microsoft.com/office/officeart/2005/8/layout/orgChart1"/>
    <dgm:cxn modelId="{3F6946A6-3CB7-4F05-97B4-EAFD335B4774}" type="presParOf" srcId="{205973BE-ECB7-418D-8B09-890993756501}" destId="{D7AEE126-0558-4F62-ABF6-CBAC86A1FB90}" srcOrd="0" destOrd="0" presId="urn:microsoft.com/office/officeart/2005/8/layout/orgChart1"/>
    <dgm:cxn modelId="{161A1DC4-D56B-41AB-8C79-049EA8BB414D}" type="presParOf" srcId="{205973BE-ECB7-418D-8B09-890993756501}" destId="{A74A1F62-D954-453E-810A-F0430B901168}" srcOrd="1" destOrd="0" presId="urn:microsoft.com/office/officeart/2005/8/layout/orgChart1"/>
    <dgm:cxn modelId="{80877146-D01A-4DC6-B22A-E85CF29ED682}" type="presParOf" srcId="{D731A30F-646E-432D-B073-7313137F3C40}" destId="{2CF30E96-BB23-4CCF-8C8B-3011B8CCC87B}" srcOrd="1" destOrd="0" presId="urn:microsoft.com/office/officeart/2005/8/layout/orgChart1"/>
    <dgm:cxn modelId="{6BCF6166-F476-4B27-B2CA-BC91197BEEC4}" type="presParOf" srcId="{D731A30F-646E-432D-B073-7313137F3C40}" destId="{E9D4EFDE-9DCF-4F57-90B8-C56AA040BEA1}" srcOrd="2" destOrd="0" presId="urn:microsoft.com/office/officeart/2005/8/layout/orgChart1"/>
    <dgm:cxn modelId="{76A812CF-1D11-4E82-ABB6-70DB610315CA}" type="presParOf" srcId="{7EC4F828-DC7D-4124-8EFF-08AC0823C296}" destId="{D28AB4F9-89D1-49A8-B017-CF9D0DC2E8C3}" srcOrd="2" destOrd="0" presId="urn:microsoft.com/office/officeart/2005/8/layout/orgChart1"/>
    <dgm:cxn modelId="{1CDE2529-3C6B-4C37-8FA9-2074474B5AC7}" type="presParOf" srcId="{7EC4F828-DC7D-4124-8EFF-08AC0823C296}" destId="{A0020E12-C871-41FE-82F7-71C953B2C420}" srcOrd="3" destOrd="0" presId="urn:microsoft.com/office/officeart/2005/8/layout/orgChart1"/>
    <dgm:cxn modelId="{C8EE0550-8EEA-4876-9878-0296AA36BD2F}" type="presParOf" srcId="{A0020E12-C871-41FE-82F7-71C953B2C420}" destId="{35905233-541C-4B72-AE81-A748D66A3123}" srcOrd="0" destOrd="0" presId="urn:microsoft.com/office/officeart/2005/8/layout/orgChart1"/>
    <dgm:cxn modelId="{FE4D8956-553D-4E9E-BCFD-9C84713A1BE5}" type="presParOf" srcId="{35905233-541C-4B72-AE81-A748D66A3123}" destId="{4443FFF8-DE61-40A6-A79F-46A0396DA217}" srcOrd="0" destOrd="0" presId="urn:microsoft.com/office/officeart/2005/8/layout/orgChart1"/>
    <dgm:cxn modelId="{64CDC6A7-F1F6-44AD-AC30-1EE36CDE0FC3}" type="presParOf" srcId="{35905233-541C-4B72-AE81-A748D66A3123}" destId="{6677EE14-EC89-4FDB-A3EA-6B0C6BD2B515}" srcOrd="1" destOrd="0" presId="urn:microsoft.com/office/officeart/2005/8/layout/orgChart1"/>
    <dgm:cxn modelId="{C1176D78-CC0A-42B7-84F4-B307728D747F}" type="presParOf" srcId="{A0020E12-C871-41FE-82F7-71C953B2C420}" destId="{F678DDF3-4CA8-447B-8802-11E58BA64D99}" srcOrd="1" destOrd="0" presId="urn:microsoft.com/office/officeart/2005/8/layout/orgChart1"/>
    <dgm:cxn modelId="{08C35908-6648-4C88-898A-7E868ECB248A}" type="presParOf" srcId="{A0020E12-C871-41FE-82F7-71C953B2C420}" destId="{4D698386-9FB8-42DB-9476-890067F73EF7}" srcOrd="2" destOrd="0" presId="urn:microsoft.com/office/officeart/2005/8/layout/orgChart1"/>
    <dgm:cxn modelId="{28029992-E3DA-47AE-9900-46A452252D42}" type="presParOf" srcId="{7EC4F828-DC7D-4124-8EFF-08AC0823C296}" destId="{B2C739C8-8EAB-4525-A506-FEBC8E4BD2D7}" srcOrd="4" destOrd="0" presId="urn:microsoft.com/office/officeart/2005/8/layout/orgChart1"/>
    <dgm:cxn modelId="{3A47540E-00EA-4E6C-9D2F-AD4FA5D9A13A}" type="presParOf" srcId="{7EC4F828-DC7D-4124-8EFF-08AC0823C296}" destId="{F93B3C81-3F55-45B7-AF08-68BFD420873D}" srcOrd="5" destOrd="0" presId="urn:microsoft.com/office/officeart/2005/8/layout/orgChart1"/>
    <dgm:cxn modelId="{391BDFAA-8D7B-4441-948C-72D62BFC74CC}" type="presParOf" srcId="{F93B3C81-3F55-45B7-AF08-68BFD420873D}" destId="{A10EAC3C-B971-4404-8993-FF0246495689}" srcOrd="0" destOrd="0" presId="urn:microsoft.com/office/officeart/2005/8/layout/orgChart1"/>
    <dgm:cxn modelId="{B332815B-9584-4DF3-8EED-FB077E9B2550}" type="presParOf" srcId="{A10EAC3C-B971-4404-8993-FF0246495689}" destId="{C7307DE0-C167-4D6A-A5C7-9D65AF46D19C}" srcOrd="0" destOrd="0" presId="urn:microsoft.com/office/officeart/2005/8/layout/orgChart1"/>
    <dgm:cxn modelId="{C5D66B77-836B-4AFF-9392-38E8EDB8E240}" type="presParOf" srcId="{A10EAC3C-B971-4404-8993-FF0246495689}" destId="{54751244-F9EC-4391-B94A-61AED6A6DDDD}" srcOrd="1" destOrd="0" presId="urn:microsoft.com/office/officeart/2005/8/layout/orgChart1"/>
    <dgm:cxn modelId="{270ADD5A-CC7C-4EC9-A6DB-38D218EAAC31}" type="presParOf" srcId="{F93B3C81-3F55-45B7-AF08-68BFD420873D}" destId="{B428A4E1-2C17-4C65-A3F1-05EDC2DB1422}" srcOrd="1" destOrd="0" presId="urn:microsoft.com/office/officeart/2005/8/layout/orgChart1"/>
    <dgm:cxn modelId="{CE116DA2-5F26-4C00-A80A-8EA5BDC1EBB8}" type="presParOf" srcId="{F93B3C81-3F55-45B7-AF08-68BFD420873D}" destId="{DB4ACDAA-CB24-4BB8-BF4F-080560926666}" srcOrd="2" destOrd="0" presId="urn:microsoft.com/office/officeart/2005/8/layout/orgChart1"/>
    <dgm:cxn modelId="{29E0BF5B-1106-40B2-ABF5-05BF0FB2C273}" type="presParOf" srcId="{7EC4F828-DC7D-4124-8EFF-08AC0823C296}" destId="{C83AB98B-E86E-4D34-8225-624C872ABF1F}" srcOrd="6" destOrd="0" presId="urn:microsoft.com/office/officeart/2005/8/layout/orgChart1"/>
    <dgm:cxn modelId="{AD769BF4-52D1-4761-A270-A3A9ED0D9390}" type="presParOf" srcId="{7EC4F828-DC7D-4124-8EFF-08AC0823C296}" destId="{4CEBE9BA-DF55-438C-852E-2D44526894D3}" srcOrd="7" destOrd="0" presId="urn:microsoft.com/office/officeart/2005/8/layout/orgChart1"/>
    <dgm:cxn modelId="{74655ABF-61BA-4C6B-ABAE-1EE44317A1AD}" type="presParOf" srcId="{4CEBE9BA-DF55-438C-852E-2D44526894D3}" destId="{76A5BABA-5105-4526-B1DE-192285145066}" srcOrd="0" destOrd="0" presId="urn:microsoft.com/office/officeart/2005/8/layout/orgChart1"/>
    <dgm:cxn modelId="{895BE912-77CC-440E-8C46-BA1A76BC68EB}" type="presParOf" srcId="{76A5BABA-5105-4526-B1DE-192285145066}" destId="{A0738BA1-D84C-4098-AFFF-528A184B20CE}" srcOrd="0" destOrd="0" presId="urn:microsoft.com/office/officeart/2005/8/layout/orgChart1"/>
    <dgm:cxn modelId="{0F9B2116-06F7-4DB0-A251-61B95A7B0561}" type="presParOf" srcId="{76A5BABA-5105-4526-B1DE-192285145066}" destId="{B070F437-C974-41B1-AC93-36F9208022A4}" srcOrd="1" destOrd="0" presId="urn:microsoft.com/office/officeart/2005/8/layout/orgChart1"/>
    <dgm:cxn modelId="{B51E97F1-CA03-459D-832F-74550D1D44AA}" type="presParOf" srcId="{4CEBE9BA-DF55-438C-852E-2D44526894D3}" destId="{727F8BDC-9968-4F34-A68D-40B5BDC24307}" srcOrd="1" destOrd="0" presId="urn:microsoft.com/office/officeart/2005/8/layout/orgChart1"/>
    <dgm:cxn modelId="{55145574-89D0-4113-8F89-AE162E67E5FA}" type="presParOf" srcId="{4CEBE9BA-DF55-438C-852E-2D44526894D3}" destId="{CDC87376-BFF2-4286-BE4F-A25F1E5F6DE3}" srcOrd="2" destOrd="0" presId="urn:microsoft.com/office/officeart/2005/8/layout/orgChart1"/>
    <dgm:cxn modelId="{AC699A70-BAA7-4F17-901D-60CF99F6ECBE}" type="presParOf" srcId="{013329C0-82EC-461D-A5A7-9E8263F488F8}" destId="{869112CF-2357-4482-B323-D643220FB2CD}" srcOrd="2" destOrd="0" presId="urn:microsoft.com/office/officeart/2005/8/layout/orgChart1"/>
    <dgm:cxn modelId="{0F1F7862-7EAB-4170-8B6E-500A45599250}" type="presParOf" srcId="{A5090B8C-E51E-430D-95F1-DB9190EB10AF}" destId="{CAB22DC0-03E6-40B0-9493-B0521BC1AD46}" srcOrd="4" destOrd="0" presId="urn:microsoft.com/office/officeart/2005/8/layout/orgChart1"/>
    <dgm:cxn modelId="{FF5BDE03-6089-4D76-B70E-8959289816AD}" type="presParOf" srcId="{A5090B8C-E51E-430D-95F1-DB9190EB10AF}" destId="{A45AE163-2DCC-434C-98D9-07AA8C6241E7}" srcOrd="5" destOrd="0" presId="urn:microsoft.com/office/officeart/2005/8/layout/orgChart1"/>
    <dgm:cxn modelId="{2F407D50-61DB-49FC-BE25-3752B188D819}" type="presParOf" srcId="{A45AE163-2DCC-434C-98D9-07AA8C6241E7}" destId="{84F7E96D-1209-4893-891C-87BF177C1362}" srcOrd="0" destOrd="0" presId="urn:microsoft.com/office/officeart/2005/8/layout/orgChart1"/>
    <dgm:cxn modelId="{1F04A492-31FE-49A6-AC0C-2591D8EA16F1}" type="presParOf" srcId="{84F7E96D-1209-4893-891C-87BF177C1362}" destId="{6096CA01-FC2D-4990-BE15-1B4198B7A3AE}" srcOrd="0" destOrd="0" presId="urn:microsoft.com/office/officeart/2005/8/layout/orgChart1"/>
    <dgm:cxn modelId="{1EE414E5-F47A-4EDA-9ECD-B282573B768E}" type="presParOf" srcId="{84F7E96D-1209-4893-891C-87BF177C1362}" destId="{C2C47779-7E31-4348-B912-C9F1E57B430A}" srcOrd="1" destOrd="0" presId="urn:microsoft.com/office/officeart/2005/8/layout/orgChart1"/>
    <dgm:cxn modelId="{95FDACAB-F230-424E-ADD7-A7AE68339042}" type="presParOf" srcId="{A45AE163-2DCC-434C-98D9-07AA8C6241E7}" destId="{C2834D67-1B59-4D84-811A-6C0F3E18BFAA}" srcOrd="1" destOrd="0" presId="urn:microsoft.com/office/officeart/2005/8/layout/orgChart1"/>
    <dgm:cxn modelId="{7726B716-E5EE-4066-8275-8854890ACEEA}" type="presParOf" srcId="{C2834D67-1B59-4D84-811A-6C0F3E18BFAA}" destId="{887FA5BD-2BBA-450E-BB86-135D2B966DD5}" srcOrd="0" destOrd="0" presId="urn:microsoft.com/office/officeart/2005/8/layout/orgChart1"/>
    <dgm:cxn modelId="{9F014179-4E5E-4024-9911-6E39C69E37AD}" type="presParOf" srcId="{C2834D67-1B59-4D84-811A-6C0F3E18BFAA}" destId="{CF98506A-545A-4D9A-B423-8E1E449836A3}" srcOrd="1" destOrd="0" presId="urn:microsoft.com/office/officeart/2005/8/layout/orgChart1"/>
    <dgm:cxn modelId="{B9ED319F-7F87-42F6-B667-4242A90CEFC7}" type="presParOf" srcId="{CF98506A-545A-4D9A-B423-8E1E449836A3}" destId="{2009BB75-828C-4D05-84ED-6F4CBF76F42B}" srcOrd="0" destOrd="0" presId="urn:microsoft.com/office/officeart/2005/8/layout/orgChart1"/>
    <dgm:cxn modelId="{246E3E77-0474-4F8B-A944-47B5DCB49EEF}" type="presParOf" srcId="{2009BB75-828C-4D05-84ED-6F4CBF76F42B}" destId="{9199FDB6-4D91-4C80-9A84-916118230F5A}" srcOrd="0" destOrd="0" presId="urn:microsoft.com/office/officeart/2005/8/layout/orgChart1"/>
    <dgm:cxn modelId="{582DD03F-DDC8-4E31-A696-73F3ABE0EE10}" type="presParOf" srcId="{2009BB75-828C-4D05-84ED-6F4CBF76F42B}" destId="{BC977905-CF10-4182-8D45-ADD394C0FC6F}" srcOrd="1" destOrd="0" presId="urn:microsoft.com/office/officeart/2005/8/layout/orgChart1"/>
    <dgm:cxn modelId="{D460C8D2-904A-42C4-AB9E-95BFAD9309B2}" type="presParOf" srcId="{CF98506A-545A-4D9A-B423-8E1E449836A3}" destId="{75FD8978-6732-4D3C-873E-ECF4D19F96FA}" srcOrd="1" destOrd="0" presId="urn:microsoft.com/office/officeart/2005/8/layout/orgChart1"/>
    <dgm:cxn modelId="{DA0A9174-8C7F-4284-BEF6-24027968D46F}" type="presParOf" srcId="{CF98506A-545A-4D9A-B423-8E1E449836A3}" destId="{56618519-1197-485F-A9F0-5D3CC99AFF9A}" srcOrd="2" destOrd="0" presId="urn:microsoft.com/office/officeart/2005/8/layout/orgChart1"/>
    <dgm:cxn modelId="{03B8055F-2655-4394-8AC1-4B6E6FC6E5BA}" type="presParOf" srcId="{C2834D67-1B59-4D84-811A-6C0F3E18BFAA}" destId="{5A9F66B0-B6D2-4DB2-B04C-20FEAA8A94D5}" srcOrd="2" destOrd="0" presId="urn:microsoft.com/office/officeart/2005/8/layout/orgChart1"/>
    <dgm:cxn modelId="{5D307A55-6513-4D8A-98DF-3E34D968C0AC}" type="presParOf" srcId="{C2834D67-1B59-4D84-811A-6C0F3E18BFAA}" destId="{A0AA08C1-9F7D-4021-B2B8-A934221F17CB}" srcOrd="3" destOrd="0" presId="urn:microsoft.com/office/officeart/2005/8/layout/orgChart1"/>
    <dgm:cxn modelId="{6F7027F9-BA5C-437A-B88F-33A6A965B6BC}" type="presParOf" srcId="{A0AA08C1-9F7D-4021-B2B8-A934221F17CB}" destId="{AFE8C44B-0EF0-4C04-B05E-8D188EAFF23B}" srcOrd="0" destOrd="0" presId="urn:microsoft.com/office/officeart/2005/8/layout/orgChart1"/>
    <dgm:cxn modelId="{AFC62284-78AA-47ED-9D6A-305542514298}" type="presParOf" srcId="{AFE8C44B-0EF0-4C04-B05E-8D188EAFF23B}" destId="{9B72ACE0-2282-4214-BF36-F033C2E1B8AB}" srcOrd="0" destOrd="0" presId="urn:microsoft.com/office/officeart/2005/8/layout/orgChart1"/>
    <dgm:cxn modelId="{4C6A5DE7-87E7-42D1-BBD5-1FA8DD328C64}" type="presParOf" srcId="{AFE8C44B-0EF0-4C04-B05E-8D188EAFF23B}" destId="{35AC125B-6374-4831-A31B-CBBBDA2F1426}" srcOrd="1" destOrd="0" presId="urn:microsoft.com/office/officeart/2005/8/layout/orgChart1"/>
    <dgm:cxn modelId="{4729C50C-015A-480A-BC75-978B494F79C5}" type="presParOf" srcId="{A0AA08C1-9F7D-4021-B2B8-A934221F17CB}" destId="{CEDD010D-D61F-48D7-9A51-DA2DDE6B5CEB}" srcOrd="1" destOrd="0" presId="urn:microsoft.com/office/officeart/2005/8/layout/orgChart1"/>
    <dgm:cxn modelId="{02BFAB30-B366-47CD-AFC7-6A93D07386B1}" type="presParOf" srcId="{A0AA08C1-9F7D-4021-B2B8-A934221F17CB}" destId="{387C5376-D13D-455A-B398-DA072541CAD5}" srcOrd="2" destOrd="0" presId="urn:microsoft.com/office/officeart/2005/8/layout/orgChart1"/>
    <dgm:cxn modelId="{33C28BB5-336E-4867-BF88-ECD19F0B2955}" type="presParOf" srcId="{C2834D67-1B59-4D84-811A-6C0F3E18BFAA}" destId="{940CF2FC-4ECA-4363-926A-DA40120E01D1}" srcOrd="4" destOrd="0" presId="urn:microsoft.com/office/officeart/2005/8/layout/orgChart1"/>
    <dgm:cxn modelId="{ADD65036-911C-4AA1-B005-1FFB94663BBD}" type="presParOf" srcId="{C2834D67-1B59-4D84-811A-6C0F3E18BFAA}" destId="{61A99037-0A64-4D7B-8D47-CB56B8403738}" srcOrd="5" destOrd="0" presId="urn:microsoft.com/office/officeart/2005/8/layout/orgChart1"/>
    <dgm:cxn modelId="{2E7D7983-7046-43C0-81B6-1C87C1E68C9E}" type="presParOf" srcId="{61A99037-0A64-4D7B-8D47-CB56B8403738}" destId="{2D815E15-3F35-44C8-9CBB-2D2710E4DEEF}" srcOrd="0" destOrd="0" presId="urn:microsoft.com/office/officeart/2005/8/layout/orgChart1"/>
    <dgm:cxn modelId="{4149CFD9-4804-4B11-80EC-02D2205D89AD}" type="presParOf" srcId="{2D815E15-3F35-44C8-9CBB-2D2710E4DEEF}" destId="{C96766B7-F547-456F-9E62-D20CEFCD833B}" srcOrd="0" destOrd="0" presId="urn:microsoft.com/office/officeart/2005/8/layout/orgChart1"/>
    <dgm:cxn modelId="{FCF108D1-C314-4630-9EBE-8BC1977BA3EA}" type="presParOf" srcId="{2D815E15-3F35-44C8-9CBB-2D2710E4DEEF}" destId="{D9E7E0F6-F893-4111-91B0-93E9699CA423}" srcOrd="1" destOrd="0" presId="urn:microsoft.com/office/officeart/2005/8/layout/orgChart1"/>
    <dgm:cxn modelId="{544CD158-AB37-4137-8691-8FBF303A595A}" type="presParOf" srcId="{61A99037-0A64-4D7B-8D47-CB56B8403738}" destId="{381A82B9-4118-48E5-A74B-E144AE1A2540}" srcOrd="1" destOrd="0" presId="urn:microsoft.com/office/officeart/2005/8/layout/orgChart1"/>
    <dgm:cxn modelId="{7DCC24A6-1B41-4D30-90DD-318EFBDC4B38}" type="presParOf" srcId="{61A99037-0A64-4D7B-8D47-CB56B8403738}" destId="{329CBD86-7CB0-4B36-BA7B-CF80619BDB4B}" srcOrd="2" destOrd="0" presId="urn:microsoft.com/office/officeart/2005/8/layout/orgChart1"/>
    <dgm:cxn modelId="{61F7DAEE-129A-46A3-A008-0A153A913B20}" type="presParOf" srcId="{C2834D67-1B59-4D84-811A-6C0F3E18BFAA}" destId="{35E478AA-18B8-4CA9-84BA-FA5987F1AE98}" srcOrd="6" destOrd="0" presId="urn:microsoft.com/office/officeart/2005/8/layout/orgChart1"/>
    <dgm:cxn modelId="{725037DF-6EDA-4414-82F6-942841078CBF}" type="presParOf" srcId="{C2834D67-1B59-4D84-811A-6C0F3E18BFAA}" destId="{0831DE57-5938-458C-884B-5DFC6DE82AD3}" srcOrd="7" destOrd="0" presId="urn:microsoft.com/office/officeart/2005/8/layout/orgChart1"/>
    <dgm:cxn modelId="{C790CA2F-243A-4509-829B-B8AE1938CDD8}" type="presParOf" srcId="{0831DE57-5938-458C-884B-5DFC6DE82AD3}" destId="{9628F08A-0A7F-4C2C-A11E-E8D008B6419D}" srcOrd="0" destOrd="0" presId="urn:microsoft.com/office/officeart/2005/8/layout/orgChart1"/>
    <dgm:cxn modelId="{3E47DA47-13E9-40D2-AB40-92A8D3139A3B}" type="presParOf" srcId="{9628F08A-0A7F-4C2C-A11E-E8D008B6419D}" destId="{73B18786-CC77-4B94-A7AB-B64F48D0EDC7}" srcOrd="0" destOrd="0" presId="urn:microsoft.com/office/officeart/2005/8/layout/orgChart1"/>
    <dgm:cxn modelId="{FCA688D1-F0E9-4959-A33D-1D8CCE48335B}" type="presParOf" srcId="{9628F08A-0A7F-4C2C-A11E-E8D008B6419D}" destId="{B3760C83-E9D5-4F73-8CB7-197D9BC2E076}" srcOrd="1" destOrd="0" presId="urn:microsoft.com/office/officeart/2005/8/layout/orgChart1"/>
    <dgm:cxn modelId="{0B8AB30B-A63A-49B9-B51A-5D19CDD41576}" type="presParOf" srcId="{0831DE57-5938-458C-884B-5DFC6DE82AD3}" destId="{98C3E8AA-C740-4AD9-B6D8-6197030ED737}" srcOrd="1" destOrd="0" presId="urn:microsoft.com/office/officeart/2005/8/layout/orgChart1"/>
    <dgm:cxn modelId="{938E842C-1144-4810-B9FF-C46221875BA8}" type="presParOf" srcId="{0831DE57-5938-458C-884B-5DFC6DE82AD3}" destId="{84765EA5-BC46-4245-9D83-39B0AD1533E5}" srcOrd="2" destOrd="0" presId="urn:microsoft.com/office/officeart/2005/8/layout/orgChart1"/>
    <dgm:cxn modelId="{35C5FB61-8AB7-44E7-8207-4657ED0929E1}" type="presParOf" srcId="{C2834D67-1B59-4D84-811A-6C0F3E18BFAA}" destId="{C43911D3-8527-4AD2-BDB0-275B12FD30C2}" srcOrd="8" destOrd="0" presId="urn:microsoft.com/office/officeart/2005/8/layout/orgChart1"/>
    <dgm:cxn modelId="{94084F1D-2556-495E-ABC8-F37CE382F6C7}" type="presParOf" srcId="{C2834D67-1B59-4D84-811A-6C0F3E18BFAA}" destId="{E2CDF11D-FCE7-4033-AAEE-8290F9DECFB4}" srcOrd="9" destOrd="0" presId="urn:microsoft.com/office/officeart/2005/8/layout/orgChart1"/>
    <dgm:cxn modelId="{86FD9E37-BAC2-45D3-8F04-075161562775}" type="presParOf" srcId="{E2CDF11D-FCE7-4033-AAEE-8290F9DECFB4}" destId="{05388DE6-7DFC-42A4-A350-B8AE1E4D7F19}" srcOrd="0" destOrd="0" presId="urn:microsoft.com/office/officeart/2005/8/layout/orgChart1"/>
    <dgm:cxn modelId="{C3C7F09A-15CC-42F5-B557-8A9951B67CC5}" type="presParOf" srcId="{05388DE6-7DFC-42A4-A350-B8AE1E4D7F19}" destId="{FFE9500E-0F98-4C57-841E-0D542BF9D259}" srcOrd="0" destOrd="0" presId="urn:microsoft.com/office/officeart/2005/8/layout/orgChart1"/>
    <dgm:cxn modelId="{042BAFB3-EC7C-40B2-9BDF-5025A13FE2C0}" type="presParOf" srcId="{05388DE6-7DFC-42A4-A350-B8AE1E4D7F19}" destId="{A35D8901-F6FF-48CB-B14B-0EB8FAFC1C4D}" srcOrd="1" destOrd="0" presId="urn:microsoft.com/office/officeart/2005/8/layout/orgChart1"/>
    <dgm:cxn modelId="{A8CC05B9-9368-4C23-B091-F521149F1712}" type="presParOf" srcId="{E2CDF11D-FCE7-4033-AAEE-8290F9DECFB4}" destId="{4A3069C6-A16D-4723-8E4E-9A81E0E30B59}" srcOrd="1" destOrd="0" presId="urn:microsoft.com/office/officeart/2005/8/layout/orgChart1"/>
    <dgm:cxn modelId="{B222170C-B3F3-4D3D-BA7C-7707D61833AA}" type="presParOf" srcId="{E2CDF11D-FCE7-4033-AAEE-8290F9DECFB4}" destId="{13611196-161A-4799-823E-1EE2F7858E8B}" srcOrd="2" destOrd="0" presId="urn:microsoft.com/office/officeart/2005/8/layout/orgChart1"/>
    <dgm:cxn modelId="{ABE48FAF-DE15-47C4-B441-ECE55C3446FC}" type="presParOf" srcId="{C2834D67-1B59-4D84-811A-6C0F3E18BFAA}" destId="{92AF555F-0BF7-4799-96DD-B37FFAE245DF}" srcOrd="10" destOrd="0" presId="urn:microsoft.com/office/officeart/2005/8/layout/orgChart1"/>
    <dgm:cxn modelId="{B42A75D8-A28A-47BE-A405-A4CB026BC85F}" type="presParOf" srcId="{C2834D67-1B59-4D84-811A-6C0F3E18BFAA}" destId="{F8F7D9DC-D0A3-4C8B-ADC9-A124DB62C5DF}" srcOrd="11" destOrd="0" presId="urn:microsoft.com/office/officeart/2005/8/layout/orgChart1"/>
    <dgm:cxn modelId="{CE854D39-2BFB-4BE2-9E1C-3B1FC5B7A601}" type="presParOf" srcId="{F8F7D9DC-D0A3-4C8B-ADC9-A124DB62C5DF}" destId="{744A1299-CFE8-4E64-9387-C1EE53BAC8E2}" srcOrd="0" destOrd="0" presId="urn:microsoft.com/office/officeart/2005/8/layout/orgChart1"/>
    <dgm:cxn modelId="{D4B1015A-5FEB-45A1-A864-E4D0B128B084}" type="presParOf" srcId="{744A1299-CFE8-4E64-9387-C1EE53BAC8E2}" destId="{B96D23AE-E7BD-45CD-963E-3B8C790822F2}" srcOrd="0" destOrd="0" presId="urn:microsoft.com/office/officeart/2005/8/layout/orgChart1"/>
    <dgm:cxn modelId="{8988E5A8-1E9E-43AB-9A23-8AB81F6FE588}" type="presParOf" srcId="{744A1299-CFE8-4E64-9387-C1EE53BAC8E2}" destId="{4357D7F3-2E2D-4FBC-82A5-7D8BF15C43AA}" srcOrd="1" destOrd="0" presId="urn:microsoft.com/office/officeart/2005/8/layout/orgChart1"/>
    <dgm:cxn modelId="{326B579D-6C0D-487B-8626-8F998FAF7F5C}" type="presParOf" srcId="{F8F7D9DC-D0A3-4C8B-ADC9-A124DB62C5DF}" destId="{41BE6FFF-F68B-4CFA-8752-7101DB1907C3}" srcOrd="1" destOrd="0" presId="urn:microsoft.com/office/officeart/2005/8/layout/orgChart1"/>
    <dgm:cxn modelId="{2EAC1478-AF60-41FE-85FE-404C5409EA73}" type="presParOf" srcId="{F8F7D9DC-D0A3-4C8B-ADC9-A124DB62C5DF}" destId="{A8170EDE-56CC-4C21-8CC4-E101CC3C6DEB}" srcOrd="2" destOrd="0" presId="urn:microsoft.com/office/officeart/2005/8/layout/orgChart1"/>
    <dgm:cxn modelId="{556CB3B9-1C5C-4CD2-9BB6-C86B94B94491}" type="presParOf" srcId="{A45AE163-2DCC-434C-98D9-07AA8C6241E7}" destId="{034A81BF-8AAB-412B-9E40-A214E752385C}" srcOrd="2" destOrd="0" presId="urn:microsoft.com/office/officeart/2005/8/layout/orgChart1"/>
    <dgm:cxn modelId="{D9DFF7DC-CE7D-4769-B117-880290C06A82}" type="presParOf" srcId="{DD33EDCB-1202-470E-B792-F9DF1032D868}" destId="{415616F2-41FD-479C-BBD5-41D1505D1481}" srcOrd="2" destOrd="0" presId="urn:microsoft.com/office/officeart/2005/8/layout/orgChart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052E1D-09A6-4002-9BEE-78C56441E48C}">
      <dsp:nvSpPr>
        <dsp:cNvPr id="0" name=""/>
        <dsp:cNvSpPr/>
      </dsp:nvSpPr>
      <dsp:spPr>
        <a:xfrm>
          <a:off x="2835275" y="566994"/>
          <a:ext cx="118652" cy="2124448"/>
        </a:xfrm>
        <a:custGeom>
          <a:avLst/>
          <a:gdLst/>
          <a:ahLst/>
          <a:cxnLst/>
          <a:rect l="0" t="0" r="0" b="0"/>
          <a:pathLst>
            <a:path>
              <a:moveTo>
                <a:pt x="0" y="0"/>
              </a:moveTo>
              <a:lnTo>
                <a:pt x="0" y="2124448"/>
              </a:lnTo>
              <a:lnTo>
                <a:pt x="118652" y="2124448"/>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CAC743-E0F6-4261-86C8-E35BBC8C19BC}">
      <dsp:nvSpPr>
        <dsp:cNvPr id="0" name=""/>
        <dsp:cNvSpPr/>
      </dsp:nvSpPr>
      <dsp:spPr>
        <a:xfrm>
          <a:off x="2716622" y="566994"/>
          <a:ext cx="118652" cy="2124448"/>
        </a:xfrm>
        <a:custGeom>
          <a:avLst/>
          <a:gdLst/>
          <a:ahLst/>
          <a:cxnLst/>
          <a:rect l="0" t="0" r="0" b="0"/>
          <a:pathLst>
            <a:path>
              <a:moveTo>
                <a:pt x="118652" y="0"/>
              </a:moveTo>
              <a:lnTo>
                <a:pt x="118652" y="2124448"/>
              </a:lnTo>
              <a:lnTo>
                <a:pt x="0" y="2124448"/>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AFA82F7-8D2D-4D7D-AE3B-613D72396D18}">
      <dsp:nvSpPr>
        <dsp:cNvPr id="0" name=""/>
        <dsp:cNvSpPr/>
      </dsp:nvSpPr>
      <dsp:spPr>
        <a:xfrm>
          <a:off x="2835275" y="566994"/>
          <a:ext cx="118652" cy="1322130"/>
        </a:xfrm>
        <a:custGeom>
          <a:avLst/>
          <a:gdLst/>
          <a:ahLst/>
          <a:cxnLst/>
          <a:rect l="0" t="0" r="0" b="0"/>
          <a:pathLst>
            <a:path>
              <a:moveTo>
                <a:pt x="0" y="0"/>
              </a:moveTo>
              <a:lnTo>
                <a:pt x="0" y="1322130"/>
              </a:lnTo>
              <a:lnTo>
                <a:pt x="118652" y="1322130"/>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5719A06-86D7-4083-9E6E-97A0F9AD03F1}">
      <dsp:nvSpPr>
        <dsp:cNvPr id="0" name=""/>
        <dsp:cNvSpPr/>
      </dsp:nvSpPr>
      <dsp:spPr>
        <a:xfrm>
          <a:off x="2716622" y="566994"/>
          <a:ext cx="118652" cy="1322130"/>
        </a:xfrm>
        <a:custGeom>
          <a:avLst/>
          <a:gdLst/>
          <a:ahLst/>
          <a:cxnLst/>
          <a:rect l="0" t="0" r="0" b="0"/>
          <a:pathLst>
            <a:path>
              <a:moveTo>
                <a:pt x="118652" y="0"/>
              </a:moveTo>
              <a:lnTo>
                <a:pt x="118652" y="1322130"/>
              </a:lnTo>
              <a:lnTo>
                <a:pt x="0" y="1322130"/>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440683-A74D-447B-8738-69A28CA93319}">
      <dsp:nvSpPr>
        <dsp:cNvPr id="0" name=""/>
        <dsp:cNvSpPr/>
      </dsp:nvSpPr>
      <dsp:spPr>
        <a:xfrm>
          <a:off x="2835275" y="566994"/>
          <a:ext cx="118652" cy="519811"/>
        </a:xfrm>
        <a:custGeom>
          <a:avLst/>
          <a:gdLst/>
          <a:ahLst/>
          <a:cxnLst/>
          <a:rect l="0" t="0" r="0" b="0"/>
          <a:pathLst>
            <a:path>
              <a:moveTo>
                <a:pt x="0" y="0"/>
              </a:moveTo>
              <a:lnTo>
                <a:pt x="0" y="519811"/>
              </a:lnTo>
              <a:lnTo>
                <a:pt x="118652" y="519811"/>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7683818-11D0-4E28-8F9E-7993571540BB}">
      <dsp:nvSpPr>
        <dsp:cNvPr id="0" name=""/>
        <dsp:cNvSpPr/>
      </dsp:nvSpPr>
      <dsp:spPr>
        <a:xfrm>
          <a:off x="2716622" y="566994"/>
          <a:ext cx="118652" cy="519811"/>
        </a:xfrm>
        <a:custGeom>
          <a:avLst/>
          <a:gdLst/>
          <a:ahLst/>
          <a:cxnLst/>
          <a:rect l="0" t="0" r="0" b="0"/>
          <a:pathLst>
            <a:path>
              <a:moveTo>
                <a:pt x="118652" y="0"/>
              </a:moveTo>
              <a:lnTo>
                <a:pt x="118652" y="519811"/>
              </a:lnTo>
              <a:lnTo>
                <a:pt x="0" y="519811"/>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8C536E-8FC4-4499-9BEC-74DDECEB465F}">
      <dsp:nvSpPr>
        <dsp:cNvPr id="0" name=""/>
        <dsp:cNvSpPr/>
      </dsp:nvSpPr>
      <dsp:spPr>
        <a:xfrm>
          <a:off x="2835275" y="566994"/>
          <a:ext cx="2050997" cy="2644260"/>
        </a:xfrm>
        <a:custGeom>
          <a:avLst/>
          <a:gdLst/>
          <a:ahLst/>
          <a:cxnLst/>
          <a:rect l="0" t="0" r="0" b="0"/>
          <a:pathLst>
            <a:path>
              <a:moveTo>
                <a:pt x="0" y="0"/>
              </a:moveTo>
              <a:lnTo>
                <a:pt x="0" y="2525608"/>
              </a:lnTo>
              <a:lnTo>
                <a:pt x="2050997" y="2525608"/>
              </a:lnTo>
              <a:lnTo>
                <a:pt x="2050997" y="2644260"/>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9A78C3C-32D0-48C3-B51D-C281AAB9F9E9}">
      <dsp:nvSpPr>
        <dsp:cNvPr id="0" name=""/>
        <dsp:cNvSpPr/>
      </dsp:nvSpPr>
      <dsp:spPr>
        <a:xfrm>
          <a:off x="2835275" y="566994"/>
          <a:ext cx="683665" cy="2644260"/>
        </a:xfrm>
        <a:custGeom>
          <a:avLst/>
          <a:gdLst/>
          <a:ahLst/>
          <a:cxnLst/>
          <a:rect l="0" t="0" r="0" b="0"/>
          <a:pathLst>
            <a:path>
              <a:moveTo>
                <a:pt x="0" y="0"/>
              </a:moveTo>
              <a:lnTo>
                <a:pt x="0" y="2525608"/>
              </a:lnTo>
              <a:lnTo>
                <a:pt x="683665" y="2525608"/>
              </a:lnTo>
              <a:lnTo>
                <a:pt x="683665" y="2644260"/>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276139-34B5-4726-9381-6CE12B03B2DC}">
      <dsp:nvSpPr>
        <dsp:cNvPr id="0" name=""/>
        <dsp:cNvSpPr/>
      </dsp:nvSpPr>
      <dsp:spPr>
        <a:xfrm>
          <a:off x="2151609" y="566994"/>
          <a:ext cx="683665" cy="2644260"/>
        </a:xfrm>
        <a:custGeom>
          <a:avLst/>
          <a:gdLst/>
          <a:ahLst/>
          <a:cxnLst/>
          <a:rect l="0" t="0" r="0" b="0"/>
          <a:pathLst>
            <a:path>
              <a:moveTo>
                <a:pt x="683665" y="0"/>
              </a:moveTo>
              <a:lnTo>
                <a:pt x="683665" y="2525608"/>
              </a:lnTo>
              <a:lnTo>
                <a:pt x="0" y="2525608"/>
              </a:lnTo>
              <a:lnTo>
                <a:pt x="0" y="2644260"/>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1C0672-DF36-43D8-8B34-5429409D6FDE}">
      <dsp:nvSpPr>
        <dsp:cNvPr id="0" name=""/>
        <dsp:cNvSpPr/>
      </dsp:nvSpPr>
      <dsp:spPr>
        <a:xfrm>
          <a:off x="784277" y="566994"/>
          <a:ext cx="2050997" cy="2644260"/>
        </a:xfrm>
        <a:custGeom>
          <a:avLst/>
          <a:gdLst/>
          <a:ahLst/>
          <a:cxnLst/>
          <a:rect l="0" t="0" r="0" b="0"/>
          <a:pathLst>
            <a:path>
              <a:moveTo>
                <a:pt x="2050997" y="0"/>
              </a:moveTo>
              <a:lnTo>
                <a:pt x="2050997" y="2525608"/>
              </a:lnTo>
              <a:lnTo>
                <a:pt x="0" y="2525608"/>
              </a:lnTo>
              <a:lnTo>
                <a:pt x="0" y="2644260"/>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716EFF-6DD5-42F8-9998-56B1E2B1D26E}">
      <dsp:nvSpPr>
        <dsp:cNvPr id="0" name=""/>
        <dsp:cNvSpPr/>
      </dsp:nvSpPr>
      <dsp:spPr>
        <a:xfrm>
          <a:off x="2270262" y="1981"/>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fr-FR" sz="1400" b="1" kern="1200">
              <a:latin typeface="Times New Roman" panose="02020603050405020304" pitchFamily="18" charset="0"/>
              <a:cs typeface="Times New Roman" panose="02020603050405020304" pitchFamily="18" charset="0"/>
            </a:rPr>
            <a:t>PDG</a:t>
          </a:r>
          <a:endParaRPr lang="x-none" sz="1400" b="1" kern="1200">
            <a:latin typeface="Times New Roman" panose="02020603050405020304" pitchFamily="18" charset="0"/>
            <a:cs typeface="Times New Roman" panose="02020603050405020304" pitchFamily="18" charset="0"/>
          </a:endParaRPr>
        </a:p>
      </dsp:txBody>
      <dsp:txXfrm>
        <a:off x="2270262" y="1981"/>
        <a:ext cx="1130025" cy="565012"/>
      </dsp:txXfrm>
    </dsp:sp>
    <dsp:sp modelId="{52B4EB4A-5BE5-421D-9C14-D9D2CE713246}">
      <dsp:nvSpPr>
        <dsp:cNvPr id="0" name=""/>
        <dsp:cNvSpPr/>
      </dsp:nvSpPr>
      <dsp:spPr>
        <a:xfrm>
          <a:off x="219264" y="3211255"/>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Pôle infrastructures reseaux</a:t>
          </a:r>
          <a:endParaRPr lang="x-none" sz="1100" kern="1200">
            <a:latin typeface="Times New Roman" panose="02020603050405020304" pitchFamily="18" charset="0"/>
            <a:cs typeface="Times New Roman" panose="02020603050405020304" pitchFamily="18" charset="0"/>
          </a:endParaRPr>
        </a:p>
      </dsp:txBody>
      <dsp:txXfrm>
        <a:off x="219264" y="3211255"/>
        <a:ext cx="1130025" cy="565012"/>
      </dsp:txXfrm>
    </dsp:sp>
    <dsp:sp modelId="{871F556F-B16D-4446-BA2B-5F2E8CBCFF09}">
      <dsp:nvSpPr>
        <dsp:cNvPr id="0" name=""/>
        <dsp:cNvSpPr/>
      </dsp:nvSpPr>
      <dsp:spPr>
        <a:xfrm>
          <a:off x="1586596" y="3211255"/>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Pôle commerciale, marketing &amp; innovation</a:t>
          </a:r>
          <a:endParaRPr lang="x-none" sz="1100" kern="1200">
            <a:latin typeface="Times New Roman" panose="02020603050405020304" pitchFamily="18" charset="0"/>
            <a:cs typeface="Times New Roman" panose="02020603050405020304" pitchFamily="18" charset="0"/>
          </a:endParaRPr>
        </a:p>
      </dsp:txBody>
      <dsp:txXfrm>
        <a:off x="1586596" y="3211255"/>
        <a:ext cx="1130025" cy="565012"/>
      </dsp:txXfrm>
    </dsp:sp>
    <dsp:sp modelId="{44AFA4AA-404F-4A90-839E-5BD7DECEE76D}">
      <dsp:nvSpPr>
        <dsp:cNvPr id="0" name=""/>
        <dsp:cNvSpPr/>
      </dsp:nvSpPr>
      <dsp:spPr>
        <a:xfrm>
          <a:off x="2953927" y="3211255"/>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Pôle fonctions support</a:t>
          </a:r>
          <a:endParaRPr lang="x-none" sz="1100" kern="1200">
            <a:latin typeface="Times New Roman" panose="02020603050405020304" pitchFamily="18" charset="0"/>
            <a:cs typeface="Times New Roman" panose="02020603050405020304" pitchFamily="18" charset="0"/>
          </a:endParaRPr>
        </a:p>
      </dsp:txBody>
      <dsp:txXfrm>
        <a:off x="2953927" y="3211255"/>
        <a:ext cx="1130025" cy="565012"/>
      </dsp:txXfrm>
    </dsp:sp>
    <dsp:sp modelId="{5D097847-D4EF-4534-8948-BC1E2723462B}">
      <dsp:nvSpPr>
        <dsp:cNvPr id="0" name=""/>
        <dsp:cNvSpPr/>
      </dsp:nvSpPr>
      <dsp:spPr>
        <a:xfrm>
          <a:off x="4321259" y="3211255"/>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Directions operationnelles (DO)</a:t>
          </a:r>
          <a:endParaRPr lang="x-none" sz="1100" kern="1200">
            <a:latin typeface="Times New Roman" panose="02020603050405020304" pitchFamily="18" charset="0"/>
            <a:cs typeface="Times New Roman" panose="02020603050405020304" pitchFamily="18" charset="0"/>
          </a:endParaRPr>
        </a:p>
      </dsp:txBody>
      <dsp:txXfrm>
        <a:off x="4321259" y="3211255"/>
        <a:ext cx="1130025" cy="565012"/>
      </dsp:txXfrm>
    </dsp:sp>
    <dsp:sp modelId="{274136BA-7A80-4BDB-97A3-6071FA0D227F}">
      <dsp:nvSpPr>
        <dsp:cNvPr id="0" name=""/>
        <dsp:cNvSpPr/>
      </dsp:nvSpPr>
      <dsp:spPr>
        <a:xfrm>
          <a:off x="1586596" y="804300"/>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Dir.surete interne</a:t>
          </a:r>
          <a:endParaRPr lang="x-none" sz="1100" kern="1200">
            <a:latin typeface="Times New Roman" panose="02020603050405020304" pitchFamily="18" charset="0"/>
            <a:cs typeface="Times New Roman" panose="02020603050405020304" pitchFamily="18" charset="0"/>
          </a:endParaRPr>
        </a:p>
      </dsp:txBody>
      <dsp:txXfrm>
        <a:off x="1586596" y="804300"/>
        <a:ext cx="1130025" cy="565012"/>
      </dsp:txXfrm>
    </dsp:sp>
    <dsp:sp modelId="{9F5F58D5-6FB1-48DF-BF6F-4B13E8FBCA02}">
      <dsp:nvSpPr>
        <dsp:cNvPr id="0" name=""/>
        <dsp:cNvSpPr/>
      </dsp:nvSpPr>
      <dsp:spPr>
        <a:xfrm>
          <a:off x="2953927" y="804300"/>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Cabinet du PDG</a:t>
          </a:r>
          <a:endParaRPr lang="x-none" sz="1100" kern="1200">
            <a:latin typeface="Times New Roman" panose="02020603050405020304" pitchFamily="18" charset="0"/>
            <a:cs typeface="Times New Roman" panose="02020603050405020304" pitchFamily="18" charset="0"/>
          </a:endParaRPr>
        </a:p>
      </dsp:txBody>
      <dsp:txXfrm>
        <a:off x="2953927" y="804300"/>
        <a:ext cx="1130025" cy="565012"/>
      </dsp:txXfrm>
    </dsp:sp>
    <dsp:sp modelId="{E87A623A-9404-4097-B541-D04C53BAAF78}">
      <dsp:nvSpPr>
        <dsp:cNvPr id="0" name=""/>
        <dsp:cNvSpPr/>
      </dsp:nvSpPr>
      <dsp:spPr>
        <a:xfrm>
          <a:off x="1586596" y="1606618"/>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Reso.Securite SI</a:t>
          </a:r>
          <a:endParaRPr lang="x-none" sz="1100" kern="1200">
            <a:latin typeface="Times New Roman" panose="02020603050405020304" pitchFamily="18" charset="0"/>
            <a:cs typeface="Times New Roman" panose="02020603050405020304" pitchFamily="18" charset="0"/>
          </a:endParaRPr>
        </a:p>
      </dsp:txBody>
      <dsp:txXfrm>
        <a:off x="1586596" y="1606618"/>
        <a:ext cx="1130025" cy="565012"/>
      </dsp:txXfrm>
    </dsp:sp>
    <dsp:sp modelId="{C4180BBB-3300-418F-BE93-1234A59552A6}">
      <dsp:nvSpPr>
        <dsp:cNvPr id="0" name=""/>
        <dsp:cNvSpPr/>
      </dsp:nvSpPr>
      <dsp:spPr>
        <a:xfrm>
          <a:off x="2953927" y="1606618"/>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Inspection générale</a:t>
          </a:r>
          <a:endParaRPr lang="x-none" sz="1100" kern="1200">
            <a:latin typeface="Times New Roman" panose="02020603050405020304" pitchFamily="18" charset="0"/>
            <a:cs typeface="Times New Roman" panose="02020603050405020304" pitchFamily="18" charset="0"/>
          </a:endParaRPr>
        </a:p>
      </dsp:txBody>
      <dsp:txXfrm>
        <a:off x="2953927" y="1606618"/>
        <a:ext cx="1130025" cy="565012"/>
      </dsp:txXfrm>
    </dsp:sp>
    <dsp:sp modelId="{902AD5BD-A4EC-43C3-88AC-CA19CF7BF488}">
      <dsp:nvSpPr>
        <dsp:cNvPr id="0" name=""/>
        <dsp:cNvSpPr/>
      </dsp:nvSpPr>
      <dsp:spPr>
        <a:xfrm>
          <a:off x="1586596" y="2408936"/>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Div.strategie</a:t>
          </a:r>
          <a:endParaRPr lang="x-none" sz="1100" kern="1200">
            <a:latin typeface="Times New Roman" panose="02020603050405020304" pitchFamily="18" charset="0"/>
            <a:cs typeface="Times New Roman" panose="02020603050405020304" pitchFamily="18" charset="0"/>
          </a:endParaRPr>
        </a:p>
      </dsp:txBody>
      <dsp:txXfrm>
        <a:off x="1586596" y="2408936"/>
        <a:ext cx="1130025" cy="565012"/>
      </dsp:txXfrm>
    </dsp:sp>
    <dsp:sp modelId="{B4D1D39D-DD14-4BE4-B46B-00560B21CDFA}">
      <dsp:nvSpPr>
        <dsp:cNvPr id="0" name=""/>
        <dsp:cNvSpPr/>
      </dsp:nvSpPr>
      <dsp:spPr>
        <a:xfrm>
          <a:off x="2953927" y="2408936"/>
          <a:ext cx="1130025" cy="565012"/>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fr-FR" sz="1100" kern="1200">
              <a:latin typeface="Times New Roman" panose="02020603050405020304" pitchFamily="18" charset="0"/>
              <a:cs typeface="Times New Roman" panose="02020603050405020304" pitchFamily="18" charset="0"/>
            </a:rPr>
            <a:t>Div.audit</a:t>
          </a:r>
          <a:endParaRPr lang="x-none" sz="1100" kern="1200">
            <a:latin typeface="Times New Roman" panose="02020603050405020304" pitchFamily="18" charset="0"/>
            <a:cs typeface="Times New Roman" panose="02020603050405020304" pitchFamily="18" charset="0"/>
          </a:endParaRPr>
        </a:p>
      </dsp:txBody>
      <dsp:txXfrm>
        <a:off x="2953927" y="2408936"/>
        <a:ext cx="1130025" cy="5650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AF555F-0BF7-4799-96DD-B37FFAE245DF}">
      <dsp:nvSpPr>
        <dsp:cNvPr id="0" name=""/>
        <dsp:cNvSpPr/>
      </dsp:nvSpPr>
      <dsp:spPr>
        <a:xfrm>
          <a:off x="3859624" y="1255252"/>
          <a:ext cx="209899" cy="3390536"/>
        </a:xfrm>
        <a:custGeom>
          <a:avLst/>
          <a:gdLst/>
          <a:ahLst/>
          <a:cxnLst/>
          <a:rect l="0" t="0" r="0" b="0"/>
          <a:pathLst>
            <a:path>
              <a:moveTo>
                <a:pt x="0" y="0"/>
              </a:moveTo>
              <a:lnTo>
                <a:pt x="0" y="3390536"/>
              </a:lnTo>
              <a:lnTo>
                <a:pt x="209899" y="339053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43911D3-8527-4AD2-BDB0-275B12FD30C2}">
      <dsp:nvSpPr>
        <dsp:cNvPr id="0" name=""/>
        <dsp:cNvSpPr/>
      </dsp:nvSpPr>
      <dsp:spPr>
        <a:xfrm>
          <a:off x="3859624" y="1255252"/>
          <a:ext cx="209899" cy="2790216"/>
        </a:xfrm>
        <a:custGeom>
          <a:avLst/>
          <a:gdLst/>
          <a:ahLst/>
          <a:cxnLst/>
          <a:rect l="0" t="0" r="0" b="0"/>
          <a:pathLst>
            <a:path>
              <a:moveTo>
                <a:pt x="0" y="0"/>
              </a:moveTo>
              <a:lnTo>
                <a:pt x="0" y="2790216"/>
              </a:lnTo>
              <a:lnTo>
                <a:pt x="209899" y="2790216"/>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5E478AA-18B8-4CA9-84BA-FA5987F1AE98}">
      <dsp:nvSpPr>
        <dsp:cNvPr id="0" name=""/>
        <dsp:cNvSpPr/>
      </dsp:nvSpPr>
      <dsp:spPr>
        <a:xfrm>
          <a:off x="3859624" y="1255252"/>
          <a:ext cx="209899" cy="2189897"/>
        </a:xfrm>
        <a:custGeom>
          <a:avLst/>
          <a:gdLst/>
          <a:ahLst/>
          <a:cxnLst/>
          <a:rect l="0" t="0" r="0" b="0"/>
          <a:pathLst>
            <a:path>
              <a:moveTo>
                <a:pt x="0" y="0"/>
              </a:moveTo>
              <a:lnTo>
                <a:pt x="0" y="2189897"/>
              </a:lnTo>
              <a:lnTo>
                <a:pt x="209899" y="2189897"/>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0CF2FC-4ECA-4363-926A-DA40120E01D1}">
      <dsp:nvSpPr>
        <dsp:cNvPr id="0" name=""/>
        <dsp:cNvSpPr/>
      </dsp:nvSpPr>
      <dsp:spPr>
        <a:xfrm>
          <a:off x="3859624" y="1255252"/>
          <a:ext cx="209899" cy="1589578"/>
        </a:xfrm>
        <a:custGeom>
          <a:avLst/>
          <a:gdLst/>
          <a:ahLst/>
          <a:cxnLst/>
          <a:rect l="0" t="0" r="0" b="0"/>
          <a:pathLst>
            <a:path>
              <a:moveTo>
                <a:pt x="0" y="0"/>
              </a:moveTo>
              <a:lnTo>
                <a:pt x="0" y="1589578"/>
              </a:lnTo>
              <a:lnTo>
                <a:pt x="209899" y="1589578"/>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A9F66B0-B6D2-4DB2-B04C-20FEAA8A94D5}">
      <dsp:nvSpPr>
        <dsp:cNvPr id="0" name=""/>
        <dsp:cNvSpPr/>
      </dsp:nvSpPr>
      <dsp:spPr>
        <a:xfrm>
          <a:off x="3859624" y="1255252"/>
          <a:ext cx="209899" cy="989258"/>
        </a:xfrm>
        <a:custGeom>
          <a:avLst/>
          <a:gdLst/>
          <a:ahLst/>
          <a:cxnLst/>
          <a:rect l="0" t="0" r="0" b="0"/>
          <a:pathLst>
            <a:path>
              <a:moveTo>
                <a:pt x="0" y="0"/>
              </a:moveTo>
              <a:lnTo>
                <a:pt x="0" y="989258"/>
              </a:lnTo>
              <a:lnTo>
                <a:pt x="209899" y="989258"/>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7FA5BD-2BBA-450E-BB86-135D2B966DD5}">
      <dsp:nvSpPr>
        <dsp:cNvPr id="0" name=""/>
        <dsp:cNvSpPr/>
      </dsp:nvSpPr>
      <dsp:spPr>
        <a:xfrm>
          <a:off x="3859624" y="1255252"/>
          <a:ext cx="209899" cy="388939"/>
        </a:xfrm>
        <a:custGeom>
          <a:avLst/>
          <a:gdLst/>
          <a:ahLst/>
          <a:cxnLst/>
          <a:rect l="0" t="0" r="0" b="0"/>
          <a:pathLst>
            <a:path>
              <a:moveTo>
                <a:pt x="0" y="0"/>
              </a:moveTo>
              <a:lnTo>
                <a:pt x="0" y="388939"/>
              </a:lnTo>
              <a:lnTo>
                <a:pt x="209899" y="388939"/>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B22DC0-03E6-40B0-9493-B0521BC1AD46}">
      <dsp:nvSpPr>
        <dsp:cNvPr id="0" name=""/>
        <dsp:cNvSpPr/>
      </dsp:nvSpPr>
      <dsp:spPr>
        <a:xfrm>
          <a:off x="2685565" y="654352"/>
          <a:ext cx="1733790" cy="178140"/>
        </a:xfrm>
        <a:custGeom>
          <a:avLst/>
          <a:gdLst/>
          <a:ahLst/>
          <a:cxnLst/>
          <a:rect l="0" t="0" r="0" b="0"/>
          <a:pathLst>
            <a:path>
              <a:moveTo>
                <a:pt x="0" y="0"/>
              </a:moveTo>
              <a:lnTo>
                <a:pt x="0" y="89360"/>
              </a:lnTo>
              <a:lnTo>
                <a:pt x="1733790" y="89360"/>
              </a:lnTo>
              <a:lnTo>
                <a:pt x="1733790" y="178140"/>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83AB98B-E86E-4D34-8225-624C872ABF1F}">
      <dsp:nvSpPr>
        <dsp:cNvPr id="0" name=""/>
        <dsp:cNvSpPr/>
      </dsp:nvSpPr>
      <dsp:spPr>
        <a:xfrm>
          <a:off x="1997541" y="1255252"/>
          <a:ext cx="257431" cy="2189897"/>
        </a:xfrm>
        <a:custGeom>
          <a:avLst/>
          <a:gdLst/>
          <a:ahLst/>
          <a:cxnLst/>
          <a:rect l="0" t="0" r="0" b="0"/>
          <a:pathLst>
            <a:path>
              <a:moveTo>
                <a:pt x="0" y="0"/>
              </a:moveTo>
              <a:lnTo>
                <a:pt x="0" y="2189897"/>
              </a:lnTo>
              <a:lnTo>
                <a:pt x="257431" y="2189897"/>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C739C8-8EAB-4525-A506-FEBC8E4BD2D7}">
      <dsp:nvSpPr>
        <dsp:cNvPr id="0" name=""/>
        <dsp:cNvSpPr/>
      </dsp:nvSpPr>
      <dsp:spPr>
        <a:xfrm>
          <a:off x="1997541" y="1255252"/>
          <a:ext cx="257431" cy="1589578"/>
        </a:xfrm>
        <a:custGeom>
          <a:avLst/>
          <a:gdLst/>
          <a:ahLst/>
          <a:cxnLst/>
          <a:rect l="0" t="0" r="0" b="0"/>
          <a:pathLst>
            <a:path>
              <a:moveTo>
                <a:pt x="0" y="0"/>
              </a:moveTo>
              <a:lnTo>
                <a:pt x="0" y="1589578"/>
              </a:lnTo>
              <a:lnTo>
                <a:pt x="257431" y="1589578"/>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8AB4F9-89D1-49A8-B017-CF9D0DC2E8C3}">
      <dsp:nvSpPr>
        <dsp:cNvPr id="0" name=""/>
        <dsp:cNvSpPr/>
      </dsp:nvSpPr>
      <dsp:spPr>
        <a:xfrm>
          <a:off x="1997541" y="1255252"/>
          <a:ext cx="257431" cy="989258"/>
        </a:xfrm>
        <a:custGeom>
          <a:avLst/>
          <a:gdLst/>
          <a:ahLst/>
          <a:cxnLst/>
          <a:rect l="0" t="0" r="0" b="0"/>
          <a:pathLst>
            <a:path>
              <a:moveTo>
                <a:pt x="0" y="0"/>
              </a:moveTo>
              <a:lnTo>
                <a:pt x="0" y="989258"/>
              </a:lnTo>
              <a:lnTo>
                <a:pt x="257431" y="989258"/>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6C3A99-B4C2-436A-AE9D-7BE9890D6543}">
      <dsp:nvSpPr>
        <dsp:cNvPr id="0" name=""/>
        <dsp:cNvSpPr/>
      </dsp:nvSpPr>
      <dsp:spPr>
        <a:xfrm>
          <a:off x="1997541" y="1255252"/>
          <a:ext cx="257431" cy="388939"/>
        </a:xfrm>
        <a:custGeom>
          <a:avLst/>
          <a:gdLst/>
          <a:ahLst/>
          <a:cxnLst/>
          <a:rect l="0" t="0" r="0" b="0"/>
          <a:pathLst>
            <a:path>
              <a:moveTo>
                <a:pt x="0" y="0"/>
              </a:moveTo>
              <a:lnTo>
                <a:pt x="0" y="388939"/>
              </a:lnTo>
              <a:lnTo>
                <a:pt x="257431" y="388939"/>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E1DFFBC-6031-4CA4-B5D5-2B76A7C9402F}">
      <dsp:nvSpPr>
        <dsp:cNvPr id="0" name=""/>
        <dsp:cNvSpPr/>
      </dsp:nvSpPr>
      <dsp:spPr>
        <a:xfrm>
          <a:off x="2638306" y="654352"/>
          <a:ext cx="91440" cy="178140"/>
        </a:xfrm>
        <a:custGeom>
          <a:avLst/>
          <a:gdLst/>
          <a:ahLst/>
          <a:cxnLst/>
          <a:rect l="0" t="0" r="0" b="0"/>
          <a:pathLst>
            <a:path>
              <a:moveTo>
                <a:pt x="47258" y="0"/>
              </a:moveTo>
              <a:lnTo>
                <a:pt x="47258" y="89360"/>
              </a:lnTo>
              <a:lnTo>
                <a:pt x="45720" y="89360"/>
              </a:lnTo>
              <a:lnTo>
                <a:pt x="45720" y="178140"/>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DF94C5-5B91-43AC-AC48-84FE0EE29A0D}">
      <dsp:nvSpPr>
        <dsp:cNvPr id="0" name=""/>
        <dsp:cNvSpPr/>
      </dsp:nvSpPr>
      <dsp:spPr>
        <a:xfrm>
          <a:off x="391736" y="1255252"/>
          <a:ext cx="209437" cy="1589578"/>
        </a:xfrm>
        <a:custGeom>
          <a:avLst/>
          <a:gdLst/>
          <a:ahLst/>
          <a:cxnLst/>
          <a:rect l="0" t="0" r="0" b="0"/>
          <a:pathLst>
            <a:path>
              <a:moveTo>
                <a:pt x="0" y="0"/>
              </a:moveTo>
              <a:lnTo>
                <a:pt x="0" y="1589578"/>
              </a:lnTo>
              <a:lnTo>
                <a:pt x="209437" y="1589578"/>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143A633-1519-4E1D-AC2E-6A7879EBDE0C}">
      <dsp:nvSpPr>
        <dsp:cNvPr id="0" name=""/>
        <dsp:cNvSpPr/>
      </dsp:nvSpPr>
      <dsp:spPr>
        <a:xfrm>
          <a:off x="391736" y="1255252"/>
          <a:ext cx="209437" cy="989258"/>
        </a:xfrm>
        <a:custGeom>
          <a:avLst/>
          <a:gdLst/>
          <a:ahLst/>
          <a:cxnLst/>
          <a:rect l="0" t="0" r="0" b="0"/>
          <a:pathLst>
            <a:path>
              <a:moveTo>
                <a:pt x="0" y="0"/>
              </a:moveTo>
              <a:lnTo>
                <a:pt x="0" y="989258"/>
              </a:lnTo>
              <a:lnTo>
                <a:pt x="209437" y="989258"/>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57E700-C059-4E70-88F9-018B2B37F46E}">
      <dsp:nvSpPr>
        <dsp:cNvPr id="0" name=""/>
        <dsp:cNvSpPr/>
      </dsp:nvSpPr>
      <dsp:spPr>
        <a:xfrm>
          <a:off x="391736" y="1255252"/>
          <a:ext cx="209437" cy="388939"/>
        </a:xfrm>
        <a:custGeom>
          <a:avLst/>
          <a:gdLst/>
          <a:ahLst/>
          <a:cxnLst/>
          <a:rect l="0" t="0" r="0" b="0"/>
          <a:pathLst>
            <a:path>
              <a:moveTo>
                <a:pt x="0" y="0"/>
              </a:moveTo>
              <a:lnTo>
                <a:pt x="0" y="388939"/>
              </a:lnTo>
              <a:lnTo>
                <a:pt x="209437" y="388939"/>
              </a:lnTo>
            </a:path>
          </a:pathLst>
        </a:custGeom>
        <a:no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439EEC-E7E9-4B8C-A4C7-438FFFC06D8B}">
      <dsp:nvSpPr>
        <dsp:cNvPr id="0" name=""/>
        <dsp:cNvSpPr/>
      </dsp:nvSpPr>
      <dsp:spPr>
        <a:xfrm>
          <a:off x="950236" y="654352"/>
          <a:ext cx="1735328" cy="178140"/>
        </a:xfrm>
        <a:custGeom>
          <a:avLst/>
          <a:gdLst/>
          <a:ahLst/>
          <a:cxnLst/>
          <a:rect l="0" t="0" r="0" b="0"/>
          <a:pathLst>
            <a:path>
              <a:moveTo>
                <a:pt x="1735328" y="0"/>
              </a:moveTo>
              <a:lnTo>
                <a:pt x="1735328" y="89360"/>
              </a:lnTo>
              <a:lnTo>
                <a:pt x="0" y="89360"/>
              </a:lnTo>
              <a:lnTo>
                <a:pt x="0" y="178140"/>
              </a:lnTo>
            </a:path>
          </a:pathLst>
        </a:cu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160F6A-0237-46BA-9EB2-78AD444F4EFB}">
      <dsp:nvSpPr>
        <dsp:cNvPr id="0" name=""/>
        <dsp:cNvSpPr/>
      </dsp:nvSpPr>
      <dsp:spPr>
        <a:xfrm>
          <a:off x="1985977" y="0"/>
          <a:ext cx="1399175" cy="654352"/>
        </a:xfrm>
        <a:prstGeom prst="rect">
          <a:avLst/>
        </a:prstGeom>
        <a:solidFill>
          <a:schemeClr val="accent1">
            <a:lumMod val="60000"/>
            <a:lumOff val="40000"/>
          </a:schemeClr>
        </a:solidFill>
        <a:ln w="38100" cap="flat" cmpd="sng" algn="ctr">
          <a:solidFill>
            <a:schemeClr val="accent1"/>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fr-FR" sz="1600" b="1" kern="1200">
              <a:latin typeface="Times New Roman" panose="02020603050405020304" pitchFamily="18" charset="0"/>
              <a:cs typeface="Times New Roman" panose="02020603050405020304" pitchFamily="18" charset="0"/>
            </a:rPr>
            <a:t>Directeur Opérationnel</a:t>
          </a:r>
          <a:endParaRPr lang="x-none" sz="1600" b="1" kern="1200">
            <a:latin typeface="Times New Roman" panose="02020603050405020304" pitchFamily="18" charset="0"/>
            <a:cs typeface="Times New Roman" panose="02020603050405020304" pitchFamily="18" charset="0"/>
          </a:endParaRPr>
        </a:p>
      </dsp:txBody>
      <dsp:txXfrm>
        <a:off x="1985977" y="0"/>
        <a:ext cx="1399175" cy="654352"/>
      </dsp:txXfrm>
    </dsp:sp>
    <dsp:sp modelId="{0F1937E2-75C3-4969-88D7-39AFC1A0642E}">
      <dsp:nvSpPr>
        <dsp:cNvPr id="0" name=""/>
        <dsp:cNvSpPr/>
      </dsp:nvSpPr>
      <dsp:spPr>
        <a:xfrm>
          <a:off x="252111" y="832492"/>
          <a:ext cx="1396249" cy="422760"/>
        </a:xfrm>
        <a:prstGeom prst="roundRect">
          <a:avLst/>
        </a:prstGeom>
        <a:solidFill>
          <a:schemeClr val="accent1">
            <a:lumMod val="20000"/>
            <a:lumOff val="80000"/>
          </a:schemeClr>
        </a:solidFill>
        <a:ln w="28575" cap="flat" cmpd="sng" algn="ctr">
          <a:solidFill>
            <a:schemeClr val="accent1"/>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fr-FR" sz="1600" b="1" kern="1200">
              <a:latin typeface="Times New Roman" panose="02020603050405020304" pitchFamily="18" charset="0"/>
              <a:cs typeface="Times New Roman" panose="02020603050405020304" pitchFamily="18" charset="0"/>
            </a:rPr>
            <a:t>S/D Technique</a:t>
          </a:r>
          <a:endParaRPr lang="x-none" sz="1600" b="1" kern="1200">
            <a:latin typeface="Times New Roman" panose="02020603050405020304" pitchFamily="18" charset="0"/>
            <a:cs typeface="Times New Roman" panose="02020603050405020304" pitchFamily="18" charset="0"/>
          </a:endParaRPr>
        </a:p>
      </dsp:txBody>
      <dsp:txXfrm>
        <a:off x="272748" y="853129"/>
        <a:ext cx="1354975" cy="381486"/>
      </dsp:txXfrm>
    </dsp:sp>
    <dsp:sp modelId="{B1F7DB22-AC3F-4BCC-B47D-D1724E4F713D}">
      <dsp:nvSpPr>
        <dsp:cNvPr id="0" name=""/>
        <dsp:cNvSpPr/>
      </dsp:nvSpPr>
      <dsp:spPr>
        <a:xfrm>
          <a:off x="601174" y="1432811"/>
          <a:ext cx="1250042"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Planification et Suivi</a:t>
          </a:r>
          <a:endParaRPr lang="x-none" sz="1200" b="0" kern="1200">
            <a:latin typeface="Times New Roman" panose="02020603050405020304" pitchFamily="18" charset="0"/>
            <a:cs typeface="Times New Roman" panose="02020603050405020304" pitchFamily="18" charset="0"/>
          </a:endParaRPr>
        </a:p>
      </dsp:txBody>
      <dsp:txXfrm>
        <a:off x="601174" y="1432811"/>
        <a:ext cx="1250042" cy="422760"/>
      </dsp:txXfrm>
    </dsp:sp>
    <dsp:sp modelId="{BC27F625-9512-407A-A3DF-C2A05091F322}">
      <dsp:nvSpPr>
        <dsp:cNvPr id="0" name=""/>
        <dsp:cNvSpPr/>
      </dsp:nvSpPr>
      <dsp:spPr>
        <a:xfrm>
          <a:off x="601174" y="2033131"/>
          <a:ext cx="1260941"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Reseau d'acces</a:t>
          </a:r>
          <a:endParaRPr lang="x-none" sz="1200" b="0" kern="1200">
            <a:latin typeface="Times New Roman" panose="02020603050405020304" pitchFamily="18" charset="0"/>
            <a:cs typeface="Times New Roman" panose="02020603050405020304" pitchFamily="18" charset="0"/>
          </a:endParaRPr>
        </a:p>
      </dsp:txBody>
      <dsp:txXfrm>
        <a:off x="601174" y="2033131"/>
        <a:ext cx="1260941" cy="422760"/>
      </dsp:txXfrm>
    </dsp:sp>
    <dsp:sp modelId="{44237484-D635-488D-B4FB-CAAE0BD692D2}">
      <dsp:nvSpPr>
        <dsp:cNvPr id="0" name=""/>
        <dsp:cNvSpPr/>
      </dsp:nvSpPr>
      <dsp:spPr>
        <a:xfrm>
          <a:off x="601174" y="2633450"/>
          <a:ext cx="1264940"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Reseau de transport</a:t>
          </a:r>
          <a:endParaRPr lang="x-none" sz="1200" b="0" kern="1200">
            <a:latin typeface="Times New Roman" panose="02020603050405020304" pitchFamily="18" charset="0"/>
            <a:cs typeface="Times New Roman" panose="02020603050405020304" pitchFamily="18" charset="0"/>
          </a:endParaRPr>
        </a:p>
      </dsp:txBody>
      <dsp:txXfrm>
        <a:off x="601174" y="2633450"/>
        <a:ext cx="1264940" cy="422760"/>
      </dsp:txXfrm>
    </dsp:sp>
    <dsp:sp modelId="{F6AE1BFC-91CA-4626-81D2-81FF990BA723}">
      <dsp:nvSpPr>
        <dsp:cNvPr id="0" name=""/>
        <dsp:cNvSpPr/>
      </dsp:nvSpPr>
      <dsp:spPr>
        <a:xfrm>
          <a:off x="1825920" y="832492"/>
          <a:ext cx="1716211" cy="422760"/>
        </a:xfrm>
        <a:prstGeom prst="roundRect">
          <a:avLst/>
        </a:prstGeom>
        <a:solidFill>
          <a:schemeClr val="accent1">
            <a:lumMod val="20000"/>
            <a:lumOff val="80000"/>
          </a:schemeClr>
        </a:solidFill>
        <a:ln w="28575" cap="flat" cmpd="sng" algn="ctr">
          <a:solidFill>
            <a:schemeClr val="accent1"/>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fr-FR" sz="1600" b="1" kern="1200">
              <a:latin typeface="Times New Roman" panose="02020603050405020304" pitchFamily="18" charset="0"/>
              <a:cs typeface="Times New Roman" panose="02020603050405020304" pitchFamily="18" charset="0"/>
            </a:rPr>
            <a:t>S/D Commerciale</a:t>
          </a:r>
          <a:endParaRPr lang="x-none" sz="1600" b="1" kern="1200">
            <a:latin typeface="Times New Roman" panose="02020603050405020304" pitchFamily="18" charset="0"/>
            <a:cs typeface="Times New Roman" panose="02020603050405020304" pitchFamily="18" charset="0"/>
          </a:endParaRPr>
        </a:p>
      </dsp:txBody>
      <dsp:txXfrm>
        <a:off x="1846557" y="853129"/>
        <a:ext cx="1674937" cy="381486"/>
      </dsp:txXfrm>
    </dsp:sp>
    <dsp:sp modelId="{D7AEE126-0558-4F62-ABF6-CBAC86A1FB90}">
      <dsp:nvSpPr>
        <dsp:cNvPr id="0" name=""/>
        <dsp:cNvSpPr/>
      </dsp:nvSpPr>
      <dsp:spPr>
        <a:xfrm>
          <a:off x="2254973" y="1432811"/>
          <a:ext cx="1372008"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Planification et suivi</a:t>
          </a:r>
          <a:endParaRPr lang="x-none" sz="1200" b="0" kern="1200">
            <a:latin typeface="Times New Roman" panose="02020603050405020304" pitchFamily="18" charset="0"/>
            <a:cs typeface="Times New Roman" panose="02020603050405020304" pitchFamily="18" charset="0"/>
          </a:endParaRPr>
        </a:p>
      </dsp:txBody>
      <dsp:txXfrm>
        <a:off x="2254973" y="1432811"/>
        <a:ext cx="1372008" cy="422760"/>
      </dsp:txXfrm>
    </dsp:sp>
    <dsp:sp modelId="{4443FFF8-DE61-40A6-A79F-46A0396DA217}">
      <dsp:nvSpPr>
        <dsp:cNvPr id="0" name=""/>
        <dsp:cNvSpPr/>
      </dsp:nvSpPr>
      <dsp:spPr>
        <a:xfrm>
          <a:off x="2254973" y="2033131"/>
          <a:ext cx="1362995"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Vente GP</a:t>
          </a:r>
          <a:endParaRPr lang="x-none" sz="1200" b="0" kern="1200">
            <a:latin typeface="Times New Roman" panose="02020603050405020304" pitchFamily="18" charset="0"/>
            <a:cs typeface="Times New Roman" panose="02020603050405020304" pitchFamily="18" charset="0"/>
          </a:endParaRPr>
        </a:p>
      </dsp:txBody>
      <dsp:txXfrm>
        <a:off x="2254973" y="2033131"/>
        <a:ext cx="1362995" cy="422760"/>
      </dsp:txXfrm>
    </dsp:sp>
    <dsp:sp modelId="{C7307DE0-C167-4D6A-A5C7-9D65AF46D19C}">
      <dsp:nvSpPr>
        <dsp:cNvPr id="0" name=""/>
        <dsp:cNvSpPr/>
      </dsp:nvSpPr>
      <dsp:spPr>
        <a:xfrm>
          <a:off x="2254973" y="2633450"/>
          <a:ext cx="1373978"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Corporate</a:t>
          </a:r>
          <a:endParaRPr lang="x-none" sz="1200" b="0" kern="1200">
            <a:latin typeface="Times New Roman" panose="02020603050405020304" pitchFamily="18" charset="0"/>
            <a:cs typeface="Times New Roman" panose="02020603050405020304" pitchFamily="18" charset="0"/>
          </a:endParaRPr>
        </a:p>
      </dsp:txBody>
      <dsp:txXfrm>
        <a:off x="2254973" y="2633450"/>
        <a:ext cx="1373978" cy="422760"/>
      </dsp:txXfrm>
    </dsp:sp>
    <dsp:sp modelId="{A0738BA1-D84C-4098-AFFF-528A184B20CE}">
      <dsp:nvSpPr>
        <dsp:cNvPr id="0" name=""/>
        <dsp:cNvSpPr/>
      </dsp:nvSpPr>
      <dsp:spPr>
        <a:xfrm>
          <a:off x="2254973" y="3233770"/>
          <a:ext cx="1375686"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Sopport Commercial</a:t>
          </a:r>
          <a:endParaRPr lang="x-none" sz="1200" b="0" kern="1200">
            <a:latin typeface="Times New Roman" panose="02020603050405020304" pitchFamily="18" charset="0"/>
            <a:cs typeface="Times New Roman" panose="02020603050405020304" pitchFamily="18" charset="0"/>
          </a:endParaRPr>
        </a:p>
      </dsp:txBody>
      <dsp:txXfrm>
        <a:off x="2254973" y="3233770"/>
        <a:ext cx="1375686" cy="422760"/>
      </dsp:txXfrm>
    </dsp:sp>
    <dsp:sp modelId="{6096CA01-FC2D-4990-BE15-1B4198B7A3AE}">
      <dsp:nvSpPr>
        <dsp:cNvPr id="0" name=""/>
        <dsp:cNvSpPr/>
      </dsp:nvSpPr>
      <dsp:spPr>
        <a:xfrm>
          <a:off x="3719691" y="832492"/>
          <a:ext cx="1399327" cy="422760"/>
        </a:xfrm>
        <a:prstGeom prst="roundRect">
          <a:avLst/>
        </a:prstGeom>
        <a:solidFill>
          <a:schemeClr val="accent1">
            <a:lumMod val="20000"/>
            <a:lumOff val="80000"/>
          </a:schemeClr>
        </a:solidFill>
        <a:ln w="28575" cap="flat" cmpd="sng" algn="ctr">
          <a:solidFill>
            <a:schemeClr val="accent1"/>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fr-FR" sz="1600" b="1" kern="1200">
              <a:latin typeface="Times New Roman" panose="02020603050405020304" pitchFamily="18" charset="0"/>
              <a:cs typeface="Times New Roman" panose="02020603050405020304" pitchFamily="18" charset="0"/>
            </a:rPr>
            <a:t>S/D Fonctions</a:t>
          </a:r>
          <a:endParaRPr lang="x-none" sz="1600" b="1" kern="1200">
            <a:latin typeface="Times New Roman" panose="02020603050405020304" pitchFamily="18" charset="0"/>
            <a:cs typeface="Times New Roman" panose="02020603050405020304" pitchFamily="18" charset="0"/>
          </a:endParaRPr>
        </a:p>
      </dsp:txBody>
      <dsp:txXfrm>
        <a:off x="3740328" y="853129"/>
        <a:ext cx="1358053" cy="381486"/>
      </dsp:txXfrm>
    </dsp:sp>
    <dsp:sp modelId="{9199FDB6-4D91-4C80-9A84-916118230F5A}">
      <dsp:nvSpPr>
        <dsp:cNvPr id="0" name=""/>
        <dsp:cNvSpPr/>
      </dsp:nvSpPr>
      <dsp:spPr>
        <a:xfrm>
          <a:off x="4069523" y="1432811"/>
          <a:ext cx="1431854"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Achat et Logistique</a:t>
          </a:r>
          <a:endParaRPr lang="x-none" sz="1200" b="0" kern="1200">
            <a:latin typeface="Times New Roman" panose="02020603050405020304" pitchFamily="18" charset="0"/>
            <a:cs typeface="Times New Roman" panose="02020603050405020304" pitchFamily="18" charset="0"/>
          </a:endParaRPr>
        </a:p>
      </dsp:txBody>
      <dsp:txXfrm>
        <a:off x="4069523" y="1432811"/>
        <a:ext cx="1431854" cy="422760"/>
      </dsp:txXfrm>
    </dsp:sp>
    <dsp:sp modelId="{9B72ACE0-2282-4214-BF36-F033C2E1B8AB}">
      <dsp:nvSpPr>
        <dsp:cNvPr id="0" name=""/>
        <dsp:cNvSpPr/>
      </dsp:nvSpPr>
      <dsp:spPr>
        <a:xfrm>
          <a:off x="4069523" y="2033131"/>
          <a:ext cx="1421860"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Finance et Comptabilite</a:t>
          </a:r>
          <a:endParaRPr lang="x-none" sz="1200" b="0" kern="1200">
            <a:latin typeface="Times New Roman" panose="02020603050405020304" pitchFamily="18" charset="0"/>
            <a:cs typeface="Times New Roman" panose="02020603050405020304" pitchFamily="18" charset="0"/>
          </a:endParaRPr>
        </a:p>
      </dsp:txBody>
      <dsp:txXfrm>
        <a:off x="4069523" y="2033131"/>
        <a:ext cx="1421860" cy="422760"/>
      </dsp:txXfrm>
    </dsp:sp>
    <dsp:sp modelId="{C96766B7-F547-456F-9E62-D20CEFCD833B}">
      <dsp:nvSpPr>
        <dsp:cNvPr id="0" name=""/>
        <dsp:cNvSpPr/>
      </dsp:nvSpPr>
      <dsp:spPr>
        <a:xfrm>
          <a:off x="4069523" y="2633450"/>
          <a:ext cx="1437891"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RH</a:t>
          </a:r>
          <a:endParaRPr lang="x-none" sz="1200" b="0" kern="1200">
            <a:latin typeface="Times New Roman" panose="02020603050405020304" pitchFamily="18" charset="0"/>
            <a:cs typeface="Times New Roman" panose="02020603050405020304" pitchFamily="18" charset="0"/>
          </a:endParaRPr>
        </a:p>
      </dsp:txBody>
      <dsp:txXfrm>
        <a:off x="4069523" y="2633450"/>
        <a:ext cx="1437891" cy="422760"/>
      </dsp:txXfrm>
    </dsp:sp>
    <dsp:sp modelId="{73B18786-CC77-4B94-A7AB-B64F48D0EDC7}">
      <dsp:nvSpPr>
        <dsp:cNvPr id="0" name=""/>
        <dsp:cNvSpPr/>
      </dsp:nvSpPr>
      <dsp:spPr>
        <a:xfrm>
          <a:off x="4069523" y="3233770"/>
          <a:ext cx="1438449"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Département Patrimoine et Moyens</a:t>
          </a:r>
          <a:endParaRPr lang="x-none" sz="1200" b="0" kern="1200">
            <a:latin typeface="Times New Roman" panose="02020603050405020304" pitchFamily="18" charset="0"/>
            <a:cs typeface="Times New Roman" panose="02020603050405020304" pitchFamily="18" charset="0"/>
          </a:endParaRPr>
        </a:p>
      </dsp:txBody>
      <dsp:txXfrm>
        <a:off x="4069523" y="3233770"/>
        <a:ext cx="1438449" cy="422760"/>
      </dsp:txXfrm>
    </dsp:sp>
    <dsp:sp modelId="{FFE9500E-0F98-4C57-841E-0D542BF9D259}">
      <dsp:nvSpPr>
        <dsp:cNvPr id="0" name=""/>
        <dsp:cNvSpPr/>
      </dsp:nvSpPr>
      <dsp:spPr>
        <a:xfrm>
          <a:off x="4069523" y="3834089"/>
          <a:ext cx="1428853"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Service Juridique</a:t>
          </a:r>
          <a:endParaRPr lang="x-none" sz="1200" b="0" kern="1200">
            <a:latin typeface="Times New Roman" panose="02020603050405020304" pitchFamily="18" charset="0"/>
            <a:cs typeface="Times New Roman" panose="02020603050405020304" pitchFamily="18" charset="0"/>
          </a:endParaRPr>
        </a:p>
      </dsp:txBody>
      <dsp:txXfrm>
        <a:off x="4069523" y="3834089"/>
        <a:ext cx="1428853" cy="422760"/>
      </dsp:txXfrm>
    </dsp:sp>
    <dsp:sp modelId="{B96D23AE-E7BD-45CD-963E-3B8C790822F2}">
      <dsp:nvSpPr>
        <dsp:cNvPr id="0" name=""/>
        <dsp:cNvSpPr/>
      </dsp:nvSpPr>
      <dsp:spPr>
        <a:xfrm>
          <a:off x="4069523" y="4434408"/>
          <a:ext cx="1418470" cy="42276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0" kern="1200">
              <a:latin typeface="Times New Roman" panose="02020603050405020304" pitchFamily="18" charset="0"/>
              <a:cs typeface="Times New Roman" panose="02020603050405020304" pitchFamily="18" charset="0"/>
            </a:rPr>
            <a:t>Service Support SI</a:t>
          </a:r>
          <a:endParaRPr lang="x-none" sz="1200" b="0" kern="1200">
            <a:latin typeface="Times New Roman" panose="02020603050405020304" pitchFamily="18" charset="0"/>
            <a:cs typeface="Times New Roman" panose="02020603050405020304" pitchFamily="18" charset="0"/>
          </a:endParaRPr>
        </a:p>
      </dsp:txBody>
      <dsp:txXfrm>
        <a:off x="4069523" y="4434408"/>
        <a:ext cx="1418470" cy="42276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FB7F44-FDA8-4AAB-A285-0478D2894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121</Pages>
  <Words>25258</Words>
  <Characters>138920</Characters>
  <Application>Microsoft Office Word</Application>
  <DocSecurity>0</DocSecurity>
  <Lines>1157</Lines>
  <Paragraphs>327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163851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amani mokhi</dc:creator>
  <cp:lastModifiedBy>HP</cp:lastModifiedBy>
  <cp:revision>2</cp:revision>
  <cp:lastPrinted>2025-06-24T17:19:00Z</cp:lastPrinted>
  <dcterms:created xsi:type="dcterms:W3CDTF">2025-06-24T17:20:00Z</dcterms:created>
  <dcterms:modified xsi:type="dcterms:W3CDTF">2025-06-24T17:20:00Z</dcterms:modified>
</cp:coreProperties>
</file>